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22,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sectPr>
      </w:pPr>
    </w:p>
    <w:p>
      <w:pPr>
        <w:spacing w:after="0" w:line="200" w:lineRule="exact"/>
        <w:rPr>
          <w:sz w:val="24"/>
          <w:szCs w:val="24"/>
          <w:color w:val="auto"/>
        </w:rPr>
      </w:pPr>
    </w:p>
    <w:p>
      <w:pPr>
        <w:spacing w:after="0" w:line="297"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52-0684746</w:t>
      </w:r>
    </w:p>
    <w:p>
      <w:pPr>
        <w:spacing w:after="0" w:line="37" w:lineRule="exact"/>
        <w:rPr>
          <w:sz w:val="24"/>
          <w:szCs w:val="24"/>
          <w:color w:val="auto"/>
        </w:rPr>
      </w:pPr>
    </w:p>
    <w:p>
      <w:pPr>
        <w:sectPr>
          <w:pgSz w:w="11900" w:h="16838" w:orient="portrait"/>
          <w:cols w:equalWidth="0" w:num="3">
            <w:col w:w="4880" w:space="720"/>
            <w:col w:w="2860" w:space="720"/>
            <w:col w:w="1840"/>
          </w:cols>
          <w:pgMar w:left="240" w:top="349"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5" w:lineRule="exact"/>
        <w:rPr>
          <w:sz w:val="24"/>
          <w:szCs w:val="24"/>
          <w:color w:val="auto"/>
        </w:rPr>
      </w:pPr>
    </w:p>
    <w:p>
      <w:pPr>
        <w:sectPr>
          <w:pgSz w:w="11900" w:h="16838" w:orient="portrait"/>
          <w:cols w:equalWidth="0" w:num="3">
            <w:col w:w="4340" w:space="720"/>
            <w:col w:w="3280" w:space="720"/>
            <w:col w:w="1960"/>
          </w:cols>
          <w:pgMar w:left="240" w:top="349" w:right="6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153 East 53</w:t>
      </w:r>
      <w:r>
        <w:rPr>
          <w:rFonts w:ascii="Times New Roman" w:cs="Times New Roman" w:eastAsia="Times New Roman" w:hAnsi="Times New Roman"/>
          <w:sz w:val="10"/>
          <w:szCs w:val="10"/>
          <w:b w:val="1"/>
          <w:bCs w:val="1"/>
          <w:color w:val="auto"/>
        </w:rPr>
        <w:t>rd</w:t>
      </w:r>
      <w:r>
        <w:rPr>
          <w:rFonts w:ascii="Times New Roman" w:cs="Times New Roman" w:eastAsia="Times New Roman" w:hAnsi="Times New Roman"/>
          <w:sz w:val="16"/>
          <w:szCs w:val="16"/>
          <w:b w:val="1"/>
          <w:bCs w:val="1"/>
          <w:color w:val="auto"/>
        </w:rPr>
        <w:t xml:space="preserve"> Street, 57</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6"/>
          <w:szCs w:val="16"/>
          <w:b w:val="1"/>
          <w:bCs w:val="1"/>
          <w:color w:val="auto"/>
        </w:rPr>
        <w:t xml:space="preserve"> Floor New York, New York 10022-4624</w:t>
      </w:r>
    </w:p>
    <w:p>
      <w:pPr>
        <w:spacing w:after="0" w:line="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0"/>
          </w:cols>
          <w:pgMar w:left="240" w:top="349" w:right="639" w:bottom="1440" w:gutter="0" w:footer="0" w:header="0"/>
          <w:type w:val="continuous"/>
        </w:sectPr>
      </w:pPr>
    </w:p>
    <w:p>
      <w:pPr>
        <w:spacing w:after="0" w:line="12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Second Quarter 2005 Press Release furnished hereto as Exhibit 99.1, and the Supplemental Information document furnished hereto as Exhibit 99.2, were posted on the Schlumberger internet web site (www.slb.com/ir) on July 22, 2005.</w:t>
      </w:r>
    </w:p>
    <w:p>
      <w:pPr>
        <w:spacing w:after="0" w:line="106"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generally accepted accounting principles (GAAP) that are included in the attached Second Quarter 2005 Press Release and Supplemental Information document, these documents also include the following non-GAAP financial measures (as defined under the SEC’s Regulation G):</w:t>
      </w:r>
    </w:p>
    <w:p>
      <w:pPr>
        <w:spacing w:after="0" w:line="34" w:lineRule="exact"/>
        <w:rPr>
          <w:sz w:val="20"/>
          <w:szCs w:val="20"/>
          <w:color w:val="auto"/>
        </w:rPr>
      </w:pPr>
    </w:p>
    <w:p>
      <w:pPr>
        <w:jc w:val="both"/>
        <w:ind w:left="900" w:right="100" w:hanging="446"/>
        <w:spacing w:after="0" w:line="26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debt: </w:t>
      </w:r>
      <w:r>
        <w:rPr>
          <w:rFonts w:ascii="Times New Roman" w:cs="Times New Roman" w:eastAsia="Times New Roman" w:hAnsi="Times New Roman"/>
          <w:sz w:val="18"/>
          <w:szCs w:val="18"/>
          <w:color w:val="auto"/>
        </w:rPr>
        <w:t>Net debt is gross debt less cash, short-term investments and fixed income investments held to maturity. Management believes that net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30" w:lineRule="exact"/>
        <w:rPr>
          <w:rFonts w:ascii="Times New Roman" w:cs="Times New Roman" w:eastAsia="Times New Roman" w:hAnsi="Times New Roman"/>
          <w:sz w:val="18"/>
          <w:szCs w:val="18"/>
          <w:color w:val="auto"/>
        </w:rPr>
      </w:pPr>
    </w:p>
    <w:p>
      <w:pPr>
        <w:ind w:left="900" w:right="40" w:hanging="446"/>
        <w:spacing w:after="0" w:line="260"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Income from continuing operations before charges and credits, diluted earnings per share before charges and credits, pretax return on sales before charges and credits, after tax before minority interest return on sales, and effective tax rate before charges and credits: </w:t>
      </w:r>
      <w:r>
        <w:rPr>
          <w:rFonts w:ascii="Times New Roman" w:cs="Times New Roman" w:eastAsia="Times New Roman" w:hAnsi="Times New Roman"/>
          <w:sz w:val="18"/>
          <w:szCs w:val="18"/>
          <w:color w:val="auto"/>
        </w:rPr>
        <w:t>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believes that the exclusion of charges and credits enables it to evaluate more effectively Schlumberger’s operations period over period and to identify operating trends that could otherwise be masked by the excluded items.</w:t>
      </w:r>
    </w:p>
    <w:p>
      <w:pPr>
        <w:spacing w:after="0" w:line="34" w:lineRule="exact"/>
        <w:rPr>
          <w:rFonts w:ascii="Times New Roman" w:cs="Times New Roman" w:eastAsia="Times New Roman" w:hAnsi="Times New Roman"/>
          <w:sz w:val="18"/>
          <w:szCs w:val="18"/>
          <w:color w:val="auto"/>
        </w:rPr>
      </w:pPr>
    </w:p>
    <w:p>
      <w:pPr>
        <w:ind w:left="900" w:hanging="446"/>
        <w:spacing w:after="0" w:line="257"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Return on Capital Employed: </w:t>
      </w:r>
      <w:r>
        <w:rPr>
          <w:rFonts w:ascii="Times New Roman" w:cs="Times New Roman" w:eastAsia="Times New Roman" w:hAnsi="Times New Roman"/>
          <w:sz w:val="18"/>
          <w:szCs w:val="18"/>
          <w:color w:val="auto"/>
        </w:rPr>
        <w:t>Return on capital employed (ROCE) is computed as (1) net income from continuing operations excluding charges 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minority interest plus interest expense minus interest income minus tax benefit on interest expense, divided by (2) the average of stockholders’ equity plus average net debt plus average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below are furnished pursuant to Item 9.01 of this Form 8-K.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99.1  Second Quarter 2005 Press Release dated July 22, 2005.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99.2  Supplemental Information document on the July 22, 2005 Press Release.</w:t>
      </w:r>
    </w:p>
    <w:p>
      <w:pPr>
        <w:sectPr>
          <w:pgSz w:w="11900" w:h="16838" w:orient="portrait"/>
          <w:cols w:equalWidth="0" w:num="1">
            <w:col w:w="11420"/>
          </w:cols>
          <w:pgMar w:left="240" w:top="272" w:right="2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Jean-Marc Perraud</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2005</w:t>
      </w:r>
    </w:p>
    <w:p>
      <w:pPr>
        <w:sectPr>
          <w:pgSz w:w="11900" w:h="16838" w:orient="portrait"/>
          <w:cols w:equalWidth="0" w:num="1">
            <w:col w:w="11400"/>
          </w:cols>
          <w:pgMar w:left="240" w:top="272"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Announces Second-Quarter 2005 Results</w:t>
      </w:r>
    </w:p>
    <w:p>
      <w:pPr>
        <w:spacing w:after="0" w:line="1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NEW YORK, July 22, 2005 </w:t>
      </w:r>
      <w:r>
        <w:rPr>
          <w:rFonts w:ascii="Times New Roman" w:cs="Times New Roman" w:eastAsia="Times New Roman" w:hAnsi="Times New Roman"/>
          <w:sz w:val="18"/>
          <w:szCs w:val="18"/>
          <w:color w:val="auto"/>
        </w:rPr>
        <w:t>– Schlumberger Limited (NYSE:SLB) today reported second-quarter 2005 operating revenue of $3.43 billion versus $3.16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2005, and $2.83 billion in the second quarter of last year. Income from continuing operations was $473 million, or $0.78 per share-diluted, versus $0.65 before charges and credits in the previous quarter, and $0.49 before charges and credits in the second quarter of last year.</w:t>
      </w:r>
    </w:p>
    <w:p>
      <w:pPr>
        <w:spacing w:after="0" w:line="11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Income from continuing operations, including charges and credits, was $0.78 per share-diluted, versus $0.87 in the previous quarter and $0.43 in the second quarter of last year. Net income, including discontinued operations, was $482 million or $0.80 per share-diluted, compared to $0.86 in the previous quarter, and $0.59 in the second quarter of last year.</w:t>
      </w:r>
    </w:p>
    <w:p>
      <w:pPr>
        <w:spacing w:after="0" w:line="11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Oilfield Services revenue of $3.04 billion increased 10% sequentially and 20% compared to the same quarter of last year. Pretax business segment operating income of $674 million increased 21% sequentially and 48% year-on-year.</w:t>
      </w:r>
    </w:p>
    <w:p>
      <w:pPr>
        <w:spacing w:after="0" w:line="10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WesternGeco revenue of $383 million increased 1% sequentially and 31% year-on-year. Pretax business segment operating income of $58 million decreased 9% sequentially but increased three-fold year-on-year.</w:t>
      </w:r>
    </w:p>
    <w:p>
      <w:pPr>
        <w:spacing w:after="0" w:line="106"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Schlumberger Chairman and CEO Andrew Gould commented, “Second-quarter results showed sharp improvements across all geographical areas and technologies, both year-on-year and sequentially, as customer spending plans accelerated worldwide.</w:t>
      </w:r>
    </w:p>
    <w:p>
      <w:pPr>
        <w:spacing w:after="0" w:line="1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 Russia, the cooperation and confidence established during the initial period of our minority holding of PetroAlliance has confirmed our belief that the company will play a major role in our continued expansion. We are therefore very pleased to announce the acquisition of a further 25% equity stake.</w:t>
      </w:r>
    </w:p>
    <w:p>
      <w:pPr>
        <w:spacing w:after="0" w:line="10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With growing demand for Q technology across the world, WesternGeco has announced the conversion of a sixth seismic vessel to the new standard. The vessel will enter service in the second quarter of 2006. The previously announced fifth Q vessel is already in service.</w:t>
      </w:r>
    </w:p>
    <w:p>
      <w:pPr>
        <w:spacing w:after="0" w:line="10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While the supply response has begun, it has not yet reached a level, or been underway long enough, to make a meaningful improvement in production capacity. The coming quarters will see further increases in activity.”</w:t>
      </w:r>
    </w:p>
    <w:p>
      <w:pPr>
        <w:sectPr>
          <w:pgSz w:w="11900" w:h="16838" w:orient="portrait"/>
          <w:cols w:equalWidth="0" w:num="1">
            <w:col w:w="11420"/>
          </w:cols>
          <w:pgMar w:left="240" w:top="12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Events:</w:t>
      </w:r>
    </w:p>
    <w:p>
      <w:pPr>
        <w:spacing w:after="0" w:line="77" w:lineRule="exact"/>
        <w:rPr>
          <w:sz w:val="20"/>
          <w:szCs w:val="20"/>
          <w:color w:val="auto"/>
        </w:rPr>
      </w:pPr>
    </w:p>
    <w:p>
      <w:pPr>
        <w:ind w:left="900" w:hanging="446"/>
        <w:spacing w:after="0" w:line="25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acquired an additional 25% equity stake in PetroAlliance Services Company Limited, bringing total ownership to 51%. Schlumberger initially acquired 26% of PetroAlliance Services, Russia’s largest independent oilfield services company, in the second quarter of 2004. The acquisition price of the additional stake was determined by a performance-based formula and was paid one-third in cash and two-thirds in Schlumberger stock. The acquisition of the remaining 49% of the company will be completed in 2006, subject to performance requirements, regulatory approval, and other customary provisions.</w:t>
      </w:r>
    </w:p>
    <w:p>
      <w:pPr>
        <w:spacing w:after="0" w:line="44"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15 million-share buy-back program, Schlumberger repurchased 2.77 million shares during the quarter for a total amount of $189 million. Since the beginning of the program Schlumberger has repurchased 8.9 million shares for a total amount of $583 million.</w:t>
      </w:r>
    </w:p>
    <w:p>
      <w:pPr>
        <w:sectPr>
          <w:pgSz w:w="11900" w:h="16838" w:orient="portrait"/>
          <w:cols w:equalWidth="0" w:num="1">
            <w:col w:w="11320"/>
          </w:cols>
          <w:pgMar w:left="240" w:top="27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(Stated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0" w:type="dxa"/>
            <w:vAlign w:val="bottom"/>
          </w:tcPr>
          <w:p>
            <w:pPr>
              <w:spacing w:after="0"/>
              <w:rPr>
                <w:sz w:val="15"/>
                <w:szCs w:val="15"/>
                <w:color w:val="auto"/>
              </w:rPr>
            </w:pPr>
          </w:p>
        </w:tc>
        <w:tc>
          <w:tcPr>
            <w:tcW w:w="18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95"/>
        </w:trPr>
        <w:tc>
          <w:tcPr>
            <w:tcW w:w="2000" w:type="dxa"/>
            <w:vAlign w:val="bottom"/>
            <w:gridSpan w:val="2"/>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7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Periods Ended June 30</w:t>
            </w:r>
          </w:p>
        </w:tc>
        <w:tc>
          <w:tcPr>
            <w:tcW w:w="80" w:type="dxa"/>
            <w:vAlign w:val="bottom"/>
          </w:tcPr>
          <w:p>
            <w:pPr>
              <w:spacing w:after="0"/>
              <w:rPr>
                <w:sz w:val="24"/>
                <w:szCs w:val="24"/>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r>
              <w:rPr>
                <w:rFonts w:ascii="Times New Roman" w:cs="Times New Roman" w:eastAsia="Times New Roman" w:hAnsi="Times New Roman"/>
                <w:sz w:val="22"/>
                <w:szCs w:val="22"/>
                <w:b w:val="1"/>
                <w:bCs w:val="1"/>
                <w:color w:val="auto"/>
                <w:vertAlign w:val="superscript"/>
              </w:rPr>
              <w:t>(6)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r>
              <w:rPr>
                <w:rFonts w:ascii="Times New Roman" w:cs="Times New Roman" w:eastAsia="Times New Roman" w:hAnsi="Times New Roman"/>
                <w:sz w:val="22"/>
                <w:szCs w:val="22"/>
                <w:b w:val="1"/>
                <w:bCs w:val="1"/>
                <w:color w:val="auto"/>
                <w:vertAlign w:val="superscript"/>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3,428,632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2,833,600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6,587,743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5,506,568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22"/>
                <w:szCs w:val="22"/>
                <w:i w:val="1"/>
                <w:iCs w:val="1"/>
                <w:color w:val="auto"/>
                <w:vertAlign w:val="superscript"/>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234,773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Cost of goods sold and services</w:t>
            </w:r>
            <w:r>
              <w:rPr>
                <w:rFonts w:ascii="Times New Roman" w:cs="Times New Roman" w:eastAsia="Times New Roman" w:hAnsi="Times New Roman"/>
                <w:sz w:val="22"/>
                <w:szCs w:val="22"/>
                <w:color w:val="auto"/>
                <w:vertAlign w:val="superscript"/>
              </w:rPr>
              <w:t>(2)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2,546,684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2,230,974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4,951,816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4,352,041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Debt extinguishment costs</w:t>
            </w:r>
            <w:r>
              <w:rPr>
                <w:rFonts w:ascii="Times New Roman" w:cs="Times New Roman" w:eastAsia="Times New Roman" w:hAnsi="Times New Roman"/>
                <w:sz w:val="22"/>
                <w:szCs w:val="22"/>
                <w:color w:val="auto"/>
                <w:vertAlign w:val="superscript"/>
              </w:rPr>
              <w:t>(3)</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Interest </w:t>
            </w:r>
            <w:r>
              <w:rPr>
                <w:rFonts w:ascii="Times New Roman" w:cs="Times New Roman" w:eastAsia="Times New Roman" w:hAnsi="Times New Roman"/>
                <w:sz w:val="22"/>
                <w:szCs w:val="22"/>
                <w:color w:val="auto"/>
                <w:vertAlign w:val="superscript"/>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1,329,901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w:t>
            </w:r>
            <w:r>
              <w:rPr>
                <w:rFonts w:ascii="Times New Roman" w:cs="Times New Roman" w:eastAsia="Times New Roman" w:hAnsi="Times New Roman"/>
                <w:sz w:val="22"/>
                <w:szCs w:val="22"/>
                <w:color w:val="auto"/>
                <w:vertAlign w:val="superscript"/>
              </w:rPr>
              <w:t>(2) (3)(4)</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162,123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299,819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488,512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1,030,082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(15,311)</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(32,444)</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473,201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997,638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from Discontinued Operations</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7,972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482,201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1,005,610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2"/>
                <w:szCs w:val="22"/>
                <w:color w:val="auto"/>
                <w:vertAlign w:val="superscript"/>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588,741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612,982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613,380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613,374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Depreciation &amp; amortization included in expenses</w:t>
            </w:r>
            <w:r>
              <w:rPr>
                <w:rFonts w:ascii="Times New Roman" w:cs="Times New Roman" w:eastAsia="Times New Roman" w:hAnsi="Times New Roman"/>
                <w:sz w:val="22"/>
                <w:szCs w:val="22"/>
                <w:color w:val="auto"/>
                <w:vertAlign w:val="superscript"/>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654,981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-1433830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-1433830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-1433830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-1433830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-1433830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-1433830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-1433830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-1433830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-1433830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-1433830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-1433830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-1433830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-575945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-575945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-575945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-575945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-575945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-575945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-575945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-575945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-575945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-575945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-575945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-575945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6" w:name="page7"/>
    <w:bookmarkEnd w:id="6"/>
    <w:p>
      <w:pPr>
        <w:ind w:left="452" w:hanging="452"/>
        <w:spacing w:after="0"/>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interest income of:</w:t>
      </w:r>
    </w:p>
    <w:p>
      <w:pPr>
        <w:spacing w:after="0" w:line="21"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2005 - $23 million (2004 - $11 million).</w:t>
      </w:r>
    </w:p>
    <w:p>
      <w:pPr>
        <w:spacing w:after="0" w:line="9" w:lineRule="exact"/>
        <w:rPr>
          <w:rFonts w:ascii="Times New Roman" w:cs="Times New Roman" w:eastAsia="Times New Roman" w:hAnsi="Times New Roman"/>
          <w:sz w:val="18"/>
          <w:szCs w:val="18"/>
          <w:color w:val="auto"/>
        </w:rPr>
      </w:pPr>
    </w:p>
    <w:p>
      <w:pPr>
        <w:ind w:left="1472" w:hanging="567"/>
        <w:spacing w:after="0"/>
        <w:tabs>
          <w:tab w:leader="none" w:pos="14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2005 - $43 million (2004 - $25 million).</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first quarter of 2005 includes a pretax and after-tax gain of $146 million ($0.24 per share) on the sale of the Montrouge facility.</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first quarter of 2004 includes a pretax and after-tax loss of $14 million ($0.02 per share) on the sale of Atos Origin shares.</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second quarter of 2004 includes a pretax and after-tax loss of $7 million ($0.01 per share) on the sale of Atos Origin shares.</w:t>
      </w:r>
    </w:p>
    <w:p>
      <w:pPr>
        <w:spacing w:after="0" w:line="9" w:lineRule="exact"/>
        <w:rPr>
          <w:sz w:val="20"/>
          <w:szCs w:val="20"/>
          <w:color w:val="auto"/>
        </w:rPr>
      </w:pP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2005 includes real estate related pretax charges of $12 million ($11 million after-tax, $0.02 per share).</w:t>
      </w:r>
    </w:p>
    <w:p>
      <w:pPr>
        <w:spacing w:after="0" w:line="9" w:lineRule="exact"/>
        <w:rPr>
          <w:rFonts w:ascii="Times New Roman" w:cs="Times New Roman" w:eastAsia="Times New Roman" w:hAnsi="Times New Roman"/>
          <w:sz w:val="18"/>
          <w:szCs w:val="18"/>
          <w:color w:val="auto"/>
        </w:rPr>
      </w:pPr>
    </w:p>
    <w:p>
      <w:pPr>
        <w:ind w:left="452"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2004 includes a pretax charge of $20 million ($14 million after-tax, $0.02 per share) related to the restructuring program in the United States.</w:t>
      </w:r>
    </w:p>
    <w:p>
      <w:pPr>
        <w:ind w:left="45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quarter of 2004 includes a pretax and after-tax idle leased facility charge of $11 million ($0.02 per share), a reorganization charge of $4 million ($0.01 per share) and a litigation reserve release of $5 million ($0.01 per share).</w:t>
      </w:r>
    </w:p>
    <w:p>
      <w:pPr>
        <w:ind w:left="452" w:right="820" w:hanging="452"/>
        <w:spacing w:after="0" w:line="250" w:lineRule="auto"/>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2004 includes a pretax and after-tax charge of $77 million ($0.13 per share) related to the repurchase of UK Pound and Euro denominated Bonds.</w:t>
      </w:r>
    </w:p>
    <w:p>
      <w:pPr>
        <w:ind w:left="45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quarter of 2004 includes a pretax charge of $37 million related to the repurchase of US Dollar denominated Bonds ($23 million after-tax, $0.04 per share).</w:t>
      </w: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2004 includes a pretax charge of $73 million ($46 million after-tax, $0.08 per share) relating to US Interest Rate Swaps.</w:t>
      </w:r>
    </w:p>
    <w:p>
      <w:pPr>
        <w:spacing w:after="0" w:line="9"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quarter of 2004 includes a pretax gain of $10 million on the settlement of the US Interest Rate Swap ($6 million after-tax, $0.01 per share).</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Multiclient seismic data costs.</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for discontinued operations.</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372"/>
          </w:cols>
          <w:pgMar w:left="248" w:top="274" w:right="2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58"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i w:val="1"/>
          <w:iCs w:val="1"/>
          <w:color w:val="auto"/>
        </w:rPr>
        <w:t>(Stated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 30, 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2,913,480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4,645,571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Assets held for sale </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7,559,051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Fixed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3,920,597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276,031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2,904,781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1,919,408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16,892,618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6"/>
              </w:rPr>
              <w:t>Liabilities and Stockholders’ Equity</w:t>
            </w:r>
          </w:p>
        </w:tc>
        <w:tc>
          <w:tcPr>
            <w:tcW w:w="6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3,281,193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691,091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Dividend payable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Liabilities held for sale </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5,064,475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3,779,437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147,456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9,692,396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Minority interest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445,937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6,754,285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16,892,618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-2831465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-2831465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-2831465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-2831465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-2831465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-2831465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-172720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Assets and liabilities held for sale at December 31, 2004 represent the gross assets and liabilities of the Essentis, Payphones and Global businesses.</w:t>
      </w:r>
    </w:p>
    <w:p>
      <w:pPr>
        <w:sectPr>
          <w:pgSz w:w="11900" w:h="16838" w:orient="portrait"/>
          <w:cols w:equalWidth="0" w:num="1">
            <w:col w:w="11420"/>
          </w:cols>
          <w:pgMar w:left="240" w:top="2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indebtedness. Details of the change in net debt follow: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w w:val="97"/>
              </w:rPr>
              <w:t>(Stated in millions)</w:t>
            </w:r>
          </w:p>
        </w:tc>
        <w:tc>
          <w:tcPr>
            <w:tcW w:w="0" w:type="dxa"/>
            <w:vAlign w:val="bottom"/>
          </w:tcPr>
          <w:p>
            <w:pPr>
              <w:spacing w:after="0"/>
              <w:rPr>
                <w:sz w:val="1"/>
                <w:szCs w:val="1"/>
                <w:color w:val="auto"/>
              </w:rPr>
            </w:pPr>
          </w:p>
        </w:tc>
      </w:tr>
      <w:tr>
        <w:trPr>
          <w:trHeight w:val="312"/>
        </w:trPr>
        <w:tc>
          <w:tcPr>
            <w:tcW w:w="9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of equity income over dividends received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Charges/credits, net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Increase in working capital requirements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Proceeds from business divestitures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the sale of the Montrouge facility</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PetroAlliance acquisition (cash paid)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business acquisitions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debt acquired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Translation effect on net debt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w w:val="97"/>
              </w:rPr>
              <w:t>(Stated in millions)</w:t>
            </w:r>
          </w:p>
        </w:tc>
        <w:tc>
          <w:tcPr>
            <w:tcW w:w="0" w:type="dxa"/>
            <w:vAlign w:val="bottom"/>
          </w:tcPr>
          <w:p>
            <w:pPr>
              <w:spacing w:after="0"/>
              <w:rPr>
                <w:sz w:val="1"/>
                <w:szCs w:val="1"/>
                <w:color w:val="auto"/>
              </w:rPr>
            </w:pPr>
          </w:p>
        </w:tc>
      </w:tr>
      <w:tr>
        <w:trPr>
          <w:trHeight w:val="312"/>
        </w:trPr>
        <w:tc>
          <w:tcPr>
            <w:tcW w:w="9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Net Debt</w:t>
            </w: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 30, 2005</w:t>
            </w:r>
          </w:p>
        </w:tc>
        <w:tc>
          <w:tcPr>
            <w:tcW w:w="52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 and current portion of long-term debt</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(3,779)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-1590040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-1590040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-1590040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51879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9" w:name="page10"/>
    <w:bookmarkEnd w:id="9"/>
    <w:p>
      <w:pPr>
        <w:ind w:right="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Second Quarter Earnings Press Release also includes non-GAAP financial measures (as defined under the SEC’s Regulation G). The following is a reconciliation of these non-GAAP measures to the comparable GAAP measures:</w:t>
      </w:r>
    </w:p>
    <w:p>
      <w:pPr>
        <w:spacing w:after="0" w:line="119"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6"/>
          <w:szCs w:val="16"/>
          <w:color w:val="auto"/>
        </w:rPr>
        <w:t>(Stated in millions except per share amounts)</w:t>
      </w:r>
    </w:p>
    <w:p>
      <w:pPr>
        <w:spacing w:after="0" w:line="17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First Quarter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71120</wp:posOffset>
            </wp:positionV>
            <wp:extent cx="1835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15"/>
                <w:szCs w:val="15"/>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Min Int</w:t>
            </w:r>
          </w:p>
        </w:tc>
        <w:tc>
          <w:tcPr>
            <w:tcW w:w="100" w:type="dxa"/>
            <w:vAlign w:val="bottom"/>
          </w:tcPr>
          <w:p>
            <w:pPr>
              <w:spacing w:after="0"/>
              <w:rPr>
                <w:sz w:val="15"/>
                <w:szCs w:val="15"/>
                <w:color w:val="auto"/>
              </w:rPr>
            </w:pPr>
          </w:p>
        </w:tc>
        <w:tc>
          <w:tcPr>
            <w:tcW w:w="6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per Consolidated Statement of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$ 679.3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$137.7</w:t>
            </w:r>
          </w:p>
        </w:tc>
        <w:tc>
          <w:tcPr>
            <w:tcW w:w="2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7"/>
              </w:rPr>
              <w:t>$ (17.1)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back Charges &amp; Credits: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Gain on sale of Montrouge facility</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(145.7)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Real estate related charges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charges &amp; credits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$ 545.7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$138.5</w:t>
            </w:r>
          </w:p>
        </w:tc>
        <w:tc>
          <w:tcPr>
            <w:tcW w:w="2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7"/>
              </w:rPr>
              <w:t>$ (17.1)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Continuing operations before charges and credits</w:t>
            </w:r>
          </w:p>
        </w:tc>
        <w:tc>
          <w:tcPr>
            <w:tcW w:w="4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6"/>
              </w:rPr>
              <w:t>Second Quarter 2004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20" w:type="dxa"/>
            <w:vAlign w:val="bottom"/>
          </w:tcPr>
          <w:p>
            <w:pPr>
              <w:spacing w:after="0"/>
              <w:rPr>
                <w:sz w:val="22"/>
                <w:szCs w:val="22"/>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Min Int</w:t>
            </w:r>
          </w:p>
        </w:tc>
        <w:tc>
          <w:tcPr>
            <w:tcW w:w="100" w:type="dxa"/>
            <w:vAlign w:val="bottom"/>
          </w:tcPr>
          <w:p>
            <w:pPr>
              <w:spacing w:after="0"/>
              <w:rPr>
                <w:sz w:val="22"/>
                <w:szCs w:val="22"/>
                <w:color w:val="auto"/>
              </w:rPr>
            </w:pPr>
          </w:p>
        </w:tc>
        <w:tc>
          <w:tcPr>
            <w:tcW w:w="6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per Consolidated Statement of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back Charges &amp; Credits: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Debt extinguishment costs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Gain on Interest Rate Swap extinguishment</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Loss on sale of Atos Origin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Vacated leased facility reserve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Litigation reserve release</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Reorganization reserve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 before charges &amp; credits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Continuing operations before charges &amp; credits</w:t>
            </w:r>
          </w:p>
        </w:tc>
        <w:tc>
          <w:tcPr>
            <w:tcW w:w="50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-3148965</wp:posOffset>
            </wp:positionV>
            <wp:extent cx="3816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-3148965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-3148965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-3148965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-3148965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-3148965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-3148965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-3148965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-3148965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-3148965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-507365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-507365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-507365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-507365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-507365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-507365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-507365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-507365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-507365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-507365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-507365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in the second quarter of 2005.</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(Stated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r>
              <w:rPr>
                <w:rFonts w:ascii="Times New Roman" w:cs="Times New Roman" w:eastAsia="Times New Roman" w:hAnsi="Times New Roman"/>
                <w:sz w:val="22"/>
                <w:szCs w:val="22"/>
                <w:b w:val="1"/>
                <w:bCs w:val="1"/>
                <w:color w:val="auto"/>
                <w:vertAlign w:val="superscript"/>
              </w:rPr>
              <w:t>(2)</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2004</w:t>
            </w:r>
            <w:r>
              <w:rPr>
                <w:rFonts w:ascii="Times New Roman" w:cs="Times New Roman" w:eastAsia="Times New Roman" w:hAnsi="Times New Roman"/>
                <w:sz w:val="22"/>
                <w:szCs w:val="22"/>
                <w:b w:val="1"/>
                <w:bCs w:val="1"/>
                <w:color w:val="auto"/>
                <w:w w:val="93"/>
                <w:vertAlign w:val="superscript"/>
              </w:rPr>
              <w:t>(2)</w:t>
            </w:r>
          </w:p>
        </w:tc>
        <w:tc>
          <w:tcPr>
            <w:tcW w:w="20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 chg</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2005</w:t>
            </w:r>
            <w:r>
              <w:rPr>
                <w:rFonts w:ascii="Times New Roman" w:cs="Times New Roman" w:eastAsia="Times New Roman" w:hAnsi="Times New Roman"/>
                <w:sz w:val="22"/>
                <w:szCs w:val="22"/>
                <w:b w:val="1"/>
                <w:bCs w:val="1"/>
                <w:color w:val="auto"/>
                <w:w w:val="97"/>
                <w:vertAlign w:val="superscript"/>
              </w:rPr>
              <w:t>(2)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r>
              <w:rPr>
                <w:rFonts w:ascii="Times New Roman" w:cs="Times New Roman" w:eastAsia="Times New Roman" w:hAnsi="Times New Roman"/>
                <w:sz w:val="22"/>
                <w:szCs w:val="22"/>
                <w:b w:val="1"/>
                <w:bCs w:val="1"/>
                <w:color w:val="auto"/>
                <w:vertAlign w:val="superscript"/>
              </w:rPr>
              <w:t>(2)</w:t>
            </w:r>
          </w:p>
        </w:tc>
        <w:tc>
          <w:tcPr>
            <w:tcW w:w="2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8"/>
              </w:rPr>
              <w:t>% chg</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5"/>
              </w:rPr>
              <w:t>Oilfield Services</w:t>
            </w:r>
          </w:p>
        </w:tc>
        <w:tc>
          <w:tcPr>
            <w:tcW w:w="342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3"/>
              </w:rPr>
              <w:t>3,044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2,541</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5,823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4,899</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Pretax Operating Income</w:t>
            </w:r>
            <w:r>
              <w:rPr>
                <w:rFonts w:ascii="Times New Roman" w:cs="Times New Roman" w:eastAsia="Times New Roman" w:hAnsi="Times New Roman"/>
                <w:sz w:val="22"/>
                <w:szCs w:val="22"/>
                <w:color w:val="auto"/>
                <w:vertAlign w:val="superscript"/>
              </w:rPr>
              <w:t>(1)</w:t>
            </w:r>
          </w:p>
        </w:tc>
        <w:tc>
          <w:tcPr>
            <w:tcW w:w="2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1,232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84"/>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WesternGeco</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Pretax Operating Income</w:t>
            </w:r>
            <w:r>
              <w:rPr>
                <w:rFonts w:ascii="Times New Roman" w:cs="Times New Roman" w:eastAsia="Times New Roman" w:hAnsi="Times New Roman"/>
                <w:sz w:val="22"/>
                <w:szCs w:val="22"/>
                <w:color w:val="auto"/>
                <w:vertAlign w:val="superscript"/>
              </w:rPr>
              <w:t>(1)</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0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15" w:lineRule="exact"/>
        <w:rPr>
          <w:sz w:val="20"/>
          <w:szCs w:val="20"/>
          <w:color w:val="auto"/>
        </w:rPr>
      </w:pPr>
    </w:p>
    <w:p>
      <w:pPr>
        <w:jc w:val="both"/>
        <w:ind w:left="460" w:right="320" w:hanging="452"/>
        <w:spacing w:after="0" w:line="255"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operating income represents the segments’ income before taxes and minority interest. The pretax operating income excludes corporate expenses, interest income, interest expense, amortization of certain intangibles, and the charges and credits described below as these items are not allocated to the segments.</w:t>
      </w:r>
    </w:p>
    <w:p>
      <w:pPr>
        <w:ind w:left="460" w:right="42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2005 excludes a pretax gain of $146 million on the sale of the Montrouge facility and a pretax charge of $12 million related to real estate.</w:t>
      </w:r>
    </w:p>
    <w:p>
      <w:pPr>
        <w:jc w:val="both"/>
        <w:ind w:left="460"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quarter of 2004 excludes a pretax charge of $73 million for the US Interest Rate Swap write off; a pretax loss of $14 million on the sale of Atos Origin shares; a pretax charge of $77 million of debt extinguishment costs; and a pretax charge of $20 million related to the restructuring program in the United States.</w:t>
      </w:r>
    </w:p>
    <w:p>
      <w:pPr>
        <w:spacing w:after="0" w:line="1" w:lineRule="exact"/>
        <w:rPr>
          <w:rFonts w:ascii="Times New Roman" w:cs="Times New Roman" w:eastAsia="Times New Roman" w:hAnsi="Times New Roman"/>
          <w:sz w:val="18"/>
          <w:szCs w:val="18"/>
          <w:color w:val="auto"/>
        </w:rPr>
      </w:pPr>
    </w:p>
    <w:p>
      <w:pPr>
        <w:ind w:left="46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quarter of 2004 excludes a pretax loss of $7 million on the sale of Atos Origin shares; a pretax idle leased facility reserve of $11 million; a pretax reorganization reserve of $4 million; a pretax release of a litigation reserve of $5 million; a pretax gain of $10 million for the settlement of the US Interest Rate Swap; and a pretax charge of $37 million of debt extinguishment costs.</w:t>
      </w:r>
    </w:p>
    <w:p>
      <w:pPr>
        <w:sectPr>
          <w:pgSz w:w="11900" w:h="16838" w:orient="portrait"/>
          <w:cols w:equalWidth="0" w:num="1">
            <w:col w:w="11420"/>
          </w:cols>
          <w:pgMar w:left="240" w:top="272" w:right="2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Second quarter revenue of $3.0 billion was 10% higher sequentially and increased 20% year-on-year. Pretax operating income of $674 million increased 21% sequentially and 48% year-on-year.</w:t>
      </w:r>
    </w:p>
    <w:p>
      <w:pPr>
        <w:spacing w:after="0" w:line="106"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Sequential revenue increases were recorded across all Areas with the highest contributions from the US Land, US Gulf Coast, Mexico, Russia, Saudi Arabia, North Sea, and Venezuela GeoMarkets. All technology segments experienced higher revenue levels, with particularly strong demand for Integrated Project Management (IPM), Well Services, and Well Completions &amp; Productivity products and services.</w:t>
      </w:r>
    </w:p>
    <w:p>
      <w:pPr>
        <w:spacing w:after="0" w:line="11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Year-on-year growth was posted in all Areas but driven mainly by the US Land, Russia, the Gulf, Nigeria, Mexico, and Venezuela GeoMarkets. All technology segments recorded double-digit increases.</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Pretax operating income recorded strong sequential and year-on-year growth, principally due to a continued increase in exploration and production activity levels worldwide, resulting in higher operating leverage across all Areas.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quarter Schlumberger introduced FiberFRAC* technology, a service which has proven critical for producers in tight-gas reservoirs by improving production rates through better proppant distribution and fracture geometry. In a recent application in the Pinedale Anticline in Southwestern Wyoming, Shell Exploration &amp; Production Company successfully utilized FiberFRAC technology throughout a 20-stage fracturing stimulation treatment of a multi-layered well in a deep, high-temperature tight sandstone play.</w:t>
      </w:r>
    </w:p>
    <w:p>
      <w:pPr>
        <w:spacing w:after="0" w:line="123"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Additionally, recognizing the importance of exploiting unconventional reserves, Chevron, Total, and Schlumberger have entered a joint alliance to develop thermal simulation technology for improving recovery in heavy-oil reservoirs. The alliance will build upon the research of the Intersect project, which is envisioned as the long-term evolution of the Schlumberger ECLIPSE* reservoir simulator.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7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 of $907 million increased 5% sequentially and 21% year-on-year. Pretax operating income of $234 million increased 15% sequentially and 94% year-on-year.</w:t>
      </w:r>
    </w:p>
    <w:p>
      <w:pPr>
        <w:sectPr>
          <w:pgSz w:w="11900" w:h="16838" w:orient="portrait"/>
          <w:cols w:equalWidth="0" w:num="1">
            <w:col w:w="11400"/>
          </w:cols>
          <w:pgMar w:left="240" w:top="272" w:right="25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Sequentially, the US Land GeoMarket continued to record strong revenue growth, driven mainly by high demand for Well Services technologies that resulted in significant pricing improvements. The Gulf of Mexico also contributed through the introduction of new technology, which led to higher revenue. Canada declined due to the seasonal impact of spring break-up in Western Canada, where active rig count was halved from the prior quarter, partially offset by robust activity offshore Eastern Canada.</w:t>
      </w:r>
    </w:p>
    <w:p>
      <w:pPr>
        <w:spacing w:after="0" w:line="12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solid year-on-year and sequential pretax income improvements were the result of new technology introductions, particularly by Drilling &amp; Measurements; price increases mainly from Well Services and Wireline; and continued activity growth.</w:t>
      </w:r>
    </w:p>
    <w:p>
      <w:pPr>
        <w:spacing w:after="0" w:line="1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quarter key technology solutions were deployed in the Area. In the US Land GeoMarket, the first GVR* geoVISION resistivity imaging log was acquired in the Barnett shale gas play in North Central Texas. A total of 2,500 feet of the horizontal section was drilled and steered using proprietary GVR technology in combination with the PowerDrive X5* rotary steerable system. In this unconventional gas reservoir, identification of natural and drilling-induced fractures is key to the optimization of hydraulic fracturing.</w:t>
      </w:r>
    </w:p>
    <w:p>
      <w:pPr>
        <w:spacing w:after="0" w:line="123" w:lineRule="exact"/>
        <w:rPr>
          <w:sz w:val="20"/>
          <w:szCs w:val="20"/>
          <w:color w:val="auto"/>
        </w:rPr>
      </w:pPr>
    </w:p>
    <w:p>
      <w:pPr>
        <w:ind w:right="720"/>
        <w:spacing w:after="0" w:line="339" w:lineRule="auto"/>
        <w:rPr>
          <w:sz w:val="20"/>
          <w:szCs w:val="20"/>
          <w:color w:val="auto"/>
        </w:rPr>
      </w:pPr>
      <w:r>
        <w:rPr>
          <w:rFonts w:ascii="Times New Roman" w:cs="Times New Roman" w:eastAsia="Times New Roman" w:hAnsi="Times New Roman"/>
          <w:sz w:val="16"/>
          <w:szCs w:val="16"/>
          <w:color w:val="auto"/>
        </w:rPr>
        <w:t>Schlumberger opened a Production Center of Excellence in Oklahoma City to support real-time production services. The center will focus on delivering surveillance, diagnostic, and optimization services for producing wells utilizing wellsite measurements and production data in real-time workflows.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7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Revenue of $554 million increased 18% sequentially and was 30% higher year-on-year. Pretax operating income of $84 million increased 30% sequentially and 34% year-on-year.</w:t>
      </w:r>
    </w:p>
    <w:p>
      <w:pPr>
        <w:spacing w:after="0" w:line="10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Mexico recorded high sequential revenue growth from an increased number of wells being completed on the Burgos project, coupled with a rise in third-party managed services revenue. Activity in the Venezuela/Trinidad &amp; Tobago GeoMarket increased primarily from IPM and Well Services operations.</w:t>
      </w:r>
    </w:p>
    <w:p>
      <w:pPr>
        <w:spacing w:after="0" w:line="1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During the quarter, continued progress was highlighted with the signing of a short-term renewable agreement with PDVSA regarding the PRISA project, resulting in a resumption of activity for the six barges. Discussions continue regarding the settlement of certain outstanding receivables.</w:t>
      </w:r>
    </w:p>
    <w:p>
      <w:pPr>
        <w:spacing w:after="0" w:line="1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strong operating income increase resulted mainly from strengthening operating margins in Mexico due to improved IPM performance. This was coupled with stronger operating efficiencies in Well Services across all GeoMarkets.</w:t>
      </w:r>
    </w:p>
    <w:p>
      <w:pPr>
        <w:sectPr>
          <w:pgSz w:w="11900" w:h="16838" w:orient="portrait"/>
          <w:cols w:equalWidth="0" w:num="1">
            <w:col w:w="11400"/>
          </w:cols>
          <w:pgMar w:left="240" w:top="274" w:right="259" w:bottom="1440" w:gutter="0" w:footer="0" w:header="0"/>
        </w:sectPr>
      </w:pPr>
    </w:p>
    <w:bookmarkStart w:id="13" w:name="page14"/>
    <w:bookmarkEnd w:id="13"/>
    <w:p>
      <w:pPr>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technology solutions were deployed across the Area. In Mexico, Schlumberger provided an innovative heavy-oil test and completion solution for Pemex on the Takin-1 offshore location. An array of new Wireline and Well Completions &amp; Productivity technology services was used in a reentered well in which reservoir parameters previously could not be accurately determined.</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Wireline ABC* Analysis Behind Casing technology services were run for Pemex when hole conditions prevented openhole logging and traditional cased-hole logs from clearly identifying gas-bearing sands. ABC logs provided the petrophysical and rock mineralogy information needed to successfully evaluate and assess several intervals for future completion and production.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7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Revenue of $825 million increased 10% sequentially and 17% year-on-year. Pretax operating income of $154 million increased 24% sequentially and 31% year-on-year.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sequential revenue growth resulted mainly from higher levels of activity in Russia, principally due to greater demand for Well Services and Well Completions</w:t>
      </w:r>
    </w:p>
    <w:p>
      <w:pPr>
        <w:spacing w:after="0" w:line="44" w:lineRule="exact"/>
        <w:rPr>
          <w:sz w:val="20"/>
          <w:szCs w:val="20"/>
          <w:color w:val="auto"/>
        </w:rPr>
      </w:pPr>
    </w:p>
    <w:p>
      <w:pPr>
        <w:ind w:right="60" w:firstLine="8"/>
        <w:spacing w:after="0" w:line="255"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technology services. This was coupled with 20 days of financial consolidation of PetroAlliance following the successful completion of the second stage of acquisition, giving Schlumberger a 51% controlling interest. Also contributing to the revenue improvement was the Caspian GeoMarket with stronger Wireline activity and the North Sea experiencing seasonal activity pick-up.</w:t>
      </w:r>
    </w:p>
    <w:p>
      <w:pPr>
        <w:spacing w:after="0" w:line="12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robust profitability improvement in pretax operating income was mainly due to the resurgence of activity in the North Sea; improved utilization and pricing in Russia; and reduced overhead costs, resulting in higher operating margins. Also contributing were new technology introductions and the renewal of long-term contracts, particularly for Drilling &amp; Measurements, Well Services and Wireline services.</w:t>
      </w:r>
    </w:p>
    <w:p>
      <w:pPr>
        <w:spacing w:after="0" w:line="11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Several key technologies were introduced across the Area. In Norway, the first remote wireline logging operation was performed for Statoil with control of the operation exercised from the Statfjord Onshore Operation center. A PS Platform* log was run to verify the injected gas volumes and optimize the pressure support of the Statfjord formations.</w:t>
      </w:r>
    </w:p>
    <w:p>
      <w:pPr>
        <w:spacing w:after="0" w:line="1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Offshore West Africa, StethoScope*—the new pressure-while-drilling tool from the Scope* family of Drilling &amp; Measurements technologies—was used in conjunction with VISION* geosteering technology to significantly enhance formation evaluation efficiency. The StethoScope service measured pressure in three different sands to determine the depletion regime in a deepwater field in Angola.</w:t>
      </w:r>
    </w:p>
    <w:p>
      <w:pPr>
        <w:spacing w:after="0" w:line="119"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Also in Angola, Total E&amp;P began deployment of sandface completions on their Dalia deepwater project. Spread across four years and covering more than 60 wells, the ongoing installation work will utilize a number of Well Completions &amp; Productivity technology services, including the QUANTUM MaX* HPHT gravel-pack system and the FIV* Formation Isolation Valve tool.</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Middle East &amp; Asia</w:t>
      </w:r>
    </w:p>
    <w:p>
      <w:pPr>
        <w:spacing w:after="0" w:line="7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of $731 million was 9% higher sequentially and 15% higher year-on-year. Pretax operating income of $206 million increased 18% sequentially and 28% year-on-year.</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Sequentially, each of the 11 GeoMarkets contributed to the revenue improvement, further emphasizing the global progression and depth of the current business cycle. Activity in China strengthened as a result of accelerated adoption of advanced Drilling &amp; Measurements and Wireline technologies. Revenue continued to expand in the Middle East due to increased activity led by Saudi Arabia, benefiting mainly Wireline and Drilling &amp; Measurements operations. Also contributing to the improved revenue was the commencement of new projects in the Gulf and Brunei/Malaysia/Philippines GeoMarkets.</w:t>
      </w:r>
    </w:p>
    <w:p>
      <w:pPr>
        <w:spacing w:after="0" w:line="12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increase in operating income outpaced activity growth, resulting in a sharp rise in operating margin. This strong performance was due to a mix of steady activity improvement across all the GeoMarkets and significant price increases—principally in Drilling &amp; Measurements, Well Completions &amp; Productivity, and Wireline operations—coupled with the start up of new projects.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quarter Schlumberger installed an intelligent completion system for Saudi Aramco in one of their wells that was producing with high water cut. The completions system was run to maximize hydrocarbon recovery using Tubing Retrievable Flow Control-Hydraulic valves to control flow from the main wellbore and two laterals; QUANTUM* MultiPort* production packers to isolate the laterals; and a PressureWatch* permanent monitoring downhole gauge to monitor reservoir pressure. After installation, the well was flow tested successfully using PhaseTester* well testing equipment and put back on production with reduced water production.</w:t>
      </w:r>
    </w:p>
    <w:p>
      <w:pPr>
        <w:spacing w:after="0" w:line="125"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6"/>
          <w:szCs w:val="16"/>
          <w:color w:val="auto"/>
        </w:rPr>
        <w:t>PETRONAS Carigali awarded Schlumberger the electric wireline logging (EWL), directional drilling/logging-while-drilling/measurements-while-drilling (DD/LWD/MWD), and Tubing Conveyed Perforation (TCP) contract for all of their West Malaysia operations. The contracts for EWL, DD/LWD/MWD, and TCP are for a period of four years with a two-year extension option. The total contract value is estimated to be $340 million for all the services.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79" w:lineRule="exact"/>
        <w:rPr>
          <w:sz w:val="20"/>
          <w:szCs w:val="20"/>
          <w:color w:val="auto"/>
        </w:rPr>
      </w:pPr>
    </w:p>
    <w:p>
      <w:pPr>
        <w:ind w:left="900" w:right="2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Schlumberger acquired Diamould Ltd., a firm specializing in electrical power and instrumentation, hydraulic and fiber-optic connector solutions used in subsea, downhole, and deepwater applications. Based in the UK, Diamould will become the Schlumberger Center of Excellence for all new developments in the critical area of connector reliability.</w:t>
      </w:r>
    </w:p>
    <w:p>
      <w:pPr>
        <w:sectPr>
          <w:pgSz w:w="11900" w:h="16838" w:orient="portrait"/>
          <w:cols w:equalWidth="0" w:num="1">
            <w:col w:w="11380"/>
          </w:cols>
          <w:pgMar w:left="240" w:top="272" w:right="279" w:bottom="1440" w:gutter="0" w:footer="0" w:header="0"/>
        </w:sectPr>
      </w:pPr>
    </w:p>
    <w:bookmarkStart w:id="15" w:name="page16"/>
    <w:bookmarkEnd w:id="15"/>
    <w:p>
      <w:pPr>
        <w:ind w:left="446" w:right="40" w:hanging="446"/>
        <w:spacing w:after="0" w:line="258"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Reinforcing a long-standing working relationship with Microsoft, a strategic initiative was launched to speed the deployment of the next generation of software tools, including Petrel* seismic-to-simulation and Avocet* production solutions to give better and more predictive information to geoscientists and engineers. The joint effort will accelerate the delivery of exploration and production solutions on the Windows® and Microsoft®.NET platforms.</w:t>
      </w:r>
    </w:p>
    <w:p>
      <w:pPr>
        <w:spacing w:after="0" w:line="41" w:lineRule="exact"/>
        <w:rPr>
          <w:rFonts w:ascii="Times New Roman" w:cs="Times New Roman" w:eastAsia="Times New Roman" w:hAnsi="Times New Roman"/>
          <w:sz w:val="18"/>
          <w:szCs w:val="18"/>
          <w:color w:val="auto"/>
        </w:rPr>
      </w:pPr>
    </w:p>
    <w:p>
      <w:pPr>
        <w:ind w:left="446" w:right="340" w:hanging="446"/>
        <w:spacing w:after="0" w:line="275"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Algeria, Sonatrach awarded a $37 million, multi-year cementing contract for work on their Hassi Messaoud field. FlexSTONE*, CemNET*, LiteCRETE*, and other key Well Services technologies will be utilized to address client reservoir optimization requirements.</w:t>
      </w:r>
    </w:p>
    <w:p>
      <w:pPr>
        <w:spacing w:after="0" w:line="25" w:lineRule="exact"/>
        <w:rPr>
          <w:rFonts w:ascii="Times New Roman" w:cs="Times New Roman" w:eastAsia="Times New Roman" w:hAnsi="Times New Roman"/>
          <w:sz w:val="18"/>
          <w:szCs w:val="18"/>
          <w:color w:val="auto"/>
        </w:rPr>
      </w:pPr>
    </w:p>
    <w:p>
      <w:pPr>
        <w:ind w:left="446" w:right="200" w:hanging="446"/>
        <w:spacing w:after="0" w:line="275"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 Angola awarded a multi-year wireline-logging contract for more than 40 deepwater wells in Block 18. Schlumberger also secured cementing, upper and lower completions, and coiled tubing contracts on the same block.</w:t>
      </w:r>
    </w:p>
    <w:p>
      <w:pPr>
        <w:spacing w:after="0" w:line="25" w:lineRule="exact"/>
        <w:rPr>
          <w:rFonts w:ascii="Times New Roman" w:cs="Times New Roman" w:eastAsia="Times New Roman" w:hAnsi="Times New Roman"/>
          <w:sz w:val="18"/>
          <w:szCs w:val="18"/>
          <w:color w:val="auto"/>
        </w:rPr>
      </w:pPr>
    </w:p>
    <w:p>
      <w:pPr>
        <w:ind w:left="446" w:right="40" w:hanging="446"/>
        <w:spacing w:after="0" w:line="262"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Algeria, Rosneft-Stroytransgaz Limited, a Russian joint venture between Rosneft and the Gazprom subsidiary, Stroytransgaz, awarded an IPM contract in an area where the client has no operational infrastructure. The project will utilize a range of Schlumberger products and services. Strong Schlumberger service quality on a previous project in the same field lead to this award.</w:t>
      </w:r>
    </w:p>
    <w:p>
      <w:pPr>
        <w:spacing w:after="0" w:line="37" w:lineRule="exact"/>
        <w:rPr>
          <w:rFonts w:ascii="Times New Roman" w:cs="Times New Roman" w:eastAsia="Times New Roman" w:hAnsi="Times New Roman"/>
          <w:sz w:val="18"/>
          <w:szCs w:val="18"/>
          <w:color w:val="auto"/>
        </w:rPr>
      </w:pPr>
    </w:p>
    <w:p>
      <w:pPr>
        <w:jc w:val="both"/>
        <w:ind w:left="446" w:right="140" w:hanging="446"/>
        <w:spacing w:after="0" w:line="258"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North Sea, CNR International awarded the first worldwide application of a subsea raw seawater injection system. The award marks the first commercial application of the Schlumberger Subsea Monitoring and Control (SMC) system. Scheduled for installation in spring 2006, the system will utilize state-of-the-art fiber optic modems and will be interfaced with all seabed sensors and control devices, including a Framo Subsea Dual Pump Station.</w:t>
      </w:r>
    </w:p>
    <w:p>
      <w:pPr>
        <w:spacing w:after="0" w:line="41" w:lineRule="exact"/>
        <w:rPr>
          <w:rFonts w:ascii="Times New Roman" w:cs="Times New Roman" w:eastAsia="Times New Roman" w:hAnsi="Times New Roman"/>
          <w:sz w:val="18"/>
          <w:szCs w:val="18"/>
          <w:color w:val="auto"/>
        </w:rPr>
      </w:pPr>
    </w:p>
    <w:p>
      <w:pPr>
        <w:ind w:left="446" w:hanging="446"/>
        <w:spacing w:after="0" w:line="275"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Kuwait Oil Company selected Schlumberger for their Mauddud Maximum Reservoir Contact drilling project. The work scope includes six wells, of which two are multilaterals, and will use a wide range of Schlumberger VISION geosteering and PowerDrive* drilling services.</w:t>
      </w:r>
    </w:p>
    <w:p>
      <w:pPr>
        <w:sectPr>
          <w:pgSz w:w="11900" w:h="16838" w:orient="portrait"/>
          <w:cols w:equalWidth="0" w:num="1">
            <w:col w:w="10846"/>
          </w:cols>
          <w:pgMar w:left="694" w:top="274" w:right="35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Second quarter revenue of $383 million was 1% higher sequentially but increased 31% compared to the same period of last year. Pretax operating income of $58 million decreased $6 million sequentially but improved $43 million year-on-year.</w:t>
      </w:r>
    </w:p>
    <w:p>
      <w:pPr>
        <w:spacing w:after="0" w:line="10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Sequentially, Marine revenue increased sharply mainly from strong activity in Europe reflecting the start of the North Sea season with three Q-Marine* vessels and one Q-Seabed* crew operating in the region, combined with higher activity in the Gulf of Mexico. The strong Marine activity increase was due to a combination of higher vessel utilization coupled with steady pricing increases and more favorable contractual terms regarding transit and bad weather downtimes.</w:t>
      </w:r>
    </w:p>
    <w:p>
      <w:pPr>
        <w:spacing w:after="0" w:line="8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Land revenue increased marginally with higher activity in the Middle East and South America, partly offset by delayed mobilization of a crew in Algeria. A net addition of three crews during the quarter resulted in a total of 20 land crews. The Q-Land* crew currently deployed in Kuwait continues to deliver excellent performance.</w:t>
      </w:r>
    </w:p>
    <w:p>
      <w:pPr>
        <w:spacing w:after="0" w:line="11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Multiclient sales experienced a seasonal decline following the completion of the Central Gulf of Mexico Lease Sale in the first quarter. This decrease was partially offset by higher sales in Asia, Europe, South America, and West Africa reflecting an improved exploration-spending environment.</w:t>
      </w:r>
    </w:p>
    <w:p>
      <w:pPr>
        <w:spacing w:after="0" w:line="10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WesternGeco backlog at the end of the second quarter was $595 million. The sequential decline was mainly due to the consumption of some of the backlog of the summer shooting season in the North Sea and Canada.</w:t>
      </w:r>
    </w:p>
    <w:p>
      <w:pPr>
        <w:spacing w:after="0" w:line="10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sequential decline in pretax operating income was mainly due to lower Multiclient sales. This seasonal deterioration was partially offset by significant improvements in Marine as a result of increased vessel utilization, better pricing, and the conversion of a conventional vessel to Q-Technology* commanding higher prices.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77" w:lineRule="exact"/>
        <w:rPr>
          <w:sz w:val="20"/>
          <w:szCs w:val="20"/>
          <w:color w:val="auto"/>
        </w:rPr>
      </w:pPr>
    </w:p>
    <w:p>
      <w:pPr>
        <w:ind w:left="900" w:right="120" w:hanging="446"/>
        <w:spacing w:after="0" w:line="26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growing industry demand for Q-Marine, the </w:t>
      </w:r>
      <w:r>
        <w:rPr>
          <w:rFonts w:ascii="Times New Roman" w:cs="Times New Roman" w:eastAsia="Times New Roman" w:hAnsi="Times New Roman"/>
          <w:sz w:val="18"/>
          <w:szCs w:val="18"/>
          <w:i w:val="1"/>
          <w:iCs w:val="1"/>
          <w:color w:val="auto"/>
        </w:rPr>
        <w:t>Western Regent</w:t>
      </w:r>
      <w:r>
        <w:rPr>
          <w:rFonts w:ascii="Times New Roman" w:cs="Times New Roman" w:eastAsia="Times New Roman" w:hAnsi="Times New Roman"/>
          <w:sz w:val="18"/>
          <w:szCs w:val="18"/>
          <w:color w:val="auto"/>
        </w:rPr>
        <w:t xml:space="preserve"> conversion to Q-Technology was completed during the quarter and the vessel was mobilized in June for its third-party contract in the Norwegian Sea. The </w:t>
      </w:r>
      <w:r>
        <w:rPr>
          <w:rFonts w:ascii="Times New Roman" w:cs="Times New Roman" w:eastAsia="Times New Roman" w:hAnsi="Times New Roman"/>
          <w:sz w:val="18"/>
          <w:szCs w:val="18"/>
          <w:i w:val="1"/>
          <w:iCs w:val="1"/>
          <w:color w:val="auto"/>
        </w:rPr>
        <w:t>Western Regent</w:t>
      </w:r>
      <w:r>
        <w:rPr>
          <w:rFonts w:ascii="Times New Roman" w:cs="Times New Roman" w:eastAsia="Times New Roman" w:hAnsi="Times New Roman"/>
          <w:sz w:val="18"/>
          <w:szCs w:val="18"/>
          <w:color w:val="auto"/>
        </w:rPr>
        <w:t>, WesternGeco’s fifth Q-Marine vessel, currently has a backlog of third-party contracts into 2006.</w:t>
      </w:r>
    </w:p>
    <w:p>
      <w:pPr>
        <w:spacing w:after="0" w:line="34"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increased demand for Q-Marine across the world, WesternGeco will convert a sixth vessel to Q-Technology, which is scheduled to enter service in the first half of 2006.</w:t>
      </w:r>
    </w:p>
    <w:p>
      <w:pPr>
        <w:sectPr>
          <w:pgSz w:w="11900" w:h="16838" w:orient="portrait"/>
          <w:cols w:equalWidth="0" w:num="1">
            <w:col w:w="11400"/>
          </w:cols>
          <w:pgMar w:left="240" w:top="272" w:right="259" w:bottom="1440" w:gutter="0" w:footer="0" w:header="0"/>
        </w:sectPr>
      </w:pPr>
    </w:p>
    <w:bookmarkStart w:id="17" w:name="page18"/>
    <w:bookmarkEnd w:id="17"/>
    <w:p>
      <w:pPr>
        <w:ind w:left="446" w:right="100" w:hanging="446"/>
        <w:spacing w:after="0" w:line="310" w:lineRule="auto"/>
        <w:tabs>
          <w:tab w:leader="none" w:pos="4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E&amp;P Norge AS, as operator on the PL040/043 Hild field located in the Norwegian sector of the North Sea, awarded a contract for acquisition and processing of a multicomponent survey over the Hild reservoir. The 76-square-kilometer survey will be acquired using the high-capacity Q-Seabed system and will utilize the largest active four-component survey configuration ever deployed. Partners in the license are Petoro and Statoil.</w:t>
      </w:r>
    </w:p>
    <w:p>
      <w:pPr>
        <w:spacing w:after="0" w:line="2" w:lineRule="exact"/>
        <w:rPr>
          <w:rFonts w:ascii="Times New Roman" w:cs="Times New Roman" w:eastAsia="Times New Roman" w:hAnsi="Times New Roman"/>
          <w:sz w:val="16"/>
          <w:szCs w:val="16"/>
          <w:color w:val="auto"/>
        </w:rPr>
      </w:pPr>
    </w:p>
    <w:p>
      <w:pPr>
        <w:ind w:left="446" w:hanging="446"/>
        <w:spacing w:after="0" w:line="310" w:lineRule="auto"/>
        <w:tabs>
          <w:tab w:leader="none" w:pos="4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Chevron Upstream Europe awarded a contract for a Q-Marine 2D seismic survey utilizing an advanced, long-offset, over/under system. The contract is for a 50-day seismic acquisition program in Chevron-operated Exploration Licenses in the Atlantic Margin in UK and Faroese waters. This acquisition technique is aimed at imaging beneath basalt and is enabled by the unique steering and positioning capabilities of Q-Marine.</w:t>
      </w:r>
    </w:p>
    <w:p>
      <w:pPr>
        <w:spacing w:after="0" w:line="2" w:lineRule="exact"/>
        <w:rPr>
          <w:rFonts w:ascii="Times New Roman" w:cs="Times New Roman" w:eastAsia="Times New Roman" w:hAnsi="Times New Roman"/>
          <w:sz w:val="16"/>
          <w:szCs w:val="16"/>
          <w:color w:val="auto"/>
        </w:rPr>
      </w:pPr>
    </w:p>
    <w:p>
      <w:pPr>
        <w:ind w:left="446" w:right="160" w:hanging="446"/>
        <w:spacing w:after="0" w:line="262" w:lineRule="auto"/>
        <w:tabs>
          <w:tab w:leader="none" w:pos="4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Sabah Shell Petroleum Company Limited awarded WesternGeco a Q-Marine contract to conduct a high-resolution survey over its St. Joseph field, offshore Sabah, Malaysia. The survey, which began in June, is the first Q-Marine project awarded in Southeast Asia and is being acquired by the </w:t>
      </w:r>
      <w:r>
        <w:rPr>
          <w:rFonts w:ascii="Times New Roman" w:cs="Times New Roman" w:eastAsia="Times New Roman" w:hAnsi="Times New Roman"/>
          <w:sz w:val="18"/>
          <w:szCs w:val="18"/>
          <w:i w:val="1"/>
          <w:iCs w:val="1"/>
          <w:color w:val="auto"/>
        </w:rPr>
        <w:t>Geco Topaz</w:t>
      </w:r>
      <w:r>
        <w:rPr>
          <w:rFonts w:ascii="Times New Roman" w:cs="Times New Roman" w:eastAsia="Times New Roman" w:hAnsi="Times New Roman"/>
          <w:sz w:val="18"/>
          <w:szCs w:val="18"/>
          <w:color w:val="auto"/>
        </w:rPr>
        <w:t>, towing six 3,000-meter cables with a separation of 30 meters.</w:t>
      </w:r>
    </w:p>
    <w:p>
      <w:pPr>
        <w:sectPr>
          <w:pgSz w:w="11900" w:h="16838" w:orient="portrait"/>
          <w:cols w:equalWidth="0" w:num="1">
            <w:col w:w="10886"/>
          </w:cols>
          <w:pgMar w:left="694" w:top="27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79" w:lineRule="exact"/>
        <w:rPr>
          <w:sz w:val="20"/>
          <w:szCs w:val="20"/>
          <w:color w:val="auto"/>
        </w:rPr>
      </w:pPr>
    </w:p>
    <w:p>
      <w:pPr>
        <w:jc w:val="both"/>
        <w:ind w:right="100"/>
        <w:spacing w:after="0" w:line="293" w:lineRule="auto"/>
        <w:rPr>
          <w:sz w:val="20"/>
          <w:szCs w:val="20"/>
          <w:color w:val="auto"/>
        </w:rPr>
      </w:pPr>
      <w:r>
        <w:rPr>
          <w:rFonts w:ascii="Times New Roman" w:cs="Times New Roman" w:eastAsia="Times New Roman" w:hAnsi="Times New Roman"/>
          <w:sz w:val="16"/>
          <w:szCs w:val="16"/>
          <w:color w:val="auto"/>
        </w:rPr>
        <w:t xml:space="preserve">Schlumberger is the world’s leading oilfield services company supplying technology, project management, and information solutions that optimize performance for customers working in the oil and gas industry. The company employs more than 58,000 people of over 140 nationalities working in more than 80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2004, Schlumberger operating revenue was $11.48 billion. For more information, visit </w:t>
      </w:r>
      <w:r>
        <w:rPr>
          <w:rFonts w:ascii="Times New Roman" w:cs="Times New Roman" w:eastAsia="Times New Roman" w:hAnsi="Times New Roman"/>
          <w:sz w:val="16"/>
          <w:szCs w:val="16"/>
          <w:u w:val="single" w:color="auto"/>
          <w:color w:val="auto"/>
        </w:rPr>
        <w:t>SLB.com</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00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of Schlumberger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77" w:lineRule="exact"/>
        <w:rPr>
          <w:sz w:val="20"/>
          <w:szCs w:val="20"/>
          <w:color w:val="auto"/>
        </w:rPr>
      </w:pPr>
    </w:p>
    <w:p>
      <w:pPr>
        <w:ind w:left="900" w:hanging="446"/>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will hold a conference call to discuss the above announcement on Friday, July 22, 2005 at 9:00am New York City time (2:00pm London time/3:00pm Paris time). To access the call, which is open to the public, please contact the conference call operator at +1-888-428-4470 (toll free) for North America, or +1-651-224-7497 outside North America, approximately 15 minutes prior to the scheduled start time. Ask for the “Schlumberger Earnings Conference Call.” A replay of the call will be available through August 5, 2005 by dialing +1-800-475-6701 in North America, or +1-320-365-3844 outside North America, and providing the access code 786137.</w:t>
      </w:r>
    </w:p>
    <w:p>
      <w:pPr>
        <w:spacing w:after="0" w:line="44"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conference call will be webcast simultaneously at </w:t>
      </w:r>
      <w:r>
        <w:rPr>
          <w:rFonts w:ascii="Times New Roman" w:cs="Times New Roman" w:eastAsia="Times New Roman" w:hAnsi="Times New Roman"/>
          <w:sz w:val="18"/>
          <w:szCs w:val="18"/>
          <w:u w:val="single" w:color="auto"/>
          <w:color w:val="auto"/>
        </w:rPr>
        <w:t>SLB.com/irwebcast on</w:t>
      </w:r>
      <w:r>
        <w:rPr>
          <w:rFonts w:ascii="Times New Roman" w:cs="Times New Roman" w:eastAsia="Times New Roman" w:hAnsi="Times New Roman"/>
          <w:sz w:val="18"/>
          <w:szCs w:val="18"/>
          <w:color w:val="auto"/>
        </w:rPr>
        <w:t xml:space="preserve"> a listen-only basis. Please log in 15 minutes ahead of time to test your browser and register for the call. A replay of the webcast will also be available through August 5, 2005 at the above web site.</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Supplemental information in the form of a question and answer document on this press release and financial schedules are available at </w:t>
      </w:r>
      <w:r>
        <w:rPr>
          <w:rFonts w:ascii="Times New Roman" w:cs="Times New Roman" w:eastAsia="Times New Roman" w:hAnsi="Times New Roman"/>
          <w:sz w:val="16"/>
          <w:szCs w:val="16"/>
          <w:u w:val="single" w:color="auto"/>
          <w:color w:val="auto"/>
        </w:rPr>
        <w:t>SLB.com/ir</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Pferdehirt, Vice President of Communications and 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Paulo Loureiro, 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+1-212-350-9432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investor-relations@slb.com</w:t>
      </w:r>
    </w:p>
    <w:p>
      <w:pPr>
        <w:sectPr>
          <w:pgSz w:w="11900" w:h="16838" w:orient="portrait"/>
          <w:cols w:equalWidth="0" w:num="1">
            <w:col w:w="11360"/>
          </w:cols>
          <w:pgMar w:left="240" w:top="272" w:right="2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2005 Results - Supplemental Information</w:t>
      </w:r>
    </w:p>
    <w:p>
      <w:pPr>
        <w:spacing w:after="0" w:line="158"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Oilfield Services</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w:t>
        <w:tab/>
        <w:t>What was the Oilfield Services pretax return on sales for the quarter?</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Oilfield Services pretax return on sales in the second quarter of 2005 was 22.1% compared to 20.1% in the first quarter of 2005.</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Q2)</w:t>
        <w:tab/>
        <w:t>What is the Capex guidance for 2005?</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Capex is expected to reach $1.34 billion for the full year 2005.</w:t>
      </w:r>
    </w:p>
    <w:p>
      <w:pPr>
        <w:spacing w:after="0" w:line="156"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WesternGeco</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Q3)</w:t>
        <w:tab/>
        <w:t>What multiclient surveys were capitalized in the second quarter?</w:t>
      </w:r>
    </w:p>
    <w:p>
      <w:pPr>
        <w:spacing w:after="0" w:line="79" w:lineRule="exact"/>
        <w:rPr>
          <w:sz w:val="20"/>
          <w:szCs w:val="20"/>
          <w:color w:val="auto"/>
        </w:rPr>
      </w:pPr>
    </w:p>
    <w:p>
      <w:pPr>
        <w:ind w:left="580" w:right="320"/>
        <w:spacing w:after="0" w:line="275" w:lineRule="auto"/>
        <w:rPr>
          <w:sz w:val="20"/>
          <w:szCs w:val="20"/>
          <w:color w:val="auto"/>
        </w:rPr>
      </w:pPr>
      <w:r>
        <w:rPr>
          <w:rFonts w:ascii="Times New Roman" w:cs="Times New Roman" w:eastAsia="Times New Roman" w:hAnsi="Times New Roman"/>
          <w:sz w:val="18"/>
          <w:szCs w:val="18"/>
          <w:color w:val="auto"/>
        </w:rPr>
        <w:t>In the quarter, WesternGeco capitalized $12 million related to both the acquisition of a new survey and the processing of surveys previously acquired, both activities being substantially pre-funded.</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Q4)</w:t>
        <w:tab/>
        <w:t>What multiclient sales were made in the quarter and what was the associated cost of sales?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Multiclient sales in the quarter were $109 million. The corresponding cost of sales was $45 million. 64% of the surveys sold had no NBV.</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Q5)</w:t>
        <w:tab/>
        <w:t>What is the Capex guidance for 2005?</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2005 Capex is expected to reach $265 million, excluding about $100 million of significantly pre-funded multiclient surveys.</w:t>
      </w:r>
    </w:p>
    <w:p>
      <w:pPr>
        <w:spacing w:after="0" w:line="156"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Q6)</w:t>
        <w:tab/>
        <w:t>What was Schlumberger before tax and after-tax return on sales, before minority interest, for the quarter?</w:t>
      </w:r>
    </w:p>
    <w:p>
      <w:pPr>
        <w:spacing w:after="0" w:line="79" w:lineRule="exact"/>
        <w:rPr>
          <w:sz w:val="20"/>
          <w:szCs w:val="20"/>
          <w:color w:val="auto"/>
        </w:rPr>
      </w:pPr>
    </w:p>
    <w:p>
      <w:pPr>
        <w:ind w:left="580" w:right="220"/>
        <w:spacing w:after="0" w:line="275" w:lineRule="auto"/>
        <w:rPr>
          <w:sz w:val="20"/>
          <w:szCs w:val="20"/>
          <w:color w:val="auto"/>
        </w:rPr>
      </w:pPr>
      <w:r>
        <w:rPr>
          <w:rFonts w:ascii="Times New Roman" w:cs="Times New Roman" w:eastAsia="Times New Roman" w:hAnsi="Times New Roman"/>
          <w:sz w:val="18"/>
          <w:szCs w:val="18"/>
          <w:color w:val="auto"/>
        </w:rPr>
        <w:t>Schlumberger pretax return on sales from continuing operations before charges and credits for the second quarter was 19.0% compared to 17.3% in the first quarter.</w:t>
      </w:r>
    </w:p>
    <w:p>
      <w:pPr>
        <w:spacing w:after="0" w:line="25" w:lineRule="exact"/>
        <w:rPr>
          <w:sz w:val="20"/>
          <w:szCs w:val="20"/>
          <w:color w:val="auto"/>
        </w:rPr>
      </w:pPr>
    </w:p>
    <w:p>
      <w:pPr>
        <w:ind w:left="580" w:right="220"/>
        <w:spacing w:after="0" w:line="275" w:lineRule="auto"/>
        <w:rPr>
          <w:sz w:val="20"/>
          <w:szCs w:val="20"/>
          <w:color w:val="auto"/>
        </w:rPr>
      </w:pPr>
      <w:r>
        <w:rPr>
          <w:rFonts w:ascii="Times New Roman" w:cs="Times New Roman" w:eastAsia="Times New Roman" w:hAnsi="Times New Roman"/>
          <w:sz w:val="18"/>
          <w:szCs w:val="18"/>
          <w:color w:val="auto"/>
        </w:rPr>
        <w:t>Schlumberger after-tax before minority interest return on sales from continuing operations before charges and credits for the second quarter was 14.2% compared to 12.9% in the first quarter.</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Q7)</w:t>
        <w:tab/>
        <w:t>What are the stock option and discounted stock purchase plan (DSPP) expenses?</w:t>
      </w:r>
    </w:p>
    <w:p>
      <w:pPr>
        <w:spacing w:after="0" w:line="79" w:lineRule="exact"/>
        <w:rPr>
          <w:sz w:val="20"/>
          <w:szCs w:val="20"/>
          <w:color w:val="auto"/>
        </w:rPr>
      </w:pPr>
    </w:p>
    <w:p>
      <w:pPr>
        <w:ind w:left="580" w:right="320"/>
        <w:spacing w:after="0" w:line="262" w:lineRule="auto"/>
        <w:rPr>
          <w:sz w:val="20"/>
          <w:szCs w:val="20"/>
          <w:color w:val="auto"/>
        </w:rPr>
      </w:pPr>
      <w:r>
        <w:rPr>
          <w:rFonts w:ascii="Times New Roman" w:cs="Times New Roman" w:eastAsia="Times New Roman" w:hAnsi="Times New Roman"/>
          <w:sz w:val="18"/>
          <w:szCs w:val="18"/>
          <w:color w:val="auto"/>
        </w:rPr>
        <w:t>Schlumberger has two types of stock compensation plans – stock option awards and an employee stock purchase plan. Schlumberger started to record stock option expense in the income statement beginning in the second half of 2003, adopting the fair value recognition provisions of SFAS 123 on a prospective basis for grants after January 1, 2003.</w:t>
      </w:r>
    </w:p>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effect on the second quarter 2005 net income was $10 million ($0.02 per share).</w:t>
      </w:r>
    </w:p>
    <w:p>
      <w:pPr>
        <w:sectPr>
          <w:pgSz w:w="11900" w:h="16838" w:orient="portrait"/>
          <w:cols w:equalWidth="0" w:num="1">
            <w:col w:w="11420"/>
          </w:cols>
          <w:pgMar w:left="240" w:top="123" w:right="239" w:bottom="1440" w:gutter="0" w:footer="0" w:header="0"/>
        </w:sectPr>
      </w:pPr>
    </w:p>
    <w:bookmarkStart w:id="20" w:name="page21"/>
    <w:bookmarkEnd w:id="20"/>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Q8)</w:t>
        <w:tab/>
        <w:t>How did net debt</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8"/>
          <w:szCs w:val="18"/>
          <w:b w:val="1"/>
          <w:bCs w:val="1"/>
          <w:color w:val="auto"/>
        </w:rPr>
        <w:t xml:space="preserve"> decrease during the quarter?</w:t>
      </w:r>
    </w:p>
    <w:p>
      <w:pPr>
        <w:spacing w:after="0" w:line="53" w:lineRule="exact"/>
        <w:rPr>
          <w:sz w:val="20"/>
          <w:szCs w:val="20"/>
          <w:color w:val="auto"/>
        </w:rPr>
      </w:pPr>
    </w:p>
    <w:p>
      <w:pPr>
        <w:ind w:left="580" w:right="80"/>
        <w:spacing w:after="0" w:line="251" w:lineRule="auto"/>
        <w:rPr>
          <w:sz w:val="20"/>
          <w:szCs w:val="20"/>
          <w:color w:val="auto"/>
        </w:rPr>
      </w:pPr>
      <w:r>
        <w:rPr>
          <w:rFonts w:ascii="Times New Roman" w:cs="Times New Roman" w:eastAsia="Times New Roman" w:hAnsi="Times New Roman"/>
          <w:sz w:val="18"/>
          <w:szCs w:val="18"/>
          <w:color w:val="auto"/>
        </w:rPr>
        <w:t>After the quarterly dividend payment of $124 million, net debt was $1.24 billion at June 30, 2005, a decrease of $55 million in the quarter, mainly due to liquidity generated by operations, partially offset by the stock buyback of $189 million and the cash payment and debt acquired for the PetroAlliance acquisition of $90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00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Net debt</w:t>
      </w:r>
      <w:r>
        <w:rPr>
          <w:rFonts w:ascii="Times New Roman" w:cs="Times New Roman" w:eastAsia="Times New Roman" w:hAnsi="Times New Roman"/>
          <w:sz w:val="18"/>
          <w:szCs w:val="18"/>
          <w:color w:val="auto"/>
        </w:rPr>
        <w:t xml:space="preserve"> is gross debt less cash, short term investments as well as fixed income investments held to maturity.)</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Q9)</w:t>
        <w:tab/>
        <w:t>What was the second quarter Effective Tax Rate (ETR), and what is the ETR guidance for the full year 2005?</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second quarter ETR from continuing operations was 24.9%.</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total year 2005, Schlumberger expects the ETR, before charges and credits, to be in the mid-twenties range.</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Q10)</w:t>
      </w:r>
      <w:r>
        <w:rPr>
          <w:sz w:val="20"/>
          <w:szCs w:val="20"/>
          <w:color w:val="auto"/>
        </w:rPr>
        <w:tab/>
      </w:r>
      <w:r>
        <w:rPr>
          <w:rFonts w:ascii="Times New Roman" w:cs="Times New Roman" w:eastAsia="Times New Roman" w:hAnsi="Times New Roman"/>
          <w:sz w:val="16"/>
          <w:szCs w:val="16"/>
          <w:b w:val="1"/>
          <w:bCs w:val="1"/>
          <w:color w:val="auto"/>
        </w:rPr>
        <w:t>What were the changes in interest income and interest expense during the quarter?</w:t>
      </w:r>
    </w:p>
    <w:p>
      <w:pPr>
        <w:spacing w:after="0" w:line="79" w:lineRule="exact"/>
        <w:rPr>
          <w:sz w:val="20"/>
          <w:szCs w:val="20"/>
          <w:color w:val="auto"/>
        </w:rPr>
      </w:pPr>
    </w:p>
    <w:p>
      <w:pPr>
        <w:ind w:left="580" w:right="480"/>
        <w:spacing w:after="0" w:line="275" w:lineRule="auto"/>
        <w:rPr>
          <w:sz w:val="20"/>
          <w:szCs w:val="20"/>
          <w:color w:val="auto"/>
        </w:rPr>
      </w:pPr>
      <w:r>
        <w:rPr>
          <w:rFonts w:ascii="Times New Roman" w:cs="Times New Roman" w:eastAsia="Times New Roman" w:hAnsi="Times New Roman"/>
          <w:sz w:val="18"/>
          <w:szCs w:val="18"/>
          <w:color w:val="auto"/>
        </w:rPr>
        <w:t>Interest income of $23 million increased $4.0 million sequentially and $12.0 million compared to the same quarter of last year. Average investment balance of $2.9 billion increased by $61 million sequentially and $237 million compared to the same quarter of last year.</w:t>
      </w:r>
    </w:p>
    <w:p>
      <w:pPr>
        <w:spacing w:after="0" w:line="25"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Interest expense of $50 million increased $3.9 million sequentially and $0.4 million from the same quarter of last year, excluding the settlement of the US interest swap in the second quarter of 2004. Average debt balance of $4.5 billion decreased $72 million sequentially and $768 million compared to the same quarter of last year.</w:t>
      </w:r>
    </w:p>
    <w:p>
      <w:pPr>
        <w:spacing w:after="0" w:line="1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Q11)</w:t>
        <w:tab/>
        <w:t>What is the difference between Oilfield Services pretax income and the sum of the geographic areas?</w:t>
      </w:r>
    </w:p>
    <w:p>
      <w:pPr>
        <w:spacing w:after="0" w:line="79" w:lineRule="exact"/>
        <w:rPr>
          <w:sz w:val="20"/>
          <w:szCs w:val="20"/>
          <w:color w:val="auto"/>
        </w:rPr>
      </w:pPr>
    </w:p>
    <w:p>
      <w:pPr>
        <w:ind w:left="580" w:right="400"/>
        <w:spacing w:after="0" w:line="275" w:lineRule="auto"/>
        <w:rPr>
          <w:sz w:val="20"/>
          <w:szCs w:val="20"/>
          <w:color w:val="auto"/>
        </w:rPr>
      </w:pPr>
      <w:r>
        <w:rPr>
          <w:rFonts w:ascii="Times New Roman" w:cs="Times New Roman" w:eastAsia="Times New Roman" w:hAnsi="Times New Roman"/>
          <w:sz w:val="18"/>
          <w:szCs w:val="18"/>
          <w:color w:val="auto"/>
        </w:rPr>
        <w:t>The difference of $4 million in the quarter came from Oilfield Services headquarters projects and costs together with Oilfield Services consolidation eliminations.</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Q12)</w:t>
      </w:r>
      <w:r>
        <w:rPr>
          <w:sz w:val="20"/>
          <w:szCs w:val="20"/>
          <w:color w:val="auto"/>
        </w:rPr>
        <w:tab/>
      </w:r>
      <w:r>
        <w:rPr>
          <w:rFonts w:ascii="Times New Roman" w:cs="Times New Roman" w:eastAsia="Times New Roman" w:hAnsi="Times New Roman"/>
          <w:sz w:val="16"/>
          <w:szCs w:val="16"/>
          <w:b w:val="1"/>
          <w:bCs w:val="1"/>
          <w:color w:val="auto"/>
        </w:rPr>
        <w:t>What is the difference between Schlumberger pretax income, before charges and interest, and the pretax income of the two business segments?</w:t>
      </w:r>
    </w:p>
    <w:p>
      <w:pPr>
        <w:spacing w:after="0" w:line="79" w:lineRule="exact"/>
        <w:rPr>
          <w:sz w:val="20"/>
          <w:szCs w:val="20"/>
          <w:color w:val="auto"/>
        </w:rPr>
      </w:pPr>
    </w:p>
    <w:p>
      <w:pPr>
        <w:ind w:left="580" w:right="620"/>
        <w:spacing w:after="0" w:line="275" w:lineRule="auto"/>
        <w:rPr>
          <w:sz w:val="20"/>
          <w:szCs w:val="20"/>
          <w:color w:val="auto"/>
        </w:rPr>
      </w:pPr>
      <w:r>
        <w:rPr>
          <w:rFonts w:ascii="Times New Roman" w:cs="Times New Roman" w:eastAsia="Times New Roman" w:hAnsi="Times New Roman"/>
          <w:sz w:val="18"/>
          <w:szCs w:val="18"/>
          <w:color w:val="auto"/>
        </w:rPr>
        <w:t>The $56 million pretax difference during the quarter included items such as corporate headquarters expenses, interest on post-retirement benefits, amortization of certain identifiable intangibles, and employee stock purchase and stock option costs.</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Q13)</w:t>
      </w:r>
      <w:r>
        <w:rPr>
          <w:sz w:val="20"/>
          <w:szCs w:val="20"/>
          <w:color w:val="auto"/>
        </w:rPr>
        <w:tab/>
      </w:r>
      <w:r>
        <w:rPr>
          <w:rFonts w:ascii="Times New Roman" w:cs="Times New Roman" w:eastAsia="Times New Roman" w:hAnsi="Times New Roman"/>
          <w:sz w:val="16"/>
          <w:szCs w:val="16"/>
          <w:b w:val="1"/>
          <w:bCs w:val="1"/>
          <w:color w:val="auto"/>
        </w:rPr>
        <w:t>How does Schlumberger compute basic and fully diluted EPS?</w:t>
      </w:r>
    </w:p>
    <w:p>
      <w:pPr>
        <w:spacing w:after="0" w:line="79" w:lineRule="exact"/>
        <w:rPr>
          <w:sz w:val="20"/>
          <w:szCs w:val="20"/>
          <w:color w:val="auto"/>
        </w:rPr>
      </w:pPr>
    </w:p>
    <w:p>
      <w:pPr>
        <w:ind w:left="580" w:right="40"/>
        <w:spacing w:after="0" w:line="256"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ectPr>
          <w:pgSz w:w="11900" w:h="16838" w:orient="portrait"/>
          <w:cols w:equalWidth="0" w:num="1">
            <w:col w:w="11400"/>
          </w:cols>
          <w:pgMar w:left="240" w:top="272" w:right="259" w:bottom="1440" w:gutter="0" w:footer="0" w:header="0"/>
        </w:sectPr>
      </w:pPr>
    </w:p>
    <w:bookmarkStart w:id="21" w:name="page22"/>
    <w:bookmarkEnd w:id="21"/>
    <w:p>
      <w:pPr>
        <w:ind w:left="5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25" w:lineRule="exact"/>
        <w:rPr>
          <w:sz w:val="20"/>
          <w:szCs w:val="20"/>
          <w:color w:val="auto"/>
        </w:rPr>
      </w:pPr>
    </w:p>
    <w:p>
      <w:pPr>
        <w:ind w:left="580" w:right="520"/>
        <w:spacing w:after="0" w:line="275" w:lineRule="auto"/>
        <w:rPr>
          <w:sz w:val="20"/>
          <w:szCs w:val="20"/>
          <w:color w:val="auto"/>
        </w:rPr>
      </w:pPr>
      <w:r>
        <w:rPr>
          <w:rFonts w:ascii="Times New Roman" w:cs="Times New Roman" w:eastAsia="Times New Roman" w:hAnsi="Times New Roman"/>
          <w:sz w:val="18"/>
          <w:szCs w:val="18"/>
          <w:color w:val="auto"/>
        </w:rPr>
        <w:t>The shares from the potential conversion of the convertible bonds amount to 19 million and the interest expense on the convertible bonds was $7.2 million in the second quarter.</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Q14)</w:t>
      </w:r>
      <w:r>
        <w:rPr>
          <w:sz w:val="20"/>
          <w:szCs w:val="20"/>
          <w:color w:val="auto"/>
        </w:rPr>
        <w:tab/>
      </w:r>
      <w:r>
        <w:rPr>
          <w:rFonts w:ascii="Times New Roman" w:cs="Times New Roman" w:eastAsia="Times New Roman" w:hAnsi="Times New Roman"/>
          <w:sz w:val="17"/>
          <w:szCs w:val="17"/>
          <w:b w:val="1"/>
          <w:bCs w:val="1"/>
          <w:color w:val="auto"/>
        </w:rPr>
        <w:t>What was the Schlumberger annualized Return On Capital Employed (ROCE</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7"/>
          <w:szCs w:val="17"/>
          <w:b w:val="1"/>
          <w:bCs w:val="1"/>
          <w:color w:val="auto"/>
        </w:rPr>
        <w:t>) for the quarter?</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Annualized ROCE reached 24.5% in the second quarter of 2005 versus 21.2% in the first quarter of 2005 and 15.2% in the second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6000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5" w:lineRule="exact"/>
        <w:rPr>
          <w:sz w:val="20"/>
          <w:szCs w:val="20"/>
          <w:color w:val="auto"/>
        </w:rPr>
      </w:pPr>
    </w:p>
    <w:p>
      <w:pPr>
        <w:ind w:left="220" w:right="200" w:hanging="212"/>
        <w:spacing w:after="0" w:line="277"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ROCE </w:t>
      </w:r>
      <w:r>
        <w:rPr>
          <w:rFonts w:ascii="Times New Roman" w:cs="Times New Roman" w:eastAsia="Times New Roman" w:hAnsi="Times New Roman"/>
          <w:sz w:val="18"/>
          <w:szCs w:val="18"/>
          <w:color w:val="auto"/>
        </w:rPr>
        <w:t>is computed as [Net Income from continuing operations excluding charges and credits + Minority Interest + Interest Expense - Interest Income -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on interest expense] divided by the quarterly average of [Shareholders’ Equity + Net Debt + Minority Interest].</w:t>
      </w:r>
    </w:p>
    <w:p>
      <w:pPr>
        <w:spacing w:after="0" w:line="104" w:lineRule="exact"/>
        <w:rPr>
          <w:rFonts w:ascii="Times New Roman" w:cs="Times New Roman" w:eastAsia="Times New Roman" w:hAnsi="Times New Roman"/>
          <w:sz w:val="18"/>
          <w:szCs w:val="18"/>
          <w:color w:val="auto"/>
        </w:rPr>
      </w:pPr>
    </w:p>
    <w:p>
      <w:pPr>
        <w:ind w:left="5680" w:hanging="142"/>
        <w:spacing w:after="0"/>
        <w:tabs>
          <w:tab w:leader="none" w:pos="5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ectPr>
          <w:pgSz w:w="11900" w:h="16838" w:orient="portrait"/>
          <w:cols w:equalWidth="0" w:num="1">
            <w:col w:w="11400"/>
          </w:cols>
          <w:pgMar w:left="240" w:top="274" w:right="259" w:bottom="1440" w:gutter="0" w:footer="0" w:header="0"/>
        </w:sectPr>
      </w:pPr>
    </w:p>
    <w:bookmarkStart w:id="22" w:name="page23"/>
    <w:bookmarkEnd w:id="22"/>
    <w:p>
      <w:pPr>
        <w:ind w:right="2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Supplemental Information document also includes non-GAAP financial measures (as defined under the SEC’s Regulation G). The following is a reconciliation of these non-GAAP measures to the comparable GAAP measure: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Stated in millions except per share amounts )</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 2005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Tax</w:t>
            </w:r>
          </w:p>
        </w:tc>
        <w:tc>
          <w:tcPr>
            <w:tcW w:w="140" w:type="dxa"/>
            <w:vAlign w:val="bottom"/>
          </w:tcPr>
          <w:p>
            <w:pPr>
              <w:spacing w:after="0"/>
              <w:rPr>
                <w:sz w:val="22"/>
                <w:szCs w:val="22"/>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Min Int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per Consolidated Statement of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$ 679.3</w:t>
            </w:r>
          </w:p>
        </w:tc>
        <w:tc>
          <w:tcPr>
            <w:tcW w:w="1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9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(17.1)</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back Charges &amp; Credits: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Gain on sale of Montrouge facility</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Real estate related charges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9"/>
                <w:szCs w:val="19"/>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charges &amp; credits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$ 545.7</w:t>
            </w:r>
          </w:p>
        </w:tc>
        <w:tc>
          <w:tcPr>
            <w:tcW w:w="1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$138.5</w:t>
            </w:r>
          </w:p>
        </w:tc>
        <w:tc>
          <w:tcPr>
            <w:tcW w:w="9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(17.1)</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Before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7"/>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Charges &amp;</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Credits</w:t>
            </w:r>
          </w:p>
        </w:tc>
        <w:tc>
          <w:tcPr>
            <w:tcW w:w="60" w:type="dxa"/>
            <w:vAlign w:val="bottom"/>
          </w:tcPr>
          <w:p>
            <w:pPr>
              <w:spacing w:after="0"/>
              <w:rPr>
                <w:sz w:val="15"/>
                <w:szCs w:val="15"/>
                <w:color w:val="auto"/>
              </w:rPr>
            </w:pPr>
          </w:p>
        </w:tc>
        <w:tc>
          <w:tcPr>
            <w:tcW w:w="5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return on sales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tax before minority interest return on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8"/>
              </w:rPr>
              <w:t>0.65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-1175385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-1175385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-1175385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-1175385</wp:posOffset>
            </wp:positionV>
            <wp:extent cx="131635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recorded in the second quarter of 2005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question and answer document, the second quarter 2005 earnings release and other statements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second quarter 2005 earnings release,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amp;"/>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upperLetter"/>
      <w:start w:val="1"/>
    </w:lvl>
  </w:abstractNum>
  <w:abstractNum w:abstractNumId="14">
    <w:nsid w:val="6B68079A"/>
    <w:multiLevelType w:val="hybridMultilevel"/>
    <w:lvl w:ilvl="0">
      <w:lvlJc w:val="left"/>
      <w:lvlText w:val="%1)"/>
      <w:numFmt w:val="upperLetter"/>
      <w:start w:val="2"/>
    </w:lvl>
  </w:abstractNum>
  <w:abstractNum w:abstractNumId="15">
    <w:nsid w:val="4E6AFB66"/>
    <w:multiLevelType w:val="hybridMultilevel"/>
    <w:lvl w:ilvl="0">
      <w:lvlJc w:val="left"/>
      <w:lvlText w:val="%1)"/>
      <w:numFmt w:val="upperLetter"/>
      <w:start w:val="3"/>
    </w:lvl>
  </w:abstractNum>
  <w:abstractNum w:abstractNumId="16">
    <w:nsid w:val="25E45D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2019-12-13T06:37:18Z</dcterms:created>
  <dcterms:modified xsi:type="dcterms:W3CDTF">2019-12-13T06:37:18Z</dcterms:modified>
</cp:coreProperties>
</file>