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t>UNITED STATES</w:t>
      </w:r>
    </w:p>
    <w:p>
      <w:pPr>
        <w:spacing w:after="0" w:line="3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73025</wp:posOffset>
            </wp:positionV>
            <wp:extent cx="14560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175"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109220</wp:posOffset>
            </wp:positionV>
            <wp:extent cx="14560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46" w:lineRule="exact"/>
        <w:rPr>
          <w:sz w:val="24"/>
          <w:szCs w:val="24"/>
          <w:color w:val="auto"/>
        </w:rPr>
      </w:pPr>
    </w:p>
    <w:p>
      <w:pPr>
        <w:jc w:val="center"/>
        <w:ind w:right="20"/>
        <w:spacing w:after="0"/>
        <w:rPr>
          <w:sz w:val="20"/>
          <w:szCs w:val="20"/>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95250</wp:posOffset>
            </wp:positionV>
            <wp:extent cx="14560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3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June 30, 2016</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No.: 1-4601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94615</wp:posOffset>
            </wp:positionV>
            <wp:extent cx="14560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07"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N.V.</w:t>
      </w:r>
    </w:p>
    <w:p>
      <w:pPr>
        <w:spacing w:after="0" w:line="54"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(SCHLUMBERGER LIMITED)</w:t>
      </w: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2900045</wp:posOffset>
            </wp:positionH>
            <wp:positionV relativeFrom="paragraph">
              <wp:posOffset>90170</wp:posOffset>
            </wp:positionV>
            <wp:extent cx="14560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56055" cy="8255"/>
                    </a:xfrm>
                    <a:prstGeom prst="rect">
                      <a:avLst/>
                    </a:prstGeom>
                    <a:noFill/>
                  </pic:spPr>
                </pic:pic>
              </a:graphicData>
            </a:graphic>
          </wp:anchor>
        </w:drawing>
      </w:r>
    </w:p>
    <w:p>
      <w:pPr>
        <w:spacing w:after="0" w:line="239" w:lineRule="exact"/>
        <w:rPr>
          <w:sz w:val="24"/>
          <w:szCs w:val="24"/>
          <w:color w:val="auto"/>
        </w:rPr>
      </w:pPr>
    </w:p>
    <w:tbl>
      <w:tblPr>
        <w:tblLayout w:type="fixed"/>
        <w:tblInd w:w="1500" w:type="dxa"/>
        <w:tblCellMar>
          <w:top w:w="0" w:type="dxa"/>
          <w:left w:w="0" w:type="dxa"/>
          <w:bottom w:w="0" w:type="dxa"/>
          <w:right w:w="0" w:type="dxa"/>
        </w:tblCellMar>
      </w:tblPr>
      <w:tr>
        <w:trPr>
          <w:trHeight w:val="211"/>
        </w:trPr>
        <w:tc>
          <w:tcPr>
            <w:tcW w:w="4580" w:type="dxa"/>
            <w:vAlign w:val="bottom"/>
          </w:tcPr>
          <w:p>
            <w:pPr>
              <w:jc w:val="center"/>
              <w:ind w:right="1895"/>
              <w:spacing w:after="0"/>
              <w:rPr>
                <w:sz w:val="20"/>
                <w:szCs w:val="20"/>
                <w:color w:val="auto"/>
              </w:rPr>
            </w:pPr>
            <w:r>
              <w:rPr>
                <w:rFonts w:ascii="Arial" w:cs="Arial" w:eastAsia="Arial" w:hAnsi="Arial"/>
                <w:sz w:val="18"/>
                <w:szCs w:val="18"/>
                <w:b w:val="1"/>
                <w:bCs w:val="1"/>
                <w:color w:val="auto"/>
                <w:w w:val="99"/>
              </w:rPr>
              <w:t>CURAÇAO</w:t>
            </w:r>
          </w:p>
        </w:tc>
        <w:tc>
          <w:tcPr>
            <w:tcW w:w="3120" w:type="dxa"/>
            <w:vAlign w:val="bottom"/>
          </w:tcPr>
          <w:p>
            <w:pPr>
              <w:jc w:val="center"/>
              <w:ind w:left="1897"/>
              <w:spacing w:after="0"/>
              <w:rPr>
                <w:sz w:val="20"/>
                <w:szCs w:val="20"/>
                <w:color w:val="auto"/>
              </w:rPr>
            </w:pPr>
            <w:r>
              <w:rPr>
                <w:rFonts w:ascii="Arial" w:cs="Arial" w:eastAsia="Arial" w:hAnsi="Arial"/>
                <w:sz w:val="18"/>
                <w:szCs w:val="18"/>
                <w:b w:val="1"/>
                <w:bCs w:val="1"/>
                <w:color w:val="auto"/>
                <w:w w:val="89"/>
              </w:rPr>
              <w:t>52-0684746</w:t>
            </w:r>
          </w:p>
        </w:tc>
      </w:tr>
      <w:tr>
        <w:trPr>
          <w:trHeight w:val="148"/>
        </w:trPr>
        <w:tc>
          <w:tcPr>
            <w:tcW w:w="4580" w:type="dxa"/>
            <w:vAlign w:val="bottom"/>
          </w:tcPr>
          <w:p>
            <w:pPr>
              <w:jc w:val="center"/>
              <w:ind w:right="1895"/>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120" w:type="dxa"/>
            <w:vAlign w:val="bottom"/>
          </w:tcPr>
          <w:p>
            <w:pPr>
              <w:jc w:val="center"/>
              <w:ind w:left="1877"/>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580" w:type="dxa"/>
            <w:vAlign w:val="bottom"/>
          </w:tcPr>
          <w:p>
            <w:pPr>
              <w:jc w:val="center"/>
              <w:ind w:right="1895"/>
              <w:spacing w:after="0"/>
              <w:rPr>
                <w:sz w:val="20"/>
                <w:szCs w:val="20"/>
                <w:color w:val="auto"/>
              </w:rPr>
            </w:pPr>
            <w:r>
              <w:rPr>
                <w:rFonts w:ascii="Arial" w:cs="Arial" w:eastAsia="Arial" w:hAnsi="Arial"/>
                <w:sz w:val="14"/>
                <w:szCs w:val="14"/>
                <w:b w:val="1"/>
                <w:bCs w:val="1"/>
                <w:color w:val="auto"/>
                <w:w w:val="94"/>
              </w:rPr>
              <w:t>incorporation or organization)</w:t>
            </w:r>
          </w:p>
        </w:tc>
        <w:tc>
          <w:tcPr>
            <w:tcW w:w="3120" w:type="dxa"/>
            <w:vAlign w:val="bottom"/>
          </w:tcPr>
          <w:p>
            <w:pPr>
              <w:jc w:val="center"/>
              <w:ind w:left="1897"/>
              <w:spacing w:after="0"/>
              <w:rPr>
                <w:sz w:val="20"/>
                <w:szCs w:val="20"/>
                <w:color w:val="auto"/>
              </w:rPr>
            </w:pPr>
            <w:r>
              <w:rPr>
                <w:rFonts w:ascii="Arial" w:cs="Arial" w:eastAsia="Arial" w:hAnsi="Arial"/>
                <w:sz w:val="14"/>
                <w:szCs w:val="14"/>
                <w:b w:val="1"/>
                <w:bCs w:val="1"/>
                <w:color w:val="auto"/>
                <w:w w:val="96"/>
              </w:rPr>
              <w:t>Identification No.)</w:t>
            </w:r>
          </w:p>
        </w:tc>
      </w:tr>
      <w:tr>
        <w:trPr>
          <w:trHeight w:val="304"/>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rPr>
              <w:t>42 RUE SAINT-DOMINIQUE</w:t>
            </w:r>
          </w:p>
        </w:tc>
        <w:tc>
          <w:tcPr>
            <w:tcW w:w="3120" w:type="dxa"/>
            <w:vAlign w:val="bottom"/>
          </w:tcPr>
          <w:p>
            <w:pPr>
              <w:spacing w:after="0"/>
              <w:rPr>
                <w:sz w:val="24"/>
                <w:szCs w:val="24"/>
                <w:color w:val="auto"/>
              </w:rPr>
            </w:pPr>
          </w:p>
        </w:tc>
      </w:tr>
      <w:tr>
        <w:trPr>
          <w:trHeight w:val="234"/>
        </w:trPr>
        <w:tc>
          <w:tcPr>
            <w:tcW w:w="4580" w:type="dxa"/>
            <w:vAlign w:val="bottom"/>
          </w:tcPr>
          <w:p>
            <w:pPr>
              <w:jc w:val="center"/>
              <w:ind w:right="1895"/>
              <w:spacing w:after="0"/>
              <w:rPr>
                <w:sz w:val="20"/>
                <w:szCs w:val="20"/>
                <w:color w:val="auto"/>
              </w:rPr>
            </w:pPr>
            <w:r>
              <w:rPr>
                <w:rFonts w:ascii="Arial" w:cs="Arial" w:eastAsia="Arial" w:hAnsi="Arial"/>
                <w:sz w:val="18"/>
                <w:szCs w:val="18"/>
                <w:b w:val="1"/>
                <w:bCs w:val="1"/>
                <w:color w:val="auto"/>
                <w:w w:val="97"/>
              </w:rPr>
              <w:t>PARIS, FRANCE</w:t>
            </w:r>
          </w:p>
        </w:tc>
        <w:tc>
          <w:tcPr>
            <w:tcW w:w="312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75007</w:t>
            </w:r>
          </w:p>
        </w:tc>
      </w:tr>
      <w:tr>
        <w:trPr>
          <w:trHeight w:val="319"/>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6"/>
              </w:rPr>
              <w:t>5599 SAN FELIPE, 17th FLOOR</w:t>
            </w:r>
          </w:p>
        </w:tc>
        <w:tc>
          <w:tcPr>
            <w:tcW w:w="3120" w:type="dxa"/>
            <w:vAlign w:val="bottom"/>
          </w:tcPr>
          <w:p>
            <w:pPr>
              <w:spacing w:after="0"/>
              <w:rPr>
                <w:sz w:val="24"/>
                <w:szCs w:val="24"/>
                <w:color w:val="auto"/>
              </w:rPr>
            </w:pPr>
          </w:p>
        </w:tc>
      </w:tr>
      <w:tr>
        <w:trPr>
          <w:trHeight w:val="234"/>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7"/>
              </w:rPr>
              <w:t>HOUSTON, TEXAS, U.S.A.</w:t>
            </w:r>
          </w:p>
        </w:tc>
        <w:tc>
          <w:tcPr>
            <w:tcW w:w="3120" w:type="dxa"/>
            <w:vAlign w:val="bottom"/>
          </w:tcPr>
          <w:p>
            <w:pPr>
              <w:jc w:val="center"/>
              <w:ind w:left="1897"/>
              <w:spacing w:after="0"/>
              <w:rPr>
                <w:sz w:val="20"/>
                <w:szCs w:val="20"/>
                <w:color w:val="auto"/>
              </w:rPr>
            </w:pPr>
            <w:r>
              <w:rPr>
                <w:rFonts w:ascii="Arial" w:cs="Arial" w:eastAsia="Arial" w:hAnsi="Arial"/>
                <w:sz w:val="18"/>
                <w:szCs w:val="18"/>
                <w:b w:val="1"/>
                <w:bCs w:val="1"/>
                <w:color w:val="auto"/>
                <w:w w:val="91"/>
              </w:rPr>
              <w:t>77056</w:t>
            </w:r>
          </w:p>
        </w:tc>
      </w:tr>
      <w:tr>
        <w:trPr>
          <w:trHeight w:val="319"/>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rPr>
              <w:t>62 BUCKINGHAM GATE</w:t>
            </w:r>
          </w:p>
        </w:tc>
        <w:tc>
          <w:tcPr>
            <w:tcW w:w="3120" w:type="dxa"/>
            <w:vAlign w:val="bottom"/>
          </w:tcPr>
          <w:p>
            <w:pPr>
              <w:spacing w:after="0"/>
              <w:rPr>
                <w:sz w:val="24"/>
                <w:szCs w:val="24"/>
                <w:color w:val="auto"/>
              </w:rPr>
            </w:pPr>
          </w:p>
        </w:tc>
      </w:tr>
      <w:tr>
        <w:trPr>
          <w:trHeight w:val="234"/>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rPr>
              <w:t>LONDON, UNITED KINGDOM</w:t>
            </w:r>
          </w:p>
        </w:tc>
        <w:tc>
          <w:tcPr>
            <w:tcW w:w="3120" w:type="dxa"/>
            <w:vAlign w:val="bottom"/>
          </w:tcPr>
          <w:p>
            <w:pPr>
              <w:jc w:val="center"/>
              <w:ind w:left="1877"/>
              <w:spacing w:after="0"/>
              <w:rPr>
                <w:sz w:val="20"/>
                <w:szCs w:val="20"/>
                <w:color w:val="auto"/>
              </w:rPr>
            </w:pPr>
            <w:r>
              <w:rPr>
                <w:rFonts w:ascii="Arial" w:cs="Arial" w:eastAsia="Arial" w:hAnsi="Arial"/>
                <w:sz w:val="18"/>
                <w:szCs w:val="18"/>
                <w:b w:val="1"/>
                <w:bCs w:val="1"/>
                <w:color w:val="auto"/>
                <w:w w:val="94"/>
              </w:rPr>
              <w:t>SW1E 6AJ</w:t>
            </w:r>
          </w:p>
        </w:tc>
      </w:tr>
      <w:tr>
        <w:trPr>
          <w:trHeight w:val="319"/>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w w:val="98"/>
              </w:rPr>
              <w:t>PARKSTRAAT 83 THE HAGUE,</w:t>
            </w:r>
          </w:p>
        </w:tc>
        <w:tc>
          <w:tcPr>
            <w:tcW w:w="3120" w:type="dxa"/>
            <w:vAlign w:val="bottom"/>
          </w:tcPr>
          <w:p>
            <w:pPr>
              <w:spacing w:after="0"/>
              <w:rPr>
                <w:sz w:val="24"/>
                <w:szCs w:val="24"/>
                <w:color w:val="auto"/>
              </w:rPr>
            </w:pPr>
          </w:p>
        </w:tc>
      </w:tr>
      <w:tr>
        <w:trPr>
          <w:trHeight w:val="211"/>
        </w:trPr>
        <w:tc>
          <w:tcPr>
            <w:tcW w:w="4580" w:type="dxa"/>
            <w:vAlign w:val="bottom"/>
          </w:tcPr>
          <w:p>
            <w:pPr>
              <w:jc w:val="center"/>
              <w:ind w:right="1875"/>
              <w:spacing w:after="0"/>
              <w:rPr>
                <w:sz w:val="20"/>
                <w:szCs w:val="20"/>
                <w:color w:val="auto"/>
              </w:rPr>
            </w:pPr>
            <w:r>
              <w:rPr>
                <w:rFonts w:ascii="Arial" w:cs="Arial" w:eastAsia="Arial" w:hAnsi="Arial"/>
                <w:sz w:val="18"/>
                <w:szCs w:val="18"/>
                <w:b w:val="1"/>
                <w:bCs w:val="1"/>
                <w:color w:val="auto"/>
              </w:rPr>
              <w:t>THE NETHERLANDS</w:t>
            </w:r>
          </w:p>
        </w:tc>
        <w:tc>
          <w:tcPr>
            <w:tcW w:w="3120" w:type="dxa"/>
            <w:vAlign w:val="bottom"/>
          </w:tcPr>
          <w:p>
            <w:pPr>
              <w:jc w:val="center"/>
              <w:ind w:left="1897"/>
              <w:spacing w:after="0"/>
              <w:rPr>
                <w:sz w:val="20"/>
                <w:szCs w:val="20"/>
                <w:color w:val="auto"/>
              </w:rPr>
            </w:pPr>
            <w:r>
              <w:rPr>
                <w:rFonts w:ascii="Arial" w:cs="Arial" w:eastAsia="Arial" w:hAnsi="Arial"/>
                <w:sz w:val="18"/>
                <w:szCs w:val="18"/>
                <w:b w:val="1"/>
                <w:bCs w:val="1"/>
                <w:color w:val="auto"/>
                <w:w w:val="89"/>
              </w:rPr>
              <w:t>2514 JG</w:t>
            </w:r>
          </w:p>
        </w:tc>
      </w:tr>
      <w:tr>
        <w:trPr>
          <w:trHeight w:val="186"/>
        </w:trPr>
        <w:tc>
          <w:tcPr>
            <w:tcW w:w="4580" w:type="dxa"/>
            <w:vAlign w:val="bottom"/>
          </w:tcPr>
          <w:p>
            <w:pPr>
              <w:jc w:val="center"/>
              <w:ind w:right="1875"/>
              <w:spacing w:after="0"/>
              <w:rPr>
                <w:sz w:val="20"/>
                <w:szCs w:val="20"/>
                <w:color w:val="auto"/>
              </w:rPr>
            </w:pPr>
            <w:r>
              <w:rPr>
                <w:rFonts w:ascii="Arial" w:cs="Arial" w:eastAsia="Arial" w:hAnsi="Arial"/>
                <w:sz w:val="14"/>
                <w:szCs w:val="14"/>
                <w:b w:val="1"/>
                <w:bCs w:val="1"/>
                <w:color w:val="auto"/>
                <w:w w:val="90"/>
              </w:rPr>
              <w:t>(Addresses of principal executive offices)</w:t>
            </w:r>
          </w:p>
        </w:tc>
        <w:tc>
          <w:tcPr>
            <w:tcW w:w="3120" w:type="dxa"/>
            <w:vAlign w:val="bottom"/>
          </w:tcPr>
          <w:p>
            <w:pPr>
              <w:jc w:val="center"/>
              <w:ind w:left="1877"/>
              <w:spacing w:after="0"/>
              <w:rPr>
                <w:sz w:val="20"/>
                <w:szCs w:val="20"/>
                <w:color w:val="auto"/>
              </w:rPr>
            </w:pPr>
            <w:r>
              <w:rPr>
                <w:rFonts w:ascii="Arial" w:cs="Arial" w:eastAsia="Arial" w:hAnsi="Arial"/>
                <w:sz w:val="14"/>
                <w:szCs w:val="14"/>
                <w:b w:val="1"/>
                <w:bCs w:val="1"/>
                <w:color w:val="auto"/>
                <w:w w:val="93"/>
              </w:rPr>
              <w:t>(Zip Codes)</w:t>
            </w:r>
          </w:p>
        </w:tc>
      </w:tr>
    </w:tbl>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 the United States, including area code, is:</w:t>
      </w:r>
    </w:p>
    <w:p>
      <w:pPr>
        <w:spacing w:after="0" w:line="11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(713) 513-2000</w:t>
      </w:r>
    </w:p>
    <w:p>
      <w:pPr>
        <w:spacing w:after="0" w:line="121" w:lineRule="exact"/>
        <w:rPr>
          <w:sz w:val="24"/>
          <w:szCs w:val="24"/>
          <w:color w:val="auto"/>
        </w:rPr>
      </w:pPr>
    </w:p>
    <w:p>
      <w:pPr>
        <w:ind w:right="50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jc w:val="both"/>
        <w:ind w:right="80"/>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5" w:lineRule="exact"/>
        <w:rPr>
          <w:sz w:val="24"/>
          <w:szCs w:val="24"/>
          <w:color w:val="auto"/>
        </w:rPr>
      </w:pPr>
    </w:p>
    <w:p>
      <w:pPr>
        <w:ind w:right="160"/>
        <w:spacing w:after="0" w:line="307"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40"/>
          </w:cols>
          <w:pgMar w:left="240" w:top="206" w:right="219" w:bottom="1440" w:gutter="0" w:footer="0" w:header="0"/>
        </w:sectPr>
      </w:pPr>
    </w:p>
    <w:p>
      <w:pPr>
        <w:spacing w:after="0" w:line="53"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36" w:lineRule="exact"/>
        <w:rPr>
          <w:sz w:val="24"/>
          <w:szCs w:val="24"/>
          <w:color w:val="auto"/>
        </w:rPr>
      </w:pPr>
    </w:p>
    <w:p>
      <w:pPr>
        <w:sectPr>
          <w:pgSz w:w="11900" w:h="16838" w:orient="portrait"/>
          <w:cols w:equalWidth="0" w:num="4">
            <w:col w:w="1620" w:space="480"/>
            <w:col w:w="5280" w:space="720"/>
            <w:col w:w="2320" w:space="720"/>
            <w:col w:w="300"/>
          </w:cols>
          <w:pgMar w:left="240" w:top="206" w:right="219" w:bottom="1440" w:gutter="0" w:footer="0" w:header="0"/>
          <w:type w:val="continuous"/>
        </w:sectPr>
      </w:pPr>
    </w:p>
    <w:p>
      <w:pPr>
        <w:spacing w:after="0" w:line="33" w:lineRule="exact"/>
        <w:rPr>
          <w:sz w:val="24"/>
          <w:szCs w:val="24"/>
          <w:color w:val="auto"/>
        </w:rPr>
      </w:pPr>
    </w:p>
    <w:p>
      <w:pPr>
        <w:ind w:left="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5">
            <w:col w:w="1540" w:space="560"/>
            <w:col w:w="160" w:space="100"/>
            <w:col w:w="5020" w:space="720"/>
            <w:col w:w="2320" w:space="720"/>
            <w:col w:w="300"/>
          </w:cols>
          <w:pgMar w:left="240" w:top="206" w:right="21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7"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149" w:lineRule="exact"/>
        <w:rPr>
          <w:sz w:val="24"/>
          <w:szCs w:val="24"/>
          <w:color w:val="auto"/>
        </w:rPr>
      </w:pPr>
    </w:p>
    <w:p>
      <w:pPr>
        <w:sectPr>
          <w:pgSz w:w="11900" w:h="16838" w:orient="portrait"/>
          <w:cols w:equalWidth="0" w:num="4">
            <w:col w:w="8180" w:space="160"/>
            <w:col w:w="280" w:space="80"/>
            <w:col w:w="160" w:space="180"/>
            <w:col w:w="2400"/>
          </w:cols>
          <w:pgMar w:left="240" w:top="206" w:right="219" w:bottom="1440" w:gutter="0" w:footer="0" w:header="0"/>
          <w:type w:val="continuous"/>
        </w:sectPr>
      </w:pPr>
    </w:p>
    <w:p>
      <w:pPr>
        <w:spacing w:after="0"/>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w:t>
      </w:r>
    </w:p>
    <w:p>
      <w:pPr>
        <w:spacing w:after="0" w:line="93"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420" w:type="dxa"/>
            <w:vAlign w:val="bottom"/>
          </w:tcPr>
          <w:p>
            <w:pPr>
              <w:spacing w:after="0"/>
              <w:rPr>
                <w:sz w:val="20"/>
                <w:szCs w:val="20"/>
                <w:color w:val="auto"/>
              </w:rPr>
            </w:pPr>
            <w:r>
              <w:rPr>
                <w:rFonts w:ascii="Arial" w:cs="Arial" w:eastAsia="Arial" w:hAnsi="Arial"/>
                <w:sz w:val="18"/>
                <w:szCs w:val="18"/>
                <w:b w:val="1"/>
                <w:bCs w:val="1"/>
                <w:color w:val="auto"/>
                <w:w w:val="83"/>
              </w:rPr>
              <w:t>Class</w:t>
            </w:r>
          </w:p>
        </w:tc>
        <w:tc>
          <w:tcPr>
            <w:tcW w:w="4380" w:type="dxa"/>
            <w:vAlign w:val="bottom"/>
          </w:tcPr>
          <w:p>
            <w:pPr>
              <w:spacing w:after="0"/>
              <w:rPr>
                <w:sz w:val="20"/>
                <w:szCs w:val="20"/>
                <w:color w:val="auto"/>
              </w:rPr>
            </w:pPr>
          </w:p>
        </w:tc>
        <w:tc>
          <w:tcPr>
            <w:tcW w:w="22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Outstanding at June 30, 2016</w:t>
            </w:r>
          </w:p>
        </w:tc>
        <w:tc>
          <w:tcPr>
            <w:tcW w:w="600" w:type="dxa"/>
            <w:vAlign w:val="bottom"/>
          </w:tcPr>
          <w:p>
            <w:pPr>
              <w:spacing w:after="0"/>
              <w:rPr>
                <w:sz w:val="20"/>
                <w:szCs w:val="20"/>
                <w:color w:val="auto"/>
              </w:rPr>
            </w:pPr>
          </w:p>
        </w:tc>
      </w:tr>
      <w:tr>
        <w:trPr>
          <w:trHeight w:val="243"/>
        </w:trPr>
        <w:tc>
          <w:tcPr>
            <w:tcW w:w="4220" w:type="dxa"/>
            <w:vAlign w:val="bottom"/>
            <w:gridSpan w:val="2"/>
          </w:tcPr>
          <w:p>
            <w:pPr>
              <w:spacing w:after="0"/>
              <w:rPr>
                <w:sz w:val="20"/>
                <w:szCs w:val="20"/>
                <w:color w:val="auto"/>
              </w:rPr>
            </w:pPr>
            <w:r>
              <w:rPr>
                <w:rFonts w:ascii="Arial" w:cs="Arial" w:eastAsia="Arial" w:hAnsi="Arial"/>
                <w:sz w:val="18"/>
                <w:szCs w:val="18"/>
                <w:color w:val="auto"/>
                <w:w w:val="99"/>
              </w:rPr>
              <w:t>COMMON STOCK, $0.01 PAR VALUE PER SHARE</w:t>
            </w:r>
          </w:p>
        </w:tc>
        <w:tc>
          <w:tcPr>
            <w:tcW w:w="6620" w:type="dxa"/>
            <w:vAlign w:val="bottom"/>
            <w:gridSpan w:val="2"/>
          </w:tcPr>
          <w:p>
            <w:pPr>
              <w:jc w:val="right"/>
              <w:ind w:right="510"/>
              <w:spacing w:after="0"/>
              <w:rPr>
                <w:sz w:val="20"/>
                <w:szCs w:val="20"/>
                <w:color w:val="auto"/>
              </w:rPr>
            </w:pPr>
            <w:r>
              <w:rPr>
                <w:rFonts w:ascii="Arial" w:cs="Arial" w:eastAsia="Arial" w:hAnsi="Arial"/>
                <w:sz w:val="18"/>
                <w:szCs w:val="18"/>
                <w:color w:val="auto"/>
              </w:rPr>
              <w:t>1,390,693,530</w:t>
            </w:r>
          </w:p>
        </w:tc>
        <w:tc>
          <w:tcPr>
            <w:tcW w:w="600" w:type="dxa"/>
            <w:vAlign w:val="bottom"/>
          </w:tcPr>
          <w:p>
            <w:pPr>
              <w:spacing w:after="0"/>
              <w:rPr>
                <w:sz w:val="21"/>
                <w:szCs w:val="21"/>
                <w:color w:val="auto"/>
              </w:rPr>
            </w:pPr>
          </w:p>
        </w:tc>
      </w:tr>
      <w:tr>
        <w:trPr>
          <w:trHeight w:val="911"/>
        </w:trPr>
        <w:tc>
          <w:tcPr>
            <w:tcW w:w="38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4380" w:type="dxa"/>
            <w:vAlign w:val="bottom"/>
            <w:tcBorders>
              <w:bottom w:val="single" w:sz="8" w:color="9A9A9A"/>
            </w:tcBorders>
          </w:tcPr>
          <w:p>
            <w:pPr>
              <w:spacing w:after="0"/>
              <w:rPr>
                <w:sz w:val="24"/>
                <w:szCs w:val="24"/>
                <w:color w:val="auto"/>
              </w:rPr>
            </w:pPr>
          </w:p>
        </w:tc>
        <w:tc>
          <w:tcPr>
            <w:tcW w:w="224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06"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SCHLUMBERGER LIMITED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Quarter 2016 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PART I</w:t>
            </w:r>
          </w:p>
        </w:tc>
        <w:tc>
          <w:tcPr>
            <w:tcW w:w="9660" w:type="dxa"/>
            <w:vAlign w:val="bottom"/>
            <w:gridSpan w:val="11"/>
            <w:vMerge w:val="restart"/>
          </w:tcPr>
          <w:p>
            <w:pPr>
              <w:spacing w:after="0"/>
              <w:rPr>
                <w:sz w:val="20"/>
                <w:szCs w:val="20"/>
                <w:color w:val="auto"/>
              </w:rPr>
            </w:pPr>
            <w:r>
              <w:rPr>
                <w:rFonts w:ascii="Arial" w:cs="Arial" w:eastAsia="Arial" w:hAnsi="Arial"/>
                <w:sz w:val="18"/>
                <w:szCs w:val="18"/>
                <w:b w:val="1"/>
                <w:bCs w:val="1"/>
                <w:color w:val="auto"/>
              </w:rPr>
              <w:t>Financial Information</w:t>
            </w:r>
          </w:p>
        </w:tc>
        <w:tc>
          <w:tcPr>
            <w:tcW w:w="4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209"/>
        </w:trPr>
        <w:tc>
          <w:tcPr>
            <w:tcW w:w="1160" w:type="dxa"/>
            <w:vAlign w:val="bottom"/>
            <w:vMerge w:val="continue"/>
          </w:tcPr>
          <w:p>
            <w:pPr>
              <w:spacing w:after="0"/>
              <w:rPr>
                <w:sz w:val="18"/>
                <w:szCs w:val="18"/>
                <w:color w:val="auto"/>
              </w:rPr>
            </w:pPr>
          </w:p>
        </w:tc>
        <w:tc>
          <w:tcPr>
            <w:tcW w:w="9660" w:type="dxa"/>
            <w:vAlign w:val="bottom"/>
            <w:gridSpan w:val="11"/>
            <w:vMerge w:val="continue"/>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1520" w:type="dxa"/>
            <w:vAlign w:val="bottom"/>
            <w:tcBorders>
              <w:bottom w:val="single" w:sz="8" w:color="0000EE"/>
            </w:tcBorders>
            <w:gridSpan w:val="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Financial Statements</w:t>
              </w:r>
            </w:hyperlink>
          </w:p>
        </w:tc>
        <w:tc>
          <w:tcPr>
            <w:tcW w:w="8140" w:type="dxa"/>
            <w:vAlign w:val="bottom"/>
            <w:gridSpan w:val="6"/>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9660" w:type="dxa"/>
            <w:vAlign w:val="bottom"/>
            <w:gridSpan w:val="11"/>
          </w:tcPr>
          <w:p>
            <w:pPr>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432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w:anchor="page28">
              <w:r>
                <w:rPr>
                  <w:rFonts w:ascii="Arial" w:cs="Arial" w:eastAsia="Arial" w:hAnsi="Arial"/>
                  <w:sz w:val="18"/>
                  <w:szCs w:val="18"/>
                  <w:color w:val="0000EE"/>
                  <w:w w:val="91"/>
                </w:rPr>
                <w:t>Quantitative and Qualitative Disclosures about Market Risk</w:t>
              </w:r>
            </w:hyperlink>
          </w:p>
        </w:tc>
        <w:tc>
          <w:tcPr>
            <w:tcW w:w="2140" w:type="dxa"/>
            <w:vAlign w:val="bottom"/>
            <w:tcBorders>
              <w:top w:val="single" w:sz="8" w:color="0000EE"/>
            </w:tcBorders>
            <w:gridSpan w:val="2"/>
          </w:tcPr>
          <w:p>
            <w:pPr>
              <w:spacing w:after="0"/>
              <w:rPr>
                <w:sz w:val="24"/>
                <w:szCs w:val="24"/>
                <w:color w:val="auto"/>
              </w:rPr>
            </w:pPr>
          </w:p>
        </w:tc>
        <w:tc>
          <w:tcPr>
            <w:tcW w:w="3200" w:type="dxa"/>
            <w:vAlign w:val="bottom"/>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28">
              <w:r>
                <w:rPr>
                  <w:rFonts w:ascii="Arial" w:cs="Arial" w:eastAsia="Arial" w:hAnsi="Arial"/>
                  <w:sz w:val="18"/>
                  <w:szCs w:val="18"/>
                  <w:color w:val="0000EE"/>
                  <w:w w:val="88"/>
                </w:rPr>
                <w:t>Controls and Procedures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317"/>
        </w:trPr>
        <w:tc>
          <w:tcPr>
            <w:tcW w:w="1160" w:type="dxa"/>
            <w:vAlign w:val="bottom"/>
          </w:tcPr>
          <w:p>
            <w:pPr>
              <w:ind w:left="60"/>
              <w:spacing w:after="0"/>
              <w:rPr>
                <w:sz w:val="20"/>
                <w:szCs w:val="20"/>
                <w:color w:val="auto"/>
              </w:rPr>
            </w:pPr>
            <w:r>
              <w:rPr>
                <w:rFonts w:ascii="Arial" w:cs="Arial" w:eastAsia="Arial" w:hAnsi="Arial"/>
                <w:sz w:val="18"/>
                <w:szCs w:val="18"/>
                <w:b w:val="1"/>
                <w:bCs w:val="1"/>
                <w:color w:val="auto"/>
              </w:rPr>
              <w:t>PART II</w:t>
            </w:r>
          </w:p>
        </w:tc>
        <w:tc>
          <w:tcPr>
            <w:tcW w:w="9660" w:type="dxa"/>
            <w:vAlign w:val="bottom"/>
            <w:gridSpan w:val="11"/>
          </w:tcPr>
          <w:p>
            <w:pPr>
              <w:spacing w:after="0"/>
              <w:rPr>
                <w:sz w:val="20"/>
                <w:szCs w:val="20"/>
                <w:color w:val="auto"/>
              </w:rPr>
            </w:pPr>
            <w:r>
              <w:rPr>
                <w:rFonts w:ascii="Arial" w:cs="Arial" w:eastAsia="Arial" w:hAnsi="Arial"/>
                <w:sz w:val="18"/>
                <w:szCs w:val="18"/>
                <w:b w:val="1"/>
                <w:bCs w:val="1"/>
                <w:color w:val="auto"/>
              </w:rPr>
              <w:t>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9660" w:type="dxa"/>
            <w:vAlign w:val="bottom"/>
            <w:gridSpan w:val="11"/>
          </w:tcPr>
          <w:p>
            <w:pPr>
              <w:spacing w:after="0"/>
              <w:rPr>
                <w:rFonts w:ascii="Arial" w:cs="Arial" w:eastAsia="Arial" w:hAnsi="Arial"/>
                <w:sz w:val="18"/>
                <w:szCs w:val="18"/>
                <w:color w:val="0000EE"/>
              </w:rPr>
            </w:pPr>
            <w:hyperlink w:anchor="page28">
              <w:r>
                <w:rPr>
                  <w:rFonts w:ascii="Arial" w:cs="Arial" w:eastAsia="Arial" w:hAnsi="Arial"/>
                  <w:sz w:val="18"/>
                  <w:szCs w:val="18"/>
                  <w:color w:val="0000EE"/>
                </w:rPr>
                <w:t>Legal Proceedings</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1A.</w:t>
            </w:r>
          </w:p>
        </w:tc>
        <w:tc>
          <w:tcPr>
            <w:tcW w:w="9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Risk Factors</w:t>
              </w:r>
            </w:hyperlink>
          </w:p>
        </w:tc>
        <w:tc>
          <w:tcPr>
            <w:tcW w:w="420" w:type="dxa"/>
            <w:vAlign w:val="bottom"/>
            <w:tcBorders>
              <w:top w:val="single" w:sz="8" w:color="0000EE"/>
            </w:tcBorders>
            <w:gridSpan w:val="2"/>
          </w:tcPr>
          <w:p>
            <w:pPr>
              <w:spacing w:after="0"/>
              <w:rPr>
                <w:sz w:val="24"/>
                <w:szCs w:val="24"/>
                <w:color w:val="auto"/>
              </w:rPr>
            </w:pPr>
          </w:p>
        </w:tc>
        <w:tc>
          <w:tcPr>
            <w:tcW w:w="8320" w:type="dxa"/>
            <w:vAlign w:val="bottom"/>
            <w:gridSpan w:val="7"/>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4360" w:type="dxa"/>
            <w:vAlign w:val="bottom"/>
            <w:tcBorders>
              <w:bottom w:val="single" w:sz="8" w:color="0000EE"/>
            </w:tcBorders>
            <w:gridSpan w:val="9"/>
          </w:tcPr>
          <w:p>
            <w:pPr>
              <w:spacing w:after="0"/>
              <w:rPr>
                <w:rFonts w:ascii="Arial" w:cs="Arial" w:eastAsia="Arial" w:hAnsi="Arial"/>
                <w:sz w:val="18"/>
                <w:szCs w:val="18"/>
                <w:color w:val="0000EE"/>
                <w:w w:val="89"/>
              </w:rPr>
            </w:pPr>
            <w:hyperlink w:anchor="page28">
              <w:r>
                <w:rPr>
                  <w:rFonts w:ascii="Arial" w:cs="Arial" w:eastAsia="Arial" w:hAnsi="Arial"/>
                  <w:sz w:val="18"/>
                  <w:szCs w:val="18"/>
                  <w:color w:val="0000EE"/>
                  <w:w w:val="89"/>
                </w:rPr>
                <w:t>Unregistered Sales of Equity Securities and Use of Proceeds</w:t>
              </w:r>
            </w:hyperlink>
          </w:p>
        </w:tc>
        <w:tc>
          <w:tcPr>
            <w:tcW w:w="5300" w:type="dxa"/>
            <w:vAlign w:val="bottom"/>
            <w:gridSpan w:val="2"/>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2340" w:type="dxa"/>
            <w:vAlign w:val="bottom"/>
            <w:tcBorders>
              <w:bottom w:val="single" w:sz="8" w:color="0000EE"/>
            </w:tcBorders>
            <w:gridSpan w:val="7"/>
          </w:tcPr>
          <w:p>
            <w:pPr>
              <w:spacing w:after="0"/>
              <w:rPr>
                <w:rFonts w:ascii="Arial" w:cs="Arial" w:eastAsia="Arial" w:hAnsi="Arial"/>
                <w:sz w:val="18"/>
                <w:szCs w:val="18"/>
                <w:color w:val="0000EE"/>
                <w:w w:val="90"/>
              </w:rPr>
            </w:pPr>
            <w:hyperlink w:anchor="page29">
              <w:r>
                <w:rPr>
                  <w:rFonts w:ascii="Arial" w:cs="Arial" w:eastAsia="Arial" w:hAnsi="Arial"/>
                  <w:sz w:val="18"/>
                  <w:szCs w:val="18"/>
                  <w:color w:val="0000EE"/>
                  <w:w w:val="90"/>
                </w:rPr>
                <w:t>Defaults Upon Senior Securities</w:t>
              </w:r>
            </w:hyperlink>
          </w:p>
        </w:tc>
        <w:tc>
          <w:tcPr>
            <w:tcW w:w="7320" w:type="dxa"/>
            <w:vAlign w:val="bottom"/>
            <w:gridSpan w:val="4"/>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780" w:type="dxa"/>
            <w:vAlign w:val="bottom"/>
            <w:tcBorders>
              <w:bottom w:val="single" w:sz="8" w:color="0000EE"/>
            </w:tcBorders>
            <w:gridSpan w:val="6"/>
          </w:tcPr>
          <w:p>
            <w:pPr>
              <w:spacing w:after="0"/>
              <w:rPr>
                <w:rFonts w:ascii="Arial" w:cs="Arial" w:eastAsia="Arial" w:hAnsi="Arial"/>
                <w:sz w:val="18"/>
                <w:szCs w:val="18"/>
                <w:color w:val="0000EE"/>
                <w:w w:val="91"/>
              </w:rPr>
            </w:pPr>
            <w:hyperlink w:anchor="page29">
              <w:r>
                <w:rPr>
                  <w:rFonts w:ascii="Arial" w:cs="Arial" w:eastAsia="Arial" w:hAnsi="Arial"/>
                  <w:sz w:val="18"/>
                  <w:szCs w:val="18"/>
                  <w:color w:val="0000EE"/>
                  <w:w w:val="91"/>
                </w:rPr>
                <w:t>Mine Safety Disclosures</w:t>
              </w:r>
            </w:hyperlink>
          </w:p>
        </w:tc>
        <w:tc>
          <w:tcPr>
            <w:tcW w:w="7880" w:type="dxa"/>
            <w:vAlign w:val="bottom"/>
            <w:gridSpan w:val="5"/>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9660" w:type="dxa"/>
            <w:vAlign w:val="bottom"/>
            <w:gridSpan w:val="1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Other Information</w:t>
              </w:r>
            </w:hyperlink>
          </w:p>
        </w:tc>
        <w:tc>
          <w:tcPr>
            <w:tcW w:w="4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7"/>
        </w:trPr>
        <w:tc>
          <w:tcPr>
            <w:tcW w:w="11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320" w:type="dxa"/>
            <w:vAlign w:val="bottom"/>
            <w:tcBorders>
              <w:top w:val="single" w:sz="8" w:color="0000EE"/>
            </w:tcBorders>
            <w:gridSpan w:val="3"/>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Exhibits</w:t>
              </w:r>
            </w:hyperlink>
          </w:p>
        </w:tc>
        <w:tc>
          <w:tcPr>
            <w:tcW w:w="8340" w:type="dxa"/>
            <w:vAlign w:val="bottom"/>
            <w:gridSpan w:val="8"/>
          </w:tcPr>
          <w:p>
            <w:pPr>
              <w:spacing w:after="0"/>
              <w:rPr>
                <w:sz w:val="24"/>
                <w:szCs w:val="24"/>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060" w:type="dxa"/>
            <w:vAlign w:val="bottom"/>
            <w:gridSpan w:val="1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1160" w:type="dxa"/>
            <w:vAlign w:val="bottom"/>
          </w:tcPr>
          <w:p>
            <w:pPr>
              <w:spacing w:after="0"/>
              <w:rPr>
                <w:sz w:val="24"/>
                <w:szCs w:val="24"/>
                <w:color w:val="auto"/>
              </w:rPr>
            </w:pPr>
          </w:p>
        </w:tc>
        <w:tc>
          <w:tcPr>
            <w:tcW w:w="9660" w:type="dxa"/>
            <w:vAlign w:val="bottom"/>
            <w:gridSpan w:val="11"/>
          </w:tcPr>
          <w:p>
            <w:pPr>
              <w:spacing w:after="0"/>
              <w:rPr>
                <w:sz w:val="20"/>
                <w:szCs w:val="20"/>
                <w:color w:val="auto"/>
              </w:rPr>
            </w:pPr>
            <w:r>
              <w:rPr>
                <w:rFonts w:ascii="Arial" w:cs="Arial" w:eastAsia="Arial" w:hAnsi="Arial"/>
                <w:sz w:val="18"/>
                <w:szCs w:val="18"/>
                <w:color w:val="auto"/>
              </w:rPr>
              <w:t>Certifications</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-45085</wp:posOffset>
            </wp:positionH>
            <wp:positionV relativeFrom="paragraph">
              <wp:posOffset>70485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300"/>
          </w:cols>
          <w:pgMar w:left="300" w:top="121"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u w:val="single" w:color="auto"/>
          <w:color w:val="auto"/>
        </w:rPr>
        <w:t>PART I.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Financial Statements.</w:t>
      </w:r>
    </w:p>
    <w:p>
      <w:pPr>
        <w:spacing w:after="0" w:line="200" w:lineRule="exact"/>
        <w:rPr>
          <w:sz w:val="20"/>
          <w:szCs w:val="20"/>
          <w:color w:val="auto"/>
        </w:rPr>
      </w:pPr>
    </w:p>
    <w:p>
      <w:pPr>
        <w:spacing w:after="0" w:line="241" w:lineRule="exact"/>
        <w:rPr>
          <w:sz w:val="20"/>
          <w:szCs w:val="20"/>
          <w:color w:val="auto"/>
        </w:rPr>
      </w:pPr>
    </w:p>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860"/>
        <w:spacing w:after="0"/>
        <w:rPr>
          <w:sz w:val="20"/>
          <w:szCs w:val="20"/>
          <w:color w:val="auto"/>
        </w:rPr>
      </w:pPr>
      <w:r>
        <w:rPr>
          <w:rFonts w:ascii="Arial" w:cs="Arial" w:eastAsia="Arial" w:hAnsi="Arial"/>
          <w:sz w:val="18"/>
          <w:szCs w:val="18"/>
          <w:b w:val="1"/>
          <w:bCs w:val="1"/>
          <w:u w:val="single" w:color="auto"/>
          <w:color w:val="auto"/>
        </w:rPr>
        <w:t>CONSOLIDATED STATEMENT OF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960" w:type="dxa"/>
            <w:vAlign w:val="bottom"/>
            <w:gridSpan w:val="8"/>
          </w:tcPr>
          <w:p>
            <w:pPr>
              <w:ind w:left="200"/>
              <w:spacing w:after="0"/>
              <w:rPr>
                <w:sz w:val="20"/>
                <w:szCs w:val="20"/>
                <w:color w:val="auto"/>
              </w:rPr>
            </w:pPr>
            <w:r>
              <w:rPr>
                <w:rFonts w:ascii="Arial" w:cs="Arial" w:eastAsia="Arial" w:hAnsi="Arial"/>
                <w:sz w:val="14"/>
                <w:szCs w:val="14"/>
                <w:i w:val="1"/>
                <w:iCs w:val="1"/>
                <w:color w:val="auto"/>
                <w:w w:val="96"/>
              </w:rPr>
              <w:t>(Stated in millions, except per share amounts</w:t>
            </w:r>
            <w:r>
              <w:rPr>
                <w:rFonts w:ascii="Arial" w:cs="Arial" w:eastAsia="Arial" w:hAnsi="Arial"/>
                <w:sz w:val="14"/>
                <w:szCs w:val="14"/>
                <w:color w:val="auto"/>
                <w:w w:val="96"/>
              </w:rPr>
              <w:t>)</w:t>
            </w:r>
          </w:p>
        </w:tc>
      </w:tr>
      <w:tr>
        <w:trPr>
          <w:trHeight w:val="444"/>
        </w:trPr>
        <w:tc>
          <w:tcPr>
            <w:tcW w:w="58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5"/>
          </w:tcPr>
          <w:p>
            <w:pPr>
              <w:jc w:val="right"/>
              <w:ind w:right="590"/>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Revenue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Services</w:t>
            </w:r>
          </w:p>
        </w:tc>
        <w:tc>
          <w:tcPr>
            <w:tcW w:w="260" w:type="dxa"/>
            <w:vAlign w:val="bottom"/>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4,955</w:t>
            </w:r>
          </w:p>
        </w:tc>
        <w:tc>
          <w:tcPr>
            <w:tcW w:w="160" w:type="dxa"/>
            <w:vAlign w:val="bottom"/>
          </w:tcPr>
          <w:p>
            <w:pPr>
              <w:spacing w:after="0"/>
              <w:rPr>
                <w:sz w:val="19"/>
                <w:szCs w:val="19"/>
                <w:color w:val="auto"/>
              </w:rPr>
            </w:pP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8,080</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10,718</w:t>
            </w:r>
          </w:p>
        </w:tc>
        <w:tc>
          <w:tcPr>
            <w:tcW w:w="160" w:type="dxa"/>
            <w:vAlign w:val="bottom"/>
          </w:tcPr>
          <w:p>
            <w:pPr>
              <w:spacing w:after="0"/>
              <w:rPr>
                <w:sz w:val="19"/>
                <w:szCs w:val="19"/>
                <w:color w:val="auto"/>
              </w:rPr>
            </w:pPr>
          </w:p>
        </w:tc>
        <w:tc>
          <w:tcPr>
            <w:tcW w:w="440" w:type="dxa"/>
            <w:vAlign w:val="bottom"/>
            <w:gridSpan w:val="2"/>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17,322</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Product sales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2,209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930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2,966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1,936</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i w:val="1"/>
                <w:iCs w:val="1"/>
                <w:color w:val="auto"/>
              </w:rPr>
              <w:t>Total Revenue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9,010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13,684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19,258</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Interest &amp; other income</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i w:val="1"/>
                <w:iCs w:val="1"/>
                <w:color w:val="auto"/>
              </w:rPr>
              <w:t>Expenses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Cost of services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4,332</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6,368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9,126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13,641</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1,983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768</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2,648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1,591</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Research &amp; engineering</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497</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546</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General &amp; administrative</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103</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213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Impairments &amp; other</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2,573</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2,573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Merger &amp; integration</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335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Interest</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282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168</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i w:val="1"/>
                <w:iCs w:val="1"/>
                <w:color w:val="auto"/>
              </w:rPr>
              <w:t>Income (loss) before taxes</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(2,514)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1,436</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(1,892)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Taxes on income (loss)</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(368)</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(269)</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608</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i w:val="1"/>
                <w:iCs w:val="1"/>
                <w:color w:val="auto"/>
              </w:rPr>
              <w:t>Net income (loss)</w:t>
            </w:r>
          </w:p>
        </w:tc>
        <w:tc>
          <w:tcPr>
            <w:tcW w:w="26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(2,146)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(1,623)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2,122</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income attributable to noncontrolling interests</w:t>
            </w:r>
          </w:p>
        </w:tc>
        <w:tc>
          <w:tcPr>
            <w:tcW w:w="26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20"/>
                <w:szCs w:val="20"/>
                <w:color w:val="auto"/>
              </w:rPr>
            </w:pPr>
            <w:r>
              <w:rPr>
                <w:rFonts w:ascii="Arial" w:cs="Arial" w:eastAsia="Arial" w:hAnsi="Arial"/>
                <w:sz w:val="18"/>
                <w:szCs w:val="18"/>
                <w:i w:val="1"/>
                <w:iCs w:val="1"/>
                <w:color w:val="auto"/>
              </w:rPr>
              <w:t>Net income (loss) attributable to Schlumberger</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(2,160)</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1,124</w:t>
            </w:r>
          </w:p>
        </w:tc>
        <w:tc>
          <w:tcPr>
            <w:tcW w:w="24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(1,659)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2,099</w:t>
            </w: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Basic earnings (loss) per share of Schlumberger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Diluted earnings (loss) per share of Schlumberger</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(1.56)</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0.88</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(1.26)</w:t>
            </w:r>
          </w:p>
        </w:tc>
        <w:tc>
          <w:tcPr>
            <w:tcW w:w="440" w:type="dxa"/>
            <w:vAlign w:val="bottom"/>
            <w:gridSpan w:val="2"/>
            <w:shd w:val="clear" w:color="auto" w:fill="CFF0FC"/>
          </w:tcPr>
          <w:p>
            <w:pPr>
              <w:jc w:val="right"/>
              <w:ind w:right="17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9"/>
                <w:szCs w:val="19"/>
                <w:color w:val="auto"/>
              </w:rPr>
            </w:pPr>
          </w:p>
        </w:tc>
      </w:tr>
      <w:tr>
        <w:trPr>
          <w:trHeight w:val="20"/>
        </w:trPr>
        <w:tc>
          <w:tcPr>
            <w:tcW w:w="588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210"/>
        </w:trPr>
        <w:tc>
          <w:tcPr>
            <w:tcW w:w="5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Average shares outstanding:</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Basic</w:t>
            </w: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1,269</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1,321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1,273</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Assuming dilution</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1,280</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1,282</w:t>
            </w:r>
          </w:p>
        </w:tc>
        <w:tc>
          <w:tcPr>
            <w:tcW w:w="100" w:type="dxa"/>
            <w:vAlign w:val="bottom"/>
            <w:shd w:val="clear" w:color="auto" w:fill="CFF0FC"/>
          </w:tcPr>
          <w:p>
            <w:pPr>
              <w:spacing w:after="0"/>
              <w:rPr>
                <w:sz w:val="19"/>
                <w:szCs w:val="19"/>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 w:name="page4"/>
    <w:bookmarkEnd w:id="3"/>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040"/>
        <w:spacing w:after="0"/>
        <w:rPr>
          <w:sz w:val="20"/>
          <w:szCs w:val="20"/>
          <w:color w:val="auto"/>
        </w:rPr>
      </w:pPr>
      <w:r>
        <w:rPr>
          <w:rFonts w:ascii="Arial" w:cs="Arial" w:eastAsia="Arial" w:hAnsi="Arial"/>
          <w:sz w:val="18"/>
          <w:szCs w:val="18"/>
          <w:b w:val="1"/>
          <w:bCs w:val="1"/>
          <w:u w:val="single" w:color="auto"/>
          <w:color w:val="auto"/>
        </w:rPr>
        <w:t>CONSOLIDATED STATEMENT OF COMPREHENSIVE INCOME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6"/>
          </w:tcPr>
          <w:p>
            <w:pPr>
              <w:jc w:val="right"/>
              <w:ind w:right="840"/>
              <w:spacing w:after="0"/>
              <w:rPr>
                <w:sz w:val="20"/>
                <w:szCs w:val="20"/>
                <w:color w:val="auto"/>
              </w:rPr>
            </w:pPr>
            <w:r>
              <w:rPr>
                <w:rFonts w:ascii="Arial" w:cs="Arial" w:eastAsia="Arial" w:hAnsi="Arial"/>
                <w:sz w:val="18"/>
                <w:szCs w:val="18"/>
                <w:b w:val="1"/>
                <w:bCs w:val="1"/>
                <w:color w:val="auto"/>
              </w:rPr>
              <w:t>Second Quarter</w:t>
            </w: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20" w:type="dxa"/>
            <w:vAlign w:val="bottom"/>
            <w:gridSpan w:val="4"/>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2015</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60" w:type="dxa"/>
            <w:vAlign w:val="bottom"/>
            <w:tcBorders>
              <w:top w:val="single" w:sz="8" w:color="auto"/>
              <w:bottom w:val="single" w:sz="8" w:color="CFF0FC"/>
            </w:tcBorders>
          </w:tcPr>
          <w:p>
            <w:pPr>
              <w:spacing w:after="0"/>
              <w:rPr>
                <w:sz w:val="19"/>
                <w:szCs w:val="19"/>
                <w:color w:val="auto"/>
              </w:rPr>
            </w:pPr>
          </w:p>
        </w:tc>
        <w:tc>
          <w:tcPr>
            <w:tcW w:w="80" w:type="dxa"/>
            <w:vAlign w:val="bottom"/>
            <w:tcBorders>
              <w:top w:val="single" w:sz="8" w:color="auto"/>
              <w:bottom w:val="single" w:sz="8" w:color="CFF0FC"/>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Net income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(2,146)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i w:val="1"/>
                <w:iCs w:val="1"/>
                <w:color w:val="auto"/>
              </w:rPr>
              <w:t>Currency translation adjustments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net change arising during the period</w:t>
            </w:r>
          </w:p>
        </w:tc>
        <w:tc>
          <w:tcPr>
            <w:tcW w:w="260" w:type="dxa"/>
            <w:vAlign w:val="bottom"/>
            <w:shd w:val="clear" w:color="auto" w:fill="CFF0FC"/>
          </w:tcPr>
          <w:p>
            <w:pPr>
              <w:spacing w:after="0"/>
              <w:rPr>
                <w:sz w:val="19"/>
                <w:szCs w:val="19"/>
                <w:color w:val="auto"/>
              </w:rPr>
            </w:pP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(70)</w:t>
            </w: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(51)</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w:t>
            </w:r>
          </w:p>
        </w:tc>
      </w:tr>
      <w:tr>
        <w:trPr>
          <w:trHeight w:val="229"/>
        </w:trPr>
        <w:tc>
          <w:tcPr>
            <w:tcW w:w="5880" w:type="dxa"/>
            <w:vAlign w:val="bottom"/>
          </w:tcPr>
          <w:p>
            <w:pPr>
              <w:spacing w:after="0"/>
              <w:rPr>
                <w:sz w:val="20"/>
                <w:szCs w:val="20"/>
                <w:color w:val="auto"/>
              </w:rPr>
            </w:pPr>
            <w:r>
              <w:rPr>
                <w:rFonts w:ascii="Arial" w:cs="Arial" w:eastAsia="Arial" w:hAnsi="Arial"/>
                <w:sz w:val="18"/>
                <w:szCs w:val="18"/>
                <w:i w:val="1"/>
                <w:iCs w:val="1"/>
                <w:color w:val="auto"/>
              </w:rPr>
              <w:t>Marketable securities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Unrealized gain (loss) arising during the period</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w:t>
            </w:r>
          </w:p>
        </w:tc>
      </w:tr>
      <w:tr>
        <w:trPr>
          <w:trHeight w:val="229"/>
        </w:trPr>
        <w:tc>
          <w:tcPr>
            <w:tcW w:w="5880" w:type="dxa"/>
            <w:vAlign w:val="bottom"/>
          </w:tcPr>
          <w:p>
            <w:pPr>
              <w:spacing w:after="0"/>
              <w:rPr>
                <w:sz w:val="20"/>
                <w:szCs w:val="20"/>
                <w:color w:val="auto"/>
              </w:rPr>
            </w:pPr>
            <w:r>
              <w:rPr>
                <w:rFonts w:ascii="Arial" w:cs="Arial" w:eastAsia="Arial" w:hAnsi="Arial"/>
                <w:sz w:val="18"/>
                <w:szCs w:val="18"/>
                <w:i w:val="1"/>
                <w:iCs w:val="1"/>
                <w:color w:val="auto"/>
              </w:rPr>
              <w:t>Cash flow hedges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gain (loss) on cash flow hedges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(68)</w:t>
            </w: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(110)</w:t>
            </w: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Reclassification to net income (loss) of net realized loss</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80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Pension and other postretirement benefit plans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Actuarial loss</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(loss) of net actuarial loss</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34</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Prior service cost</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Amortization to net income (loss) of net prior service cost</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51</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ind w:left="260"/>
              <w:spacing w:after="0"/>
              <w:rPr>
                <w:sz w:val="20"/>
                <w:szCs w:val="20"/>
                <w:color w:val="auto"/>
              </w:rPr>
            </w:pPr>
            <w:r>
              <w:rPr>
                <w:rFonts w:ascii="Arial" w:cs="Arial" w:eastAsia="Arial" w:hAnsi="Arial"/>
                <w:sz w:val="18"/>
                <w:szCs w:val="18"/>
                <w:color w:val="auto"/>
              </w:rPr>
              <w:t>Income taxes on pension and other postretirement benefit plans</w:t>
            </w:r>
          </w:p>
        </w:tc>
        <w:tc>
          <w:tcPr>
            <w:tcW w:w="26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w:t>
            </w:r>
          </w:p>
        </w:tc>
        <w:tc>
          <w:tcPr>
            <w:tcW w:w="260" w:type="dxa"/>
            <w:vAlign w:val="bottom"/>
            <w:tcBorders>
              <w:top w:val="single" w:sz="8" w:color="auto"/>
            </w:tcBorders>
            <w:shd w:val="clear" w:color="auto" w:fill="CFF0FC"/>
          </w:tcPr>
          <w:p>
            <w:pPr>
              <w:spacing w:after="0"/>
              <w:rPr>
                <w:sz w:val="19"/>
                <w:szCs w:val="19"/>
                <w:color w:val="auto"/>
              </w:rPr>
            </w:pP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(2,160)</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1,311</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(1,543)</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2,220</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Comprehensive income attributable to noncontrolling interests</w:t>
            </w: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14</w:t>
            </w:r>
          </w:p>
        </w:tc>
        <w:tc>
          <w:tcPr>
            <w:tcW w:w="1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w:t>
            </w:r>
          </w:p>
        </w:tc>
        <w:tc>
          <w:tcPr>
            <w:tcW w:w="16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i w:val="1"/>
                <w:iCs w:val="1"/>
                <w:color w:val="auto"/>
              </w:rPr>
              <w:t>Comprehensive income (loss) attributable to Schlumberger</w:t>
            </w: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(2,174)</w:t>
            </w:r>
          </w:p>
        </w:tc>
        <w:tc>
          <w:tcPr>
            <w:tcW w:w="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1,301</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(1,579)</w:t>
            </w:r>
          </w:p>
        </w:tc>
        <w:tc>
          <w:tcPr>
            <w:tcW w:w="160" w:type="dxa"/>
            <w:vAlign w:val="bottom"/>
            <w:tcBorders>
              <w:bottom w:val="single" w:sz="8" w:color="CFF0FC"/>
            </w:tcBorders>
            <w:shd w:val="clear" w:color="auto" w:fill="CFF0FC"/>
          </w:tcPr>
          <w:p>
            <w:pPr>
              <w:spacing w:after="0"/>
              <w:rPr>
                <w:sz w:val="19"/>
                <w:szCs w:val="19"/>
                <w:color w:val="auto"/>
              </w:rPr>
            </w:pPr>
          </w:p>
        </w:tc>
        <w:tc>
          <w:tcPr>
            <w:tcW w:w="8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CONSOLIDATED BALANCE SHEET</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68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89"/>
              </w:rPr>
              <w:t>Jun. 30,</w:t>
            </w: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2016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68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60" w:type="dxa"/>
            <w:vAlign w:val="bottom"/>
            <w:gridSpan w:val="2"/>
          </w:tcPr>
          <w:p>
            <w:pPr>
              <w:jc w:val="center"/>
              <w:ind w:right="500"/>
              <w:spacing w:after="0"/>
              <w:rPr>
                <w:sz w:val="20"/>
                <w:szCs w:val="20"/>
                <w:color w:val="auto"/>
              </w:rPr>
            </w:pPr>
            <w:r>
              <w:rPr>
                <w:rFonts w:ascii="Arial" w:cs="Arial" w:eastAsia="Arial" w:hAnsi="Arial"/>
                <w:sz w:val="18"/>
                <w:szCs w:val="18"/>
                <w:b w:val="1"/>
                <w:bCs w:val="1"/>
                <w:color w:val="auto"/>
                <w:w w:val="91"/>
              </w:rPr>
              <w:t>(Unaudited)</w:t>
            </w:r>
          </w:p>
        </w:tc>
        <w:tc>
          <w:tcPr>
            <w:tcW w:w="300" w:type="dxa"/>
            <w:vAlign w:val="bottom"/>
          </w:tcPr>
          <w:p>
            <w:pPr>
              <w:spacing w:after="0"/>
              <w:rPr>
                <w:sz w:val="20"/>
                <w:szCs w:val="20"/>
                <w:color w:val="auto"/>
              </w:rPr>
            </w:pPr>
          </w:p>
        </w:tc>
        <w:tc>
          <w:tcPr>
            <w:tcW w:w="1320" w:type="dxa"/>
            <w:vAlign w:val="bottom"/>
          </w:tcPr>
          <w:p>
            <w:pPr>
              <w:jc w:val="right"/>
              <w:ind w:right="551"/>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6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i w:val="1"/>
                <w:iCs w:val="1"/>
                <w:color w:val="auto"/>
              </w:rPr>
              <w:t>ASSETS</w:t>
            </w:r>
          </w:p>
        </w:tc>
        <w:tc>
          <w:tcPr>
            <w:tcW w:w="1020" w:type="dxa"/>
            <w:vAlign w:val="bottom"/>
            <w:tcBorders>
              <w:top w:val="single" w:sz="8" w:color="CFF0FC"/>
            </w:tcBorders>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138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CFF0FC"/>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tcBorders>
              <w:top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Current Assets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Cash</w:t>
            </w:r>
          </w:p>
        </w:tc>
        <w:tc>
          <w:tcPr>
            <w:tcW w:w="1220" w:type="dxa"/>
            <w:vAlign w:val="bottom"/>
            <w:gridSpan w:val="2"/>
            <w:shd w:val="clear" w:color="auto" w:fill="CFF0FC"/>
          </w:tcPr>
          <w:p>
            <w:pPr>
              <w:jc w:val="right"/>
              <w:ind w:right="47"/>
              <w:spacing w:after="0"/>
              <w:rPr>
                <w:sz w:val="20"/>
                <w:szCs w:val="20"/>
                <w:color w:val="auto"/>
              </w:rPr>
            </w:pPr>
            <w:r>
              <w:rPr>
                <w:rFonts w:ascii="Arial" w:cs="Arial" w:eastAsia="Arial" w:hAnsi="Arial"/>
                <w:sz w:val="18"/>
                <w:szCs w:val="18"/>
                <w:b w:val="1"/>
                <w:bCs w:val="1"/>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2,947</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Short-term investments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8,245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Receivables less allowance for doubtful accounts (2016 - $381; 2015 - $333)</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9,374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8,780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Inventories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5,001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Deferred taxes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391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Other current assets</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1,237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27,195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26,912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Fixed Income Investments, held to maturity</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386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418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Investments in Affiliated Companies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3,311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Fixed Assets less accumulated depreciation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13,226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Multiclient Seismic Data</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Goodwill</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24,603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Intangible Assets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9,921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CFF0FC"/>
            </w:tcBorders>
          </w:tcPr>
          <w:p>
            <w:pPr>
              <w:spacing w:after="0"/>
              <w:rPr>
                <w:sz w:val="20"/>
                <w:szCs w:val="20"/>
                <w:color w:val="auto"/>
              </w:rPr>
            </w:pPr>
            <w:r>
              <w:rPr>
                <w:rFonts w:ascii="Arial" w:cs="Arial" w:eastAsia="Arial" w:hAnsi="Arial"/>
                <w:sz w:val="18"/>
                <w:szCs w:val="18"/>
                <w:i w:val="1"/>
                <w:iCs w:val="1"/>
                <w:color w:val="auto"/>
              </w:rPr>
              <w:t>Other Assets</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3,588</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2,749</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81,171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vMerge w:val="restart"/>
          </w:tcPr>
          <w:p>
            <w:pPr>
              <w:spacing w:after="0"/>
              <w:rPr>
                <w:sz w:val="20"/>
                <w:szCs w:val="20"/>
                <w:color w:val="auto"/>
              </w:rPr>
            </w:pPr>
            <w:r>
              <w:rPr>
                <w:rFonts w:ascii="Arial" w:cs="Arial" w:eastAsia="Arial" w:hAnsi="Arial"/>
                <w:sz w:val="18"/>
                <w:szCs w:val="18"/>
                <w:b w:val="1"/>
                <w:bCs w:val="1"/>
                <w:i w:val="1"/>
                <w:iCs w:val="1"/>
                <w:color w:val="auto"/>
              </w:rPr>
              <w:t>LIABILITIES AND EQUITY</w:t>
            </w: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820" w:type="dxa"/>
            <w:vAlign w:val="bottom"/>
            <w:vMerge w:val="continue"/>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Current Liabilities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Accounts payable and accrued liabilities</w:t>
            </w:r>
          </w:p>
        </w:tc>
        <w:tc>
          <w:tcPr>
            <w:tcW w:w="1220" w:type="dxa"/>
            <w:vAlign w:val="bottom"/>
            <w:gridSpan w:val="2"/>
          </w:tcPr>
          <w:p>
            <w:pPr>
              <w:jc w:val="right"/>
              <w:ind w:right="47"/>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9,494</w:t>
            </w:r>
          </w:p>
        </w:tc>
        <w:tc>
          <w:tcPr>
            <w:tcW w:w="280" w:type="dxa"/>
            <w:vAlign w:val="bottom"/>
          </w:tcPr>
          <w:p>
            <w:pPr>
              <w:spacing w:after="0"/>
              <w:rPr>
                <w:sz w:val="19"/>
                <w:szCs w:val="19"/>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7,727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Estimated liability for taxes on income</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1,043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Long-term debt - current portion</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2,385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3,011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Short-term borrowings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986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1,546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Borders>
              <w:bottom w:val="single" w:sz="8" w:color="CFF0FC"/>
            </w:tcBorders>
          </w:tcPr>
          <w:p>
            <w:pPr>
              <w:ind w:left="260"/>
              <w:spacing w:after="0"/>
              <w:rPr>
                <w:sz w:val="20"/>
                <w:szCs w:val="20"/>
                <w:color w:val="auto"/>
              </w:rPr>
            </w:pPr>
            <w:r>
              <w:rPr>
                <w:rFonts w:ascii="Arial" w:cs="Arial" w:eastAsia="Arial" w:hAnsi="Arial"/>
                <w:sz w:val="18"/>
                <w:szCs w:val="18"/>
                <w:color w:val="auto"/>
              </w:rPr>
              <w:t>Dividends payable</w:t>
            </w: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701</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634</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14,609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14,121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Long-term Debt</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18,252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Postretirement Benefits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1,341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1,434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spacing w:after="0"/>
              <w:rPr>
                <w:sz w:val="20"/>
                <w:szCs w:val="20"/>
                <w:color w:val="auto"/>
              </w:rPr>
            </w:pPr>
            <w:r>
              <w:rPr>
                <w:rFonts w:ascii="Arial" w:cs="Arial" w:eastAsia="Arial" w:hAnsi="Arial"/>
                <w:sz w:val="18"/>
                <w:szCs w:val="18"/>
                <w:i w:val="1"/>
                <w:iCs w:val="1"/>
                <w:color w:val="auto"/>
              </w:rPr>
              <w:t>Deferred Taxes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2,631</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1,075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Other Liabilities</w:t>
            </w:r>
          </w:p>
        </w:tc>
        <w:tc>
          <w:tcPr>
            <w:tcW w:w="1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1,359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1,028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38,192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32,100</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shd w:val="clear" w:color="auto" w:fill="CFF0FC"/>
          </w:tcPr>
          <w:p>
            <w:pPr>
              <w:spacing w:after="0"/>
              <w:rPr>
                <w:sz w:val="20"/>
                <w:szCs w:val="20"/>
                <w:color w:val="auto"/>
              </w:rPr>
            </w:pPr>
            <w:r>
              <w:rPr>
                <w:rFonts w:ascii="Arial" w:cs="Arial" w:eastAsia="Arial" w:hAnsi="Arial"/>
                <w:sz w:val="18"/>
                <w:szCs w:val="18"/>
                <w:i w:val="1"/>
                <w:iCs w:val="1"/>
                <w:color w:val="auto"/>
              </w:rPr>
              <w:t>Equity</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Common stock</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12,835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12,693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Treasury stock</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(3,636)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(13,372)</w:t>
            </w:r>
          </w:p>
        </w:tc>
        <w:tc>
          <w:tcPr>
            <w:tcW w:w="0" w:type="dxa"/>
            <w:vAlign w:val="bottom"/>
          </w:tcPr>
          <w:p>
            <w:pPr>
              <w:spacing w:after="0"/>
              <w:rPr>
                <w:sz w:val="1"/>
                <w:szCs w:val="1"/>
                <w:color w:val="auto"/>
              </w:rPr>
            </w:pPr>
          </w:p>
        </w:tc>
      </w:tr>
      <w:tr>
        <w:trPr>
          <w:trHeight w:val="229"/>
        </w:trPr>
        <w:tc>
          <w:tcPr>
            <w:tcW w:w="6820" w:type="dxa"/>
            <w:vAlign w:val="bottom"/>
          </w:tcPr>
          <w:p>
            <w:pPr>
              <w:ind w:left="260"/>
              <w:spacing w:after="0"/>
              <w:rPr>
                <w:sz w:val="20"/>
                <w:szCs w:val="20"/>
                <w:color w:val="auto"/>
              </w:rPr>
            </w:pPr>
            <w:r>
              <w:rPr>
                <w:rFonts w:ascii="Arial" w:cs="Arial" w:eastAsia="Arial" w:hAnsi="Arial"/>
                <w:sz w:val="18"/>
                <w:szCs w:val="18"/>
                <w:color w:val="auto"/>
              </w:rPr>
              <w:t>Retained earnings</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b w:val="1"/>
                <w:bCs w:val="1"/>
                <w:color w:val="auto"/>
              </w:rPr>
              <w:t>37,889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40,870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Accumulated other comprehensive loss</w:t>
            </w:r>
          </w:p>
        </w:tc>
        <w:tc>
          <w:tcPr>
            <w:tcW w:w="10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(4,478)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(4,558)</w:t>
            </w:r>
          </w:p>
        </w:tc>
        <w:tc>
          <w:tcPr>
            <w:tcW w:w="0" w:type="dxa"/>
            <w:vAlign w:val="bottom"/>
          </w:tcPr>
          <w:p>
            <w:pPr>
              <w:spacing w:after="0"/>
              <w:rPr>
                <w:sz w:val="1"/>
                <w:szCs w:val="1"/>
                <w:color w:val="auto"/>
              </w:rPr>
            </w:pPr>
          </w:p>
        </w:tc>
      </w:tr>
      <w:tr>
        <w:trPr>
          <w:trHeight w:val="223"/>
        </w:trPr>
        <w:tc>
          <w:tcPr>
            <w:tcW w:w="6820" w:type="dxa"/>
            <w:vAlign w:val="bottom"/>
          </w:tcPr>
          <w:p>
            <w:pPr>
              <w:ind w:left="260"/>
              <w:spacing w:after="0"/>
              <w:rPr>
                <w:sz w:val="20"/>
                <w:szCs w:val="20"/>
                <w:color w:val="auto"/>
              </w:rPr>
            </w:pPr>
            <w:r>
              <w:rPr>
                <w:rFonts w:ascii="Arial" w:cs="Arial" w:eastAsia="Arial" w:hAnsi="Arial"/>
                <w:sz w:val="18"/>
                <w:szCs w:val="18"/>
                <w:color w:val="auto"/>
              </w:rPr>
              <w:t>Schlumberger stockholders' equity</w:t>
            </w:r>
          </w:p>
        </w:tc>
        <w:tc>
          <w:tcPr>
            <w:tcW w:w="10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42,610</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35,633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8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Noncontrolling interests</w:t>
            </w:r>
          </w:p>
        </w:tc>
        <w:tc>
          <w:tcPr>
            <w:tcW w:w="10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369</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tcPr>
          <w:p>
            <w:pPr>
              <w:spacing w:after="0"/>
              <w:rPr>
                <w:sz w:val="19"/>
                <w:szCs w:val="19"/>
                <w:color w:val="auto"/>
              </w:rPr>
            </w:pPr>
          </w:p>
        </w:tc>
        <w:tc>
          <w:tcPr>
            <w:tcW w:w="102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42,979</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35,905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82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jc w:val="right"/>
              <w:ind w:right="47"/>
              <w:spacing w:after="0"/>
              <w:rPr>
                <w:sz w:val="20"/>
                <w:szCs w:val="20"/>
                <w:color w:val="auto"/>
              </w:rPr>
            </w:pPr>
            <w:r>
              <w:rPr>
                <w:rFonts w:ascii="Arial" w:cs="Arial" w:eastAsia="Arial" w:hAnsi="Arial"/>
                <w:sz w:val="15"/>
                <w:szCs w:val="15"/>
                <w:b w:val="1"/>
                <w:bCs w:val="1"/>
                <w:color w:val="auto"/>
                <w:w w:val="71"/>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81,171</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68,005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8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660"/>
        <w:spacing w:after="0"/>
        <w:rPr>
          <w:sz w:val="20"/>
          <w:szCs w:val="20"/>
          <w:color w:val="auto"/>
        </w:rPr>
      </w:pPr>
      <w:r>
        <w:rPr>
          <w:rFonts w:ascii="Arial" w:cs="Arial" w:eastAsia="Arial" w:hAnsi="Arial"/>
          <w:sz w:val="18"/>
          <w:szCs w:val="18"/>
          <w:b w:val="1"/>
          <w:bCs w:val="1"/>
          <w:u w:val="single" w:color="auto"/>
          <w:color w:val="auto"/>
        </w:rPr>
        <w:t>CONSOLIDATED STATEMENT OF CASH FLOWS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8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309"/>
        </w:trPr>
        <w:tc>
          <w:tcPr>
            <w:tcW w:w="68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900"/>
              <w:spacing w:after="0"/>
              <w:rPr>
                <w:sz w:val="20"/>
                <w:szCs w:val="20"/>
                <w:color w:val="auto"/>
              </w:rPr>
            </w:pPr>
            <w:r>
              <w:rPr>
                <w:rFonts w:ascii="Arial" w:cs="Arial" w:eastAsia="Arial" w:hAnsi="Arial"/>
                <w:sz w:val="13"/>
                <w:szCs w:val="13"/>
                <w:b w:val="1"/>
                <w:bCs w:val="1"/>
                <w:color w:val="auto"/>
                <w:w w:val="93"/>
              </w:rPr>
              <w:t>Six Months Ended Jun. 30,</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6880" w:type="dxa"/>
            <w:vAlign w:val="bottom"/>
          </w:tcPr>
          <w:p>
            <w:pPr>
              <w:spacing w:after="0"/>
              <w:rPr>
                <w:sz w:val="13"/>
                <w:szCs w:val="13"/>
                <w:color w:val="auto"/>
              </w:rPr>
            </w:pPr>
          </w:p>
        </w:tc>
        <w:tc>
          <w:tcPr>
            <w:tcW w:w="1900" w:type="dxa"/>
            <w:vAlign w:val="bottom"/>
            <w:gridSpan w:val="2"/>
          </w:tcPr>
          <w:p>
            <w:pPr>
              <w:jc w:val="right"/>
              <w:spacing w:after="0"/>
              <w:rPr>
                <w:sz w:val="20"/>
                <w:szCs w:val="20"/>
                <w:color w:val="auto"/>
              </w:rPr>
            </w:pPr>
            <w:r>
              <w:rPr>
                <w:rFonts w:ascii="Arial" w:cs="Arial" w:eastAsia="Arial" w:hAnsi="Arial"/>
                <w:sz w:val="13"/>
                <w:szCs w:val="13"/>
                <w:b w:val="1"/>
                <w:bCs w:val="1"/>
                <w:color w:val="auto"/>
              </w:rPr>
              <w:t>2016</w:t>
            </w: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tcPr>
          <w:p>
            <w:pPr>
              <w:jc w:val="right"/>
              <w:ind w:right="600"/>
              <w:spacing w:after="0"/>
              <w:rPr>
                <w:sz w:val="20"/>
                <w:szCs w:val="20"/>
                <w:color w:val="auto"/>
              </w:rPr>
            </w:pPr>
            <w:r>
              <w:rPr>
                <w:rFonts w:ascii="Arial" w:cs="Arial" w:eastAsia="Arial" w:hAnsi="Arial"/>
                <w:sz w:val="13"/>
                <w:szCs w:val="13"/>
                <w:color w:val="auto"/>
              </w:rPr>
              <w:t>2015</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Cash flows from operating activities:</w:t>
            </w:r>
          </w:p>
        </w:tc>
        <w:tc>
          <w:tcPr>
            <w:tcW w:w="9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260"/>
              <w:spacing w:after="0"/>
              <w:rPr>
                <w:sz w:val="20"/>
                <w:szCs w:val="20"/>
                <w:color w:val="auto"/>
              </w:rPr>
            </w:pPr>
            <w:r>
              <w:rPr>
                <w:rFonts w:ascii="Arial" w:cs="Arial" w:eastAsia="Arial" w:hAnsi="Arial"/>
                <w:sz w:val="16"/>
                <w:szCs w:val="16"/>
                <w:color w:val="auto"/>
              </w:rPr>
              <w:t>Net income (loss)</w:t>
            </w:r>
          </w:p>
        </w:tc>
        <w:tc>
          <w:tcPr>
            <w:tcW w:w="1900" w:type="dxa"/>
            <w:vAlign w:val="bottom"/>
            <w:gridSpan w:val="2"/>
          </w:tcPr>
          <w:p>
            <w:pPr>
              <w:jc w:val="right"/>
              <w:ind w:right="784"/>
              <w:spacing w:after="0"/>
              <w:rPr>
                <w:sz w:val="20"/>
                <w:szCs w:val="20"/>
                <w:color w:val="auto"/>
              </w:rPr>
            </w:pPr>
            <w:r>
              <w:rPr>
                <w:rFonts w:ascii="Arial" w:cs="Arial" w:eastAsia="Arial" w:hAnsi="Arial"/>
                <w:sz w:val="16"/>
                <w:szCs w:val="16"/>
                <w:b w:val="1"/>
                <w:bCs w:val="1"/>
                <w:color w:val="auto"/>
              </w:rPr>
              <w:t>$</w:t>
            </w: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(1,623)</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Pr>
          <w:p>
            <w:pPr>
              <w:jc w:val="right"/>
              <w:spacing w:after="0"/>
              <w:rPr>
                <w:sz w:val="20"/>
                <w:szCs w:val="20"/>
                <w:color w:val="auto"/>
              </w:rPr>
            </w:pPr>
            <w:r>
              <w:rPr>
                <w:rFonts w:ascii="Arial" w:cs="Arial" w:eastAsia="Arial" w:hAnsi="Arial"/>
                <w:sz w:val="16"/>
                <w:szCs w:val="16"/>
                <w:color w:val="auto"/>
              </w:rPr>
              <w:t>2,122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Adjustments to reconcile net income to cash provided by operating activities: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Impairments and other charges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2,908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line="218" w:lineRule="exact"/>
              <w:rPr>
                <w:sz w:val="20"/>
                <w:szCs w:val="20"/>
                <w:color w:val="auto"/>
              </w:rPr>
            </w:pPr>
            <w:r>
              <w:rPr>
                <w:rFonts w:ascii="Arial" w:cs="Arial" w:eastAsia="Arial" w:hAnsi="Arial"/>
                <w:sz w:val="15"/>
                <w:szCs w:val="15"/>
                <w:color w:val="auto"/>
              </w:rPr>
              <w:t xml:space="preserve">Depreciation and amortization </w:t>
            </w:r>
            <w:r>
              <w:rPr>
                <w:rFonts w:ascii="Arial" w:cs="Arial" w:eastAsia="Arial" w:hAnsi="Arial"/>
                <w:sz w:val="25"/>
                <w:szCs w:val="25"/>
                <w:color w:val="auto"/>
                <w:vertAlign w:val="superscript"/>
              </w:rPr>
              <w:t>(1)</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2,080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Stock-based compensation expense</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145</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Pension and other postretirement benefits expense</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217</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Pension and other postretirement benefits funding</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(83)</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Earnings of equity method investments, less dividends received</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(65)</w:t>
            </w:r>
          </w:p>
        </w:tc>
        <w:tc>
          <w:tcPr>
            <w:tcW w:w="0" w:type="dxa"/>
            <w:vAlign w:val="bottom"/>
          </w:tcPr>
          <w:p>
            <w:pPr>
              <w:spacing w:after="0"/>
              <w:rPr>
                <w:sz w:val="1"/>
                <w:szCs w:val="1"/>
                <w:color w:val="auto"/>
              </w:rPr>
            </w:pPr>
          </w:p>
        </w:tc>
      </w:tr>
      <w:tr>
        <w:trPr>
          <w:trHeight w:val="216"/>
        </w:trPr>
        <w:tc>
          <w:tcPr>
            <w:tcW w:w="6880" w:type="dxa"/>
            <w:vAlign w:val="bottom"/>
          </w:tcPr>
          <w:p>
            <w:pPr>
              <w:ind w:left="260"/>
              <w:spacing w:after="0" w:line="216" w:lineRule="exact"/>
              <w:rPr>
                <w:sz w:val="20"/>
                <w:szCs w:val="20"/>
                <w:color w:val="auto"/>
              </w:rPr>
            </w:pPr>
            <w:r>
              <w:rPr>
                <w:rFonts w:ascii="Arial" w:cs="Arial" w:eastAsia="Arial" w:hAnsi="Arial"/>
                <w:sz w:val="15"/>
                <w:szCs w:val="15"/>
                <w:color w:val="auto"/>
              </w:rPr>
              <w:t xml:space="preserve">Change in assets and liabilities: </w:t>
            </w:r>
            <w:r>
              <w:rPr>
                <w:rFonts w:ascii="Arial" w:cs="Arial" w:eastAsia="Arial" w:hAnsi="Arial"/>
                <w:sz w:val="25"/>
                <w:szCs w:val="25"/>
                <w:color w:val="auto"/>
                <w:vertAlign w:val="superscript"/>
              </w:rPr>
              <w:t>(2)</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receivables</w:t>
            </w:r>
          </w:p>
        </w:tc>
        <w:tc>
          <w:tcPr>
            <w:tcW w:w="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1,057</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Decrease in inventories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334</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(increase) in other current assets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(Increase) decrease in other assets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(247)</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Decrease in accounts payable and accrued liabilities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(1,491)</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(2,126)</w:t>
            </w: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Decrease in estimated liability for taxes on income</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(242)</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(419)</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620"/>
              <w:spacing w:after="0"/>
              <w:rPr>
                <w:sz w:val="20"/>
                <w:szCs w:val="20"/>
                <w:color w:val="auto"/>
              </w:rPr>
            </w:pPr>
            <w:r>
              <w:rPr>
                <w:rFonts w:ascii="Arial" w:cs="Arial" w:eastAsia="Arial" w:hAnsi="Arial"/>
                <w:sz w:val="16"/>
                <w:szCs w:val="16"/>
                <w:color w:val="auto"/>
              </w:rPr>
              <w:t>Increase (decrease) in other liabilities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3"/>
        </w:trPr>
        <w:tc>
          <w:tcPr>
            <w:tcW w:w="6880" w:type="dxa"/>
            <w:vAlign w:val="bottom"/>
          </w:tcPr>
          <w:p>
            <w:pPr>
              <w:ind w:left="62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(161)</w:t>
            </w: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CASH PROVIDED BY OPERATING ACTIVITIES</w:t>
            </w:r>
          </w:p>
        </w:tc>
        <w:tc>
          <w:tcPr>
            <w:tcW w:w="9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bottom w:val="single" w:sz="8" w:color="auto"/>
            </w:tcBorders>
            <w:shd w:val="clear" w:color="auto" w:fill="CFF0FC"/>
          </w:tcPr>
          <w:p>
            <w:pPr>
              <w:spacing w:after="0"/>
              <w:rPr>
                <w:sz w:val="18"/>
                <w:szCs w:val="18"/>
                <w:color w:val="auto"/>
              </w:rPr>
            </w:pPr>
          </w:p>
        </w:tc>
        <w:tc>
          <w:tcPr>
            <w:tcW w:w="6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2,842</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bottom w:val="single" w:sz="8" w:color="auto"/>
            </w:tcBorders>
            <w:shd w:val="clear" w:color="auto" w:fill="CFF0FC"/>
          </w:tcPr>
          <w:p>
            <w:pPr>
              <w:spacing w:after="0"/>
              <w:rPr>
                <w:sz w:val="18"/>
                <w:szCs w:val="18"/>
                <w:color w:val="auto"/>
              </w:rPr>
            </w:pPr>
          </w:p>
        </w:tc>
        <w:tc>
          <w:tcPr>
            <w:tcW w:w="1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4,084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880" w:type="dxa"/>
            <w:vAlign w:val="bottom"/>
          </w:tcPr>
          <w:p>
            <w:pPr>
              <w:spacing w:after="0"/>
              <w:rPr>
                <w:sz w:val="20"/>
                <w:szCs w:val="20"/>
                <w:color w:val="auto"/>
              </w:rPr>
            </w:pPr>
            <w:r>
              <w:rPr>
                <w:rFonts w:ascii="Arial" w:cs="Arial" w:eastAsia="Arial" w:hAnsi="Arial"/>
                <w:sz w:val="16"/>
                <w:szCs w:val="16"/>
                <w:color w:val="auto"/>
              </w:rPr>
              <w:t>Cash flows from investing activities:</w:t>
            </w: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Capital expenditures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(998)</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(1,193)</w:t>
            </w: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SPM investments</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(729)</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(222)</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Multiclient seismic data costs capitalized</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(333)</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(221)</w:t>
            </w: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Business acquisitions and investments, net of cash acquired</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(2,220)</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(171)</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Sale of investments, net</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3,476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610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26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(119)</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INVESTING ACTIVITIES</w:t>
            </w: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8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(778)</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(1,316)</w:t>
            </w:r>
          </w:p>
        </w:tc>
        <w:tc>
          <w:tcPr>
            <w:tcW w:w="0" w:type="dxa"/>
            <w:vAlign w:val="bottom"/>
          </w:tcPr>
          <w:p>
            <w:pPr>
              <w:spacing w:after="0"/>
              <w:rPr>
                <w:sz w:val="1"/>
                <w:szCs w:val="1"/>
                <w:color w:val="auto"/>
              </w:rPr>
            </w:pPr>
          </w:p>
        </w:tc>
      </w:tr>
      <w:tr>
        <w:trPr>
          <w:trHeight w:val="206"/>
        </w:trPr>
        <w:tc>
          <w:tcPr>
            <w:tcW w:w="6880" w:type="dxa"/>
            <w:vAlign w:val="bottom"/>
          </w:tcPr>
          <w:p>
            <w:pPr>
              <w:spacing w:after="0"/>
              <w:rPr>
                <w:sz w:val="20"/>
                <w:szCs w:val="20"/>
                <w:color w:val="auto"/>
              </w:rPr>
            </w:pPr>
            <w:r>
              <w:rPr>
                <w:rFonts w:ascii="Arial" w:cs="Arial" w:eastAsia="Arial" w:hAnsi="Arial"/>
                <w:sz w:val="16"/>
                <w:szCs w:val="16"/>
                <w:color w:val="auto"/>
              </w:rPr>
              <w:t>Cash flows from financing activities:</w:t>
            </w:r>
          </w:p>
        </w:tc>
        <w:tc>
          <w:tcPr>
            <w:tcW w:w="960" w:type="dxa"/>
            <w:vAlign w:val="bottom"/>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Dividends paid</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(1,255)</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(1,151)</w:t>
            </w: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Proceeds from employee stock purchase plan</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116</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exercise of stock options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79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Stock repurchase program</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(506)</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(1,239)</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Proceeds from issuance of long-term debt</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3,560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1,779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Repayment of long-term debt</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6"/>
                <w:szCs w:val="16"/>
                <w:b w:val="1"/>
                <w:bCs w:val="1"/>
                <w:color w:val="auto"/>
              </w:rPr>
              <w:t>(3,401)</w:t>
            </w: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(2,340)</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ind w:left="380"/>
              <w:spacing w:after="0"/>
              <w:rPr>
                <w:sz w:val="20"/>
                <w:szCs w:val="20"/>
                <w:color w:val="auto"/>
              </w:rPr>
            </w:pPr>
            <w:r>
              <w:rPr>
                <w:rFonts w:ascii="Arial" w:cs="Arial" w:eastAsia="Arial" w:hAnsi="Arial"/>
                <w:sz w:val="16"/>
                <w:szCs w:val="16"/>
                <w:color w:val="auto"/>
              </w:rPr>
              <w:t>Net (decrease) increase in short-term borrowings</w:t>
            </w:r>
          </w:p>
        </w:tc>
        <w:tc>
          <w:tcPr>
            <w:tcW w:w="9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20"/>
              <w:spacing w:after="0"/>
              <w:rPr>
                <w:sz w:val="20"/>
                <w:szCs w:val="20"/>
                <w:color w:val="auto"/>
              </w:rPr>
            </w:pPr>
            <w:r>
              <w:rPr>
                <w:rFonts w:ascii="Arial" w:cs="Arial" w:eastAsia="Arial" w:hAnsi="Arial"/>
                <w:sz w:val="16"/>
                <w:szCs w:val="16"/>
                <w:b w:val="1"/>
                <w:bCs w:val="1"/>
                <w:color w:val="auto"/>
              </w:rPr>
              <w:t>(564)</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586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880" w:type="dxa"/>
            <w:vAlign w:val="bottom"/>
          </w:tcPr>
          <w:p>
            <w:pPr>
              <w:ind w:left="380"/>
              <w:spacing w:after="0"/>
              <w:rPr>
                <w:sz w:val="20"/>
                <w:szCs w:val="20"/>
                <w:color w:val="auto"/>
              </w:rPr>
            </w:pPr>
            <w:r>
              <w:rPr>
                <w:rFonts w:ascii="Arial" w:cs="Arial" w:eastAsia="Arial" w:hAnsi="Arial"/>
                <w:sz w:val="16"/>
                <w:szCs w:val="16"/>
                <w:color w:val="auto"/>
              </w:rPr>
              <w:t>Other</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48</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20"/>
        </w:trPr>
        <w:tc>
          <w:tcPr>
            <w:tcW w:w="6880" w:type="dxa"/>
            <w:vAlign w:val="bottom"/>
            <w:vMerge w:val="restart"/>
            <w:shd w:val="clear" w:color="auto" w:fill="CFF0FC"/>
          </w:tcPr>
          <w:p>
            <w:pPr>
              <w:spacing w:after="0"/>
              <w:rPr>
                <w:sz w:val="20"/>
                <w:szCs w:val="20"/>
                <w:color w:val="auto"/>
              </w:rPr>
            </w:pPr>
            <w:r>
              <w:rPr>
                <w:rFonts w:ascii="Arial" w:cs="Arial" w:eastAsia="Arial" w:hAnsi="Arial"/>
                <w:sz w:val="16"/>
                <w:szCs w:val="16"/>
                <w:color w:val="auto"/>
              </w:rPr>
              <w:t>NET CASH USED IN FINANCING ACTIVITIES</w:t>
            </w:r>
          </w:p>
        </w:tc>
        <w:tc>
          <w:tcPr>
            <w:tcW w:w="96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vMerge w:val="restart"/>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6880" w:type="dxa"/>
            <w:vAlign w:val="bottom"/>
            <w:vMerge w:val="continue"/>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6"/>
                <w:szCs w:val="16"/>
                <w:b w:val="1"/>
                <w:bCs w:val="1"/>
                <w:color w:val="auto"/>
              </w:rPr>
              <w:t>(1,923)</w:t>
            </w:r>
          </w:p>
        </w:tc>
        <w:tc>
          <w:tcPr>
            <w:tcW w:w="280" w:type="dxa"/>
            <w:vAlign w:val="bottom"/>
            <w:vMerge w:val="continue"/>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(2,111)</w:t>
            </w:r>
          </w:p>
        </w:tc>
        <w:tc>
          <w:tcPr>
            <w:tcW w:w="0" w:type="dxa"/>
            <w:vAlign w:val="bottom"/>
          </w:tcPr>
          <w:p>
            <w:pPr>
              <w:spacing w:after="0"/>
              <w:rPr>
                <w:sz w:val="1"/>
                <w:szCs w:val="1"/>
                <w:color w:val="auto"/>
              </w:rPr>
            </w:pPr>
          </w:p>
        </w:tc>
      </w:tr>
      <w:tr>
        <w:trPr>
          <w:trHeight w:val="20"/>
        </w:trPr>
        <w:tc>
          <w:tcPr>
            <w:tcW w:w="6880" w:type="dxa"/>
            <w:vAlign w:val="bottom"/>
            <w:vMerge w:val="restart"/>
          </w:tcPr>
          <w:p>
            <w:pPr>
              <w:spacing w:after="0"/>
              <w:rPr>
                <w:sz w:val="20"/>
                <w:szCs w:val="20"/>
                <w:color w:val="auto"/>
              </w:rPr>
            </w:pPr>
            <w:r>
              <w:rPr>
                <w:rFonts w:ascii="Arial" w:cs="Arial" w:eastAsia="Arial" w:hAnsi="Arial"/>
                <w:sz w:val="16"/>
                <w:szCs w:val="16"/>
                <w:color w:val="auto"/>
              </w:rPr>
              <w:t>CASH FLOWS USED IN DISCONTINUED OPERATIONS - OPERATING ACTIVITIES</w:t>
            </w:r>
          </w:p>
        </w:tc>
        <w:tc>
          <w:tcPr>
            <w:tcW w:w="96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80" w:type="dxa"/>
            <w:vAlign w:val="bottom"/>
            <w:vMerge w:val="continue"/>
          </w:tcPr>
          <w:p>
            <w:pPr>
              <w:spacing w:after="0"/>
              <w:rPr>
                <w:sz w:val="17"/>
                <w:szCs w:val="17"/>
                <w:color w:val="auto"/>
              </w:rPr>
            </w:pPr>
          </w:p>
        </w:tc>
        <w:tc>
          <w:tcPr>
            <w:tcW w:w="9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w:t>
            </w:r>
          </w:p>
        </w:tc>
        <w:tc>
          <w:tcPr>
            <w:tcW w:w="2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(233)</w:t>
            </w:r>
          </w:p>
        </w:tc>
        <w:tc>
          <w:tcPr>
            <w:tcW w:w="0" w:type="dxa"/>
            <w:vAlign w:val="bottom"/>
          </w:tcPr>
          <w:p>
            <w:pPr>
              <w:spacing w:after="0"/>
              <w:rPr>
                <w:sz w:val="1"/>
                <w:szCs w:val="1"/>
                <w:color w:val="auto"/>
              </w:rPr>
            </w:pPr>
          </w:p>
        </w:tc>
      </w:tr>
      <w:tr>
        <w:trPr>
          <w:trHeight w:val="212"/>
        </w:trPr>
        <w:tc>
          <w:tcPr>
            <w:tcW w:w="6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Net increase in cash before translation effect</w:t>
            </w:r>
          </w:p>
        </w:tc>
        <w:tc>
          <w:tcPr>
            <w:tcW w:w="96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6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141</w:t>
            </w:r>
          </w:p>
        </w:tc>
        <w:tc>
          <w:tcPr>
            <w:tcW w:w="28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3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424</w:t>
            </w: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880" w:type="dxa"/>
            <w:vAlign w:val="bottom"/>
          </w:tcPr>
          <w:p>
            <w:pPr>
              <w:spacing w:after="0"/>
              <w:rPr>
                <w:sz w:val="20"/>
                <w:szCs w:val="20"/>
                <w:color w:val="auto"/>
              </w:rPr>
            </w:pPr>
            <w:r>
              <w:rPr>
                <w:rFonts w:ascii="Arial" w:cs="Arial" w:eastAsia="Arial" w:hAnsi="Arial"/>
                <w:sz w:val="16"/>
                <w:szCs w:val="16"/>
                <w:color w:val="auto"/>
              </w:rPr>
              <w:t>Translation effect on cash</w:t>
            </w:r>
          </w:p>
        </w:tc>
        <w:tc>
          <w:tcPr>
            <w:tcW w:w="9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b w:val="1"/>
                <w:bCs w:val="1"/>
                <w:color w:val="auto"/>
              </w:rPr>
              <w:t>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20" w:type="dxa"/>
            <w:vAlign w:val="bottom"/>
            <w:gridSpan w:val="2"/>
          </w:tcPr>
          <w:p>
            <w:pPr>
              <w:jc w:val="right"/>
              <w:ind w:right="60"/>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9"/>
        </w:trPr>
        <w:tc>
          <w:tcPr>
            <w:tcW w:w="6880" w:type="dxa"/>
            <w:vAlign w:val="bottom"/>
            <w:shd w:val="clear" w:color="auto" w:fill="CFF0FC"/>
          </w:tcPr>
          <w:p>
            <w:pPr>
              <w:spacing w:after="0"/>
              <w:rPr>
                <w:sz w:val="20"/>
                <w:szCs w:val="20"/>
                <w:color w:val="auto"/>
              </w:rPr>
            </w:pPr>
            <w:r>
              <w:rPr>
                <w:rFonts w:ascii="Arial" w:cs="Arial" w:eastAsia="Arial" w:hAnsi="Arial"/>
                <w:sz w:val="16"/>
                <w:szCs w:val="16"/>
                <w:color w:val="auto"/>
              </w:rPr>
              <w:t>Cash, beginning of period</w:t>
            </w:r>
          </w:p>
        </w:tc>
        <w:tc>
          <w:tcPr>
            <w:tcW w:w="960" w:type="dxa"/>
            <w:vAlign w:val="bottom"/>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b w:val="1"/>
                <w:bCs w:val="1"/>
                <w:color w:val="auto"/>
              </w:rPr>
              <w:t>2,793</w:t>
            </w:r>
          </w:p>
        </w:tc>
        <w:tc>
          <w:tcPr>
            <w:tcW w:w="2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3,130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6880" w:type="dxa"/>
            <w:vAlign w:val="bottom"/>
          </w:tcPr>
          <w:p>
            <w:pPr>
              <w:spacing w:after="0"/>
              <w:rPr>
                <w:sz w:val="20"/>
                <w:szCs w:val="20"/>
                <w:color w:val="auto"/>
              </w:rPr>
            </w:pPr>
            <w:r>
              <w:rPr>
                <w:rFonts w:ascii="Arial" w:cs="Arial" w:eastAsia="Arial" w:hAnsi="Arial"/>
                <w:sz w:val="16"/>
                <w:szCs w:val="16"/>
                <w:color w:val="auto"/>
              </w:rPr>
              <w:t>Cash, end of period</w:t>
            </w:r>
          </w:p>
        </w:tc>
        <w:tc>
          <w:tcPr>
            <w:tcW w:w="960" w:type="dxa"/>
            <w:vAlign w:val="bottom"/>
          </w:tcPr>
          <w:p>
            <w:pPr>
              <w:spacing w:after="0"/>
              <w:rPr>
                <w:sz w:val="17"/>
                <w:szCs w:val="17"/>
                <w:color w:val="auto"/>
              </w:rPr>
            </w:pPr>
          </w:p>
        </w:tc>
        <w:tc>
          <w:tcPr>
            <w:tcW w:w="940" w:type="dxa"/>
            <w:vAlign w:val="bottom"/>
            <w:tcBorders>
              <w:bottom w:val="single" w:sz="8" w:color="auto"/>
            </w:tcBorders>
          </w:tcPr>
          <w:p>
            <w:pPr>
              <w:jc w:val="right"/>
              <w:ind w:right="784"/>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2,947</w:t>
            </w:r>
          </w:p>
        </w:tc>
        <w:tc>
          <w:tcPr>
            <w:tcW w:w="280" w:type="dxa"/>
            <w:vAlign w:val="bottom"/>
          </w:tcPr>
          <w:p>
            <w:pPr>
              <w:spacing w:after="0"/>
              <w:rPr>
                <w:sz w:val="17"/>
                <w:szCs w:val="17"/>
                <w:color w:val="auto"/>
              </w:rPr>
            </w:pP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3,541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200" w:hanging="192"/>
        <w:spacing w:after="0"/>
        <w:tabs>
          <w:tab w:leader="none" w:pos="200" w:val="left"/>
        </w:tabs>
        <w:numPr>
          <w:ilvl w:val="0"/>
          <w:numId w:val="1"/>
        </w:numPr>
        <w:rPr>
          <w:rFonts w:ascii="Arial" w:cs="Arial" w:eastAsia="Arial" w:hAnsi="Arial"/>
          <w:sz w:val="23"/>
          <w:szCs w:val="23"/>
          <w:color w:val="auto"/>
          <w:vertAlign w:val="superscript"/>
        </w:rPr>
      </w:pPr>
      <w:r>
        <w:rPr>
          <w:rFonts w:ascii="Arial" w:cs="Arial" w:eastAsia="Arial" w:hAnsi="Arial"/>
          <w:sz w:val="14"/>
          <w:szCs w:val="14"/>
          <w:color w:val="auto"/>
        </w:rPr>
        <w:t>Includes depreciation of property, plant and equipment and amortization of intangible assets, multiclient seismic data costs and SPM investments.</w:t>
      </w:r>
    </w:p>
    <w:p>
      <w:pPr>
        <w:spacing w:after="0" w:line="23" w:lineRule="exact"/>
        <w:rPr>
          <w:rFonts w:ascii="Arial" w:cs="Arial" w:eastAsia="Arial" w:hAnsi="Arial"/>
          <w:sz w:val="23"/>
          <w:szCs w:val="23"/>
          <w:color w:val="auto"/>
          <w:vertAlign w:val="superscript"/>
        </w:rPr>
      </w:pPr>
    </w:p>
    <w:p>
      <w:pPr>
        <w:ind w:left="200" w:hanging="192"/>
        <w:spacing w:after="0" w:line="182" w:lineRule="auto"/>
        <w:tabs>
          <w:tab w:leader="none" w:pos="200" w:val="left"/>
        </w:tabs>
        <w:numPr>
          <w:ilvl w:val="0"/>
          <w:numId w:val="1"/>
        </w:numPr>
        <w:rPr>
          <w:rFonts w:ascii="Arial" w:cs="Arial" w:eastAsia="Arial" w:hAnsi="Arial"/>
          <w:sz w:val="22"/>
          <w:szCs w:val="22"/>
          <w:color w:val="auto"/>
          <w:vertAlign w:val="superscript"/>
        </w:rPr>
      </w:pPr>
      <w:r>
        <w:rPr>
          <w:rFonts w:ascii="Arial" w:cs="Arial" w:eastAsia="Arial" w:hAnsi="Arial"/>
          <w:sz w:val="14"/>
          <w:szCs w:val="14"/>
          <w:color w:val="auto"/>
        </w:rPr>
        <w:t>Net of the effect of business acquisitions.</w:t>
      </w:r>
    </w:p>
    <w:p>
      <w:pPr>
        <w:spacing w:after="0" w:line="208"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6" w:name="page7"/>
    <w:bookmarkEnd w:id="6"/>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900"/>
        <w:spacing w:after="0"/>
        <w:rPr>
          <w:sz w:val="20"/>
          <w:szCs w:val="20"/>
          <w:color w:val="auto"/>
        </w:rPr>
      </w:pPr>
      <w:r>
        <w:rPr>
          <w:rFonts w:ascii="Arial" w:cs="Arial" w:eastAsia="Arial" w:hAnsi="Arial"/>
          <w:sz w:val="18"/>
          <w:szCs w:val="18"/>
          <w:b w:val="1"/>
          <w:bCs w:val="1"/>
          <w:u w:val="single" w:color="auto"/>
          <w:color w:val="auto"/>
        </w:rPr>
        <w:t>CONSOLIDATED STATEMENT OF EQUITY</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00"/>
        </w:trPr>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9"/>
          </w:tcPr>
          <w:p>
            <w:pPr>
              <w:jc w:val="right"/>
              <w:ind w:right="82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Retained</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2016 – June 30, 2016</w:t>
            </w:r>
          </w:p>
        </w:tc>
        <w:tc>
          <w:tcPr>
            <w:tcW w:w="3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gridSpan w:val="2"/>
          </w:tcPr>
          <w:p>
            <w:pPr>
              <w:jc w:val="right"/>
              <w:ind w:right="180"/>
              <w:spacing w:after="0" w:line="155" w:lineRule="exact"/>
              <w:rPr>
                <w:sz w:val="20"/>
                <w:szCs w:val="20"/>
                <w:color w:val="auto"/>
              </w:rPr>
            </w:pPr>
            <w:r>
              <w:rPr>
                <w:rFonts w:ascii="Arial" w:cs="Arial" w:eastAsia="Arial" w:hAnsi="Arial"/>
                <w:sz w:val="14"/>
                <w:szCs w:val="14"/>
                <w:b w:val="1"/>
                <w:bCs w:val="1"/>
                <w:color w:val="auto"/>
              </w:rPr>
              <w:t>In Treasury</w:t>
            </w: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right"/>
              <w:ind w:right="360"/>
              <w:spacing w:after="0" w:line="155" w:lineRule="exact"/>
              <w:rPr>
                <w:sz w:val="20"/>
                <w:szCs w:val="20"/>
                <w:color w:val="auto"/>
              </w:rPr>
            </w:pPr>
            <w:r>
              <w:rPr>
                <w:rFonts w:ascii="Arial" w:cs="Arial" w:eastAsia="Arial" w:hAnsi="Arial"/>
                <w:sz w:val="14"/>
                <w:szCs w:val="14"/>
                <w:b w:val="1"/>
                <w:bCs w:val="1"/>
                <w:color w:val="auto"/>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18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00"/>
              <w:spacing w:after="0" w:line="155" w:lineRule="exact"/>
              <w:rPr>
                <w:sz w:val="20"/>
                <w:szCs w:val="20"/>
                <w:color w:val="auto"/>
              </w:rPr>
            </w:pPr>
            <w:r>
              <w:rPr>
                <w:rFonts w:ascii="Arial" w:cs="Arial" w:eastAsia="Arial" w:hAnsi="Arial"/>
                <w:sz w:val="14"/>
                <w:szCs w:val="14"/>
                <w:b w:val="1"/>
                <w:bCs w:val="1"/>
                <w:color w:val="auto"/>
              </w:rPr>
              <w:t>Interests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8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3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2016</w:t>
            </w:r>
          </w:p>
        </w:tc>
        <w:tc>
          <w:tcPr>
            <w:tcW w:w="600" w:type="dxa"/>
            <w:vAlign w:val="bottom"/>
            <w:tcBorders>
              <w:top w:val="single" w:sz="8" w:color="auto"/>
            </w:tcBorders>
            <w:gridSpan w:val="3"/>
            <w:shd w:val="clear" w:color="auto" w:fill="CFF0FC"/>
          </w:tcPr>
          <w:p>
            <w:pPr>
              <w:jc w:val="right"/>
              <w:ind w:right="49"/>
              <w:spacing w:after="0" w:line="155"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12,693</w:t>
            </w: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(13,372)</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40,870</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top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(4,558)</w:t>
            </w: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272</w:t>
            </w:r>
          </w:p>
        </w:tc>
        <w:tc>
          <w:tcPr>
            <w:tcW w:w="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220" w:type="dxa"/>
            <w:vAlign w:val="bottom"/>
            <w:tcBorders>
              <w:top w:val="single" w:sz="8" w:color="auto"/>
            </w:tcBorders>
            <w:gridSpan w:val="2"/>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35,905</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Net loss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(1,659)</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(1,623)</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40"/>
              <w:spacing w:after="0"/>
              <w:rPr>
                <w:sz w:val="20"/>
                <w:szCs w:val="20"/>
                <w:color w:val="auto"/>
              </w:rPr>
            </w:pPr>
            <w:r>
              <w:rPr>
                <w:rFonts w:ascii="Arial" w:cs="Arial" w:eastAsia="Arial" w:hAnsi="Arial"/>
                <w:sz w:val="14"/>
                <w:szCs w:val="14"/>
                <w:color w:val="auto"/>
              </w:rPr>
              <w:t>(51)</w:t>
            </w: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(51)</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116</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(38)</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117</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79</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gridSpan w:val="3"/>
          </w:tcPr>
          <w:p>
            <w:pPr>
              <w:jc w:val="right"/>
              <w:ind w:right="60"/>
              <w:spacing w:after="0"/>
              <w:rPr>
                <w:sz w:val="20"/>
                <w:szCs w:val="20"/>
                <w:color w:val="auto"/>
              </w:rPr>
            </w:pPr>
            <w:r>
              <w:rPr>
                <w:rFonts w:ascii="Arial" w:cs="Arial" w:eastAsia="Arial" w:hAnsi="Arial"/>
                <w:sz w:val="14"/>
                <w:szCs w:val="14"/>
                <w:color w:val="auto"/>
              </w:rPr>
              <w:t>(63)</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1000" w:type="dxa"/>
            <w:vAlign w:val="bottom"/>
            <w:gridSpan w:val="3"/>
            <w:shd w:val="clear" w:color="auto" w:fill="CFF0FC"/>
          </w:tcPr>
          <w:p>
            <w:pPr>
              <w:jc w:val="right"/>
              <w:ind w:right="60"/>
              <w:spacing w:after="0"/>
              <w:rPr>
                <w:sz w:val="20"/>
                <w:szCs w:val="20"/>
                <w:color w:val="auto"/>
              </w:rPr>
            </w:pPr>
            <w:r>
              <w:rPr>
                <w:rFonts w:ascii="Arial" w:cs="Arial" w:eastAsia="Arial" w:hAnsi="Arial"/>
                <w:sz w:val="14"/>
                <w:szCs w:val="14"/>
                <w:color w:val="auto"/>
              </w:rPr>
              <w:t>(19)</w:t>
            </w: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116</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3"/>
          </w:tcPr>
          <w:p>
            <w:pPr>
              <w:jc w:val="right"/>
              <w:ind w:right="60"/>
              <w:spacing w:after="0"/>
              <w:rPr>
                <w:sz w:val="20"/>
                <w:szCs w:val="20"/>
                <w:color w:val="auto"/>
              </w:rPr>
            </w:pPr>
            <w:r>
              <w:rPr>
                <w:rFonts w:ascii="Arial" w:cs="Arial" w:eastAsia="Arial" w:hAnsi="Arial"/>
                <w:sz w:val="14"/>
                <w:szCs w:val="14"/>
                <w:color w:val="auto"/>
              </w:rPr>
              <w:t>(506)</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(506)</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145</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Dividends declared ($1.00 per share)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60"/>
              <w:spacing w:after="0"/>
              <w:rPr>
                <w:sz w:val="20"/>
                <w:szCs w:val="20"/>
                <w:color w:val="auto"/>
              </w:rPr>
            </w:pPr>
            <w:r>
              <w:rPr>
                <w:rFonts w:ascii="Arial" w:cs="Arial" w:eastAsia="Arial" w:hAnsi="Arial"/>
                <w:sz w:val="14"/>
                <w:szCs w:val="14"/>
                <w:color w:val="auto"/>
              </w:rPr>
              <w:t>(1,322)</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(1,322)</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Acquisition of Cameron International Corporation</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4"/>
                <w:szCs w:val="14"/>
                <w:color w:val="auto"/>
              </w:rPr>
              <w:t>103</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9,924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57</w:t>
            </w: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10,084</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Borders>
              <w:bottom w:val="single" w:sz="8" w:color="CFF0FC"/>
            </w:tcBorders>
          </w:tcPr>
          <w:p>
            <w:pPr>
              <w:spacing w:after="0"/>
              <w:rPr>
                <w:sz w:val="20"/>
                <w:szCs w:val="20"/>
                <w:color w:val="auto"/>
              </w:rPr>
            </w:pPr>
            <w:r>
              <w:rPr>
                <w:rFonts w:ascii="Arial" w:cs="Arial" w:eastAsia="Arial" w:hAnsi="Arial"/>
                <w:sz w:val="14"/>
                <w:szCs w:val="14"/>
                <w:color w:val="auto"/>
              </w:rPr>
              <w:t>Other</w:t>
            </w:r>
          </w:p>
        </w:tc>
        <w:tc>
          <w:tcPr>
            <w:tcW w:w="3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14</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color w:val="auto"/>
              </w:rPr>
              <w:t>3</w:t>
            </w: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60" w:type="dxa"/>
            <w:vAlign w:val="bottom"/>
            <w:tcBorders>
              <w:bottom w:val="single" w:sz="8" w:color="CFF0FC"/>
            </w:tcBorders>
          </w:tcPr>
          <w:p>
            <w:pPr>
              <w:spacing w:after="0"/>
              <w:rPr>
                <w:sz w:val="14"/>
                <w:szCs w:val="14"/>
                <w:color w:val="auto"/>
              </w:rPr>
            </w:pPr>
          </w:p>
        </w:tc>
        <w:tc>
          <w:tcPr>
            <w:tcW w:w="1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12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80" w:type="dxa"/>
            <w:vAlign w:val="bottom"/>
            <w:tcBorders>
              <w:bottom w:val="single" w:sz="8" w:color="CFF0FC"/>
            </w:tcBorders>
          </w:tcPr>
          <w:p>
            <w:pPr>
              <w:spacing w:after="0"/>
              <w:rPr>
                <w:sz w:val="14"/>
                <w:szCs w:val="14"/>
                <w:color w:val="auto"/>
              </w:rPr>
            </w:pPr>
          </w:p>
        </w:tc>
      </w:tr>
      <w:tr>
        <w:trPr>
          <w:trHeight w:val="155"/>
        </w:trPr>
        <w:tc>
          <w:tcPr>
            <w:tcW w:w="3380" w:type="dxa"/>
            <w:vAlign w:val="bottom"/>
            <w:tcBorders>
              <w:bottom w:val="single" w:sz="8" w:color="CFF0FC"/>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June 30, 2016</w:t>
            </w:r>
          </w:p>
        </w:tc>
        <w:tc>
          <w:tcPr>
            <w:tcW w:w="3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60" w:type="dxa"/>
            <w:vAlign w:val="bottom"/>
            <w:tcBorders>
              <w:bottom w:val="single" w:sz="8" w:color="auto"/>
            </w:tcBorders>
            <w:shd w:val="clear" w:color="auto" w:fill="CFF0FC"/>
          </w:tcPr>
          <w:p>
            <w:pPr>
              <w:jc w:val="right"/>
              <w:ind w:right="49"/>
              <w:spacing w:after="0"/>
              <w:rPr>
                <w:sz w:val="20"/>
                <w:szCs w:val="20"/>
                <w:color w:val="auto"/>
              </w:rPr>
            </w:pPr>
            <w:r>
              <w:rPr>
                <w:rFonts w:ascii="Arial" w:cs="Arial" w:eastAsia="Arial" w:hAnsi="Arial"/>
                <w:sz w:val="10"/>
                <w:szCs w:val="10"/>
                <w:color w:val="auto"/>
                <w:w w:val="71"/>
              </w:rPr>
              <w:t>$</w:t>
            </w:r>
          </w:p>
        </w:tc>
        <w:tc>
          <w:tcPr>
            <w:tcW w:w="8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12,835</w:t>
            </w:r>
          </w:p>
        </w:tc>
        <w:tc>
          <w:tcPr>
            <w:tcW w:w="12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(3,636)</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37,889</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gridSpan w:val="2"/>
            <w:shd w:val="clear" w:color="auto" w:fill="CFF0FC"/>
          </w:tcPr>
          <w:p>
            <w:pPr>
              <w:jc w:val="right"/>
              <w:spacing w:after="0" w:line="155" w:lineRule="exact"/>
              <w:rPr>
                <w:sz w:val="20"/>
                <w:szCs w:val="20"/>
                <w:color w:val="auto"/>
              </w:rPr>
            </w:pPr>
            <w:r>
              <w:rPr>
                <w:rFonts w:ascii="Arial" w:cs="Arial" w:eastAsia="Arial" w:hAnsi="Arial"/>
                <w:sz w:val="14"/>
                <w:szCs w:val="14"/>
                <w:color w:val="auto"/>
              </w:rPr>
              <w:t>(4,478)</w:t>
            </w:r>
          </w:p>
        </w:tc>
        <w:tc>
          <w:tcPr>
            <w:tcW w:w="100" w:type="dxa"/>
            <w:vAlign w:val="bottom"/>
            <w:tcBorders>
              <w:bottom w:val="single" w:sz="8" w:color="CFF0FC"/>
            </w:tcBorders>
            <w:shd w:val="clear" w:color="auto" w:fill="CFF0FC"/>
          </w:tcPr>
          <w:p>
            <w:pPr>
              <w:spacing w:after="0"/>
              <w:rPr>
                <w:sz w:val="13"/>
                <w:szCs w:val="13"/>
                <w:color w:val="auto"/>
              </w:rPr>
            </w:pPr>
          </w:p>
        </w:tc>
        <w:tc>
          <w:tcPr>
            <w:tcW w:w="60" w:type="dxa"/>
            <w:vAlign w:val="bottom"/>
            <w:tcBorders>
              <w:bottom w:val="single" w:sz="8" w:color="CFF0FC"/>
            </w:tcBorders>
            <w:shd w:val="clear" w:color="auto" w:fill="CFF0FC"/>
          </w:tcPr>
          <w:p>
            <w:pPr>
              <w:spacing w:after="0"/>
              <w:rPr>
                <w:sz w:val="13"/>
                <w:szCs w:val="13"/>
                <w:color w:val="auto"/>
              </w:rPr>
            </w:pPr>
          </w:p>
        </w:tc>
        <w:tc>
          <w:tcPr>
            <w:tcW w:w="100" w:type="dxa"/>
            <w:vAlign w:val="bottom"/>
            <w:tcBorders>
              <w:bottom w:val="single" w:sz="8" w:color="CFF0FC"/>
            </w:tcBorders>
            <w:shd w:val="clear" w:color="auto" w:fill="CFF0FC"/>
          </w:tcPr>
          <w:p>
            <w:pPr>
              <w:spacing w:after="0"/>
              <w:rPr>
                <w:sz w:val="13"/>
                <w:szCs w:val="13"/>
                <w:color w:val="auto"/>
              </w:rPr>
            </w:pPr>
          </w:p>
        </w:tc>
        <w:tc>
          <w:tcPr>
            <w:tcW w:w="140" w:type="dxa"/>
            <w:vAlign w:val="bottom"/>
            <w:tcBorders>
              <w:bottom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369</w:t>
            </w:r>
          </w:p>
        </w:tc>
        <w:tc>
          <w:tcPr>
            <w:tcW w:w="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120" w:type="dxa"/>
            <w:vAlign w:val="bottom"/>
            <w:tcBorders>
              <w:bottom w:val="single" w:sz="8" w:color="CFF0FC"/>
            </w:tcBorders>
            <w:shd w:val="clear" w:color="auto" w:fill="CFF0FC"/>
          </w:tcPr>
          <w:p>
            <w:pPr>
              <w:spacing w:after="0"/>
              <w:rPr>
                <w:sz w:val="13"/>
                <w:szCs w:val="13"/>
                <w:color w:val="auto"/>
              </w:rPr>
            </w:pPr>
          </w:p>
        </w:tc>
        <w:tc>
          <w:tcPr>
            <w:tcW w:w="220" w:type="dxa"/>
            <w:vAlign w:val="bottom"/>
            <w:tcBorders>
              <w:bottom w:val="single" w:sz="8" w:color="auto"/>
            </w:tcBorders>
            <w:gridSpan w:val="2"/>
            <w:shd w:val="clear" w:color="auto" w:fill="CFF0FC"/>
          </w:tcPr>
          <w:p>
            <w:pPr>
              <w:jc w:val="right"/>
              <w:ind w:right="109"/>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42,979</w:t>
            </w:r>
          </w:p>
        </w:tc>
        <w:tc>
          <w:tcPr>
            <w:tcW w:w="80" w:type="dxa"/>
            <w:vAlign w:val="bottom"/>
            <w:tcBorders>
              <w:bottom w:val="single" w:sz="8" w:color="CFF0FC"/>
            </w:tcBorders>
            <w:shd w:val="clear" w:color="auto" w:fill="CFF0FC"/>
          </w:tcPr>
          <w:p>
            <w:pPr>
              <w:spacing w:after="0"/>
              <w:rPr>
                <w:sz w:val="13"/>
                <w:szCs w:val="13"/>
                <w:color w:val="auto"/>
              </w:rPr>
            </w:pPr>
          </w:p>
        </w:tc>
      </w:tr>
      <w:tr>
        <w:trPr>
          <w:trHeight w:val="20"/>
        </w:trPr>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7"/>
        </w:trPr>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5"/>
          </w:tcPr>
          <w:p>
            <w:pPr>
              <w:jc w:val="right"/>
              <w:ind w:right="100"/>
              <w:spacing w:after="0"/>
              <w:rPr>
                <w:sz w:val="20"/>
                <w:szCs w:val="20"/>
                <w:color w:val="auto"/>
              </w:rPr>
            </w:pPr>
            <w:r>
              <w:rPr>
                <w:rFonts w:ascii="Arial" w:cs="Arial" w:eastAsia="Arial" w:hAnsi="Arial"/>
                <w:sz w:val="14"/>
                <w:szCs w:val="14"/>
                <w:i w:val="1"/>
                <w:iCs w:val="1"/>
                <w:color w:val="auto"/>
              </w:rPr>
              <w:t>(Stated in millions)</w:t>
            </w:r>
          </w:p>
        </w:tc>
      </w:tr>
      <w:tr>
        <w:trPr>
          <w:trHeight w:val="300"/>
        </w:trPr>
        <w:tc>
          <w:tcPr>
            <w:tcW w:w="33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gridSpan w:val="4"/>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62"/>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6"/>
              </w:rPr>
              <w:t>Other</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71"/>
        </w:trPr>
        <w:tc>
          <w:tcPr>
            <w:tcW w:w="33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9"/>
          </w:tcPr>
          <w:p>
            <w:pPr>
              <w:jc w:val="right"/>
              <w:ind w:right="880"/>
              <w:spacing w:after="0"/>
              <w:rPr>
                <w:sz w:val="20"/>
                <w:szCs w:val="20"/>
                <w:color w:val="auto"/>
              </w:rPr>
            </w:pPr>
            <w:r>
              <w:rPr>
                <w:rFonts w:ascii="Arial" w:cs="Arial" w:eastAsia="Arial" w:hAnsi="Arial"/>
                <w:sz w:val="14"/>
                <w:szCs w:val="14"/>
                <w:b w:val="1"/>
                <w:bCs w:val="1"/>
                <w:color w:val="auto"/>
              </w:rPr>
              <w:t>Common Stock</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8"/>
              </w:rPr>
              <w:t>Retained</w:t>
            </w:r>
          </w:p>
        </w:tc>
        <w:tc>
          <w:tcPr>
            <w:tcW w:w="60" w:type="dxa"/>
            <w:vAlign w:val="bottom"/>
          </w:tcPr>
          <w:p>
            <w:pPr>
              <w:spacing w:after="0"/>
              <w:rPr>
                <w:sz w:val="14"/>
                <w:szCs w:val="14"/>
                <w:color w:val="auto"/>
              </w:rPr>
            </w:pPr>
          </w:p>
        </w:tc>
        <w:tc>
          <w:tcPr>
            <w:tcW w:w="124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1"/>
              </w:rPr>
              <w:t>Comprehensive</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4"/>
          </w:tcPr>
          <w:p>
            <w:pPr>
              <w:ind w:left="20"/>
              <w:spacing w:after="0"/>
              <w:rPr>
                <w:sz w:val="20"/>
                <w:szCs w:val="20"/>
                <w:color w:val="auto"/>
              </w:rPr>
            </w:pPr>
            <w:r>
              <w:rPr>
                <w:rFonts w:ascii="Arial" w:cs="Arial" w:eastAsia="Arial" w:hAnsi="Arial"/>
                <w:sz w:val="14"/>
                <w:szCs w:val="14"/>
                <w:b w:val="1"/>
                <w:bCs w:val="1"/>
                <w:color w:val="auto"/>
              </w:rPr>
              <w:t>Noncontrolling</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b w:val="1"/>
                <w:bCs w:val="1"/>
                <w:color w:val="auto"/>
              </w:rPr>
              <w:t>January 1, 2015 – June 30, 2015</w:t>
            </w:r>
          </w:p>
        </w:tc>
        <w:tc>
          <w:tcPr>
            <w:tcW w:w="380" w:type="dxa"/>
            <w:vAlign w:val="bottom"/>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gridSpan w:val="3"/>
          </w:tcPr>
          <w:p>
            <w:pPr>
              <w:jc w:val="right"/>
              <w:ind w:right="520"/>
              <w:spacing w:after="0" w:line="155" w:lineRule="exact"/>
              <w:rPr>
                <w:sz w:val="20"/>
                <w:szCs w:val="20"/>
                <w:color w:val="auto"/>
              </w:rPr>
            </w:pPr>
            <w:r>
              <w:rPr>
                <w:rFonts w:ascii="Arial" w:cs="Arial" w:eastAsia="Arial" w:hAnsi="Arial"/>
                <w:sz w:val="14"/>
                <w:szCs w:val="14"/>
                <w:b w:val="1"/>
                <w:bCs w:val="1"/>
                <w:color w:val="auto"/>
              </w:rPr>
              <w:t>Issued</w:t>
            </w:r>
          </w:p>
        </w:tc>
        <w:tc>
          <w:tcPr>
            <w:tcW w:w="80" w:type="dxa"/>
            <w:vAlign w:val="bottom"/>
            <w:tcBorders>
              <w:top w:val="single" w:sz="8" w:color="auto"/>
            </w:tcBorders>
          </w:tcPr>
          <w:p>
            <w:pPr>
              <w:spacing w:after="0"/>
              <w:rPr>
                <w:sz w:val="13"/>
                <w:szCs w:val="13"/>
                <w:color w:val="auto"/>
              </w:rPr>
            </w:pPr>
          </w:p>
        </w:tc>
        <w:tc>
          <w:tcPr>
            <w:tcW w:w="6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ind w:right="108"/>
              <w:spacing w:after="0" w:line="155" w:lineRule="exact"/>
              <w:rPr>
                <w:sz w:val="20"/>
                <w:szCs w:val="20"/>
                <w:color w:val="auto"/>
              </w:rPr>
            </w:pPr>
            <w:r>
              <w:rPr>
                <w:rFonts w:ascii="Arial" w:cs="Arial" w:eastAsia="Arial" w:hAnsi="Arial"/>
                <w:sz w:val="14"/>
                <w:szCs w:val="14"/>
                <w:b w:val="1"/>
                <w:bCs w:val="1"/>
                <w:color w:val="auto"/>
                <w:w w:val="92"/>
              </w:rPr>
              <w:t>In Treasury</w:t>
            </w:r>
          </w:p>
        </w:tc>
        <w:tc>
          <w:tcPr>
            <w:tcW w:w="18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gridSpan w:val="3"/>
          </w:tcPr>
          <w:p>
            <w:pPr>
              <w:jc w:val="right"/>
              <w:ind w:right="440"/>
              <w:spacing w:after="0" w:line="155" w:lineRule="exact"/>
              <w:rPr>
                <w:sz w:val="20"/>
                <w:szCs w:val="20"/>
                <w:color w:val="auto"/>
              </w:rPr>
            </w:pPr>
            <w:r>
              <w:rPr>
                <w:rFonts w:ascii="Arial" w:cs="Arial" w:eastAsia="Arial" w:hAnsi="Arial"/>
                <w:sz w:val="14"/>
                <w:szCs w:val="14"/>
                <w:b w:val="1"/>
                <w:bCs w:val="1"/>
                <w:color w:val="auto"/>
                <w:w w:val="96"/>
              </w:rPr>
              <w:t>Earnings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gridSpan w:val="3"/>
          </w:tcPr>
          <w:p>
            <w:pPr>
              <w:jc w:val="center"/>
              <w:ind w:right="380"/>
              <w:spacing w:after="0" w:line="155" w:lineRule="exact"/>
              <w:rPr>
                <w:sz w:val="20"/>
                <w:szCs w:val="20"/>
                <w:color w:val="auto"/>
              </w:rPr>
            </w:pPr>
            <w:r>
              <w:rPr>
                <w:rFonts w:ascii="Arial" w:cs="Arial" w:eastAsia="Arial" w:hAnsi="Arial"/>
                <w:sz w:val="14"/>
                <w:szCs w:val="14"/>
                <w:b w:val="1"/>
                <w:bCs w:val="1"/>
                <w:color w:val="auto"/>
                <w:w w:val="85"/>
              </w:rPr>
              <w:t>Loss</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3"/>
          </w:tcPr>
          <w:p>
            <w:pPr>
              <w:jc w:val="right"/>
              <w:ind w:right="460"/>
              <w:spacing w:after="0" w:line="155" w:lineRule="exact"/>
              <w:rPr>
                <w:sz w:val="20"/>
                <w:szCs w:val="20"/>
                <w:color w:val="auto"/>
              </w:rPr>
            </w:pPr>
            <w:r>
              <w:rPr>
                <w:rFonts w:ascii="Arial" w:cs="Arial" w:eastAsia="Arial" w:hAnsi="Arial"/>
                <w:sz w:val="14"/>
                <w:szCs w:val="14"/>
                <w:b w:val="1"/>
                <w:bCs w:val="1"/>
                <w:color w:val="auto"/>
                <w:w w:val="99"/>
              </w:rPr>
              <w:t>Interests</w:t>
            </w: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40" w:type="dxa"/>
            <w:vAlign w:val="bottom"/>
            <w:gridSpan w:val="2"/>
          </w:tcPr>
          <w:p>
            <w:pPr>
              <w:jc w:val="right"/>
              <w:ind w:right="460"/>
              <w:spacing w:after="0" w:line="155" w:lineRule="exact"/>
              <w:rPr>
                <w:sz w:val="20"/>
                <w:szCs w:val="20"/>
                <w:color w:val="auto"/>
              </w:rPr>
            </w:pPr>
            <w:r>
              <w:rPr>
                <w:rFonts w:ascii="Arial" w:cs="Arial" w:eastAsia="Arial" w:hAnsi="Arial"/>
                <w:sz w:val="14"/>
                <w:szCs w:val="14"/>
                <w:b w:val="1"/>
                <w:bCs w:val="1"/>
                <w:color w:val="auto"/>
              </w:rPr>
              <w:t>Total</w:t>
            </w:r>
          </w:p>
        </w:tc>
      </w:tr>
      <w:tr>
        <w:trPr>
          <w:trHeight w:val="155"/>
        </w:trPr>
        <w:tc>
          <w:tcPr>
            <w:tcW w:w="3380" w:type="dxa"/>
            <w:vAlign w:val="bottom"/>
            <w:tcBorders>
              <w:top w:val="single" w:sz="8" w:color="auto"/>
            </w:tcBorders>
            <w:shd w:val="clear" w:color="auto" w:fill="CFF0FC"/>
          </w:tcPr>
          <w:p>
            <w:pPr>
              <w:spacing w:after="0" w:line="155" w:lineRule="exact"/>
              <w:rPr>
                <w:sz w:val="20"/>
                <w:szCs w:val="20"/>
                <w:color w:val="auto"/>
              </w:rPr>
            </w:pPr>
            <w:r>
              <w:rPr>
                <w:rFonts w:ascii="Arial" w:cs="Arial" w:eastAsia="Arial" w:hAnsi="Arial"/>
                <w:sz w:val="14"/>
                <w:szCs w:val="14"/>
                <w:color w:val="auto"/>
              </w:rPr>
              <w:t>Balance, January 1, 2015</w:t>
            </w:r>
          </w:p>
        </w:tc>
        <w:tc>
          <w:tcPr>
            <w:tcW w:w="600" w:type="dxa"/>
            <w:vAlign w:val="bottom"/>
            <w:tcBorders>
              <w:top w:val="single" w:sz="8" w:color="auto"/>
            </w:tcBorders>
            <w:gridSpan w:val="3"/>
            <w:shd w:val="clear" w:color="auto" w:fill="CFF0FC"/>
          </w:tcPr>
          <w:p>
            <w:pPr>
              <w:jc w:val="right"/>
              <w:ind w:right="89"/>
              <w:spacing w:after="0" w:line="155" w:lineRule="exact"/>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12,495</w:t>
            </w:r>
          </w:p>
        </w:tc>
        <w:tc>
          <w:tcPr>
            <w:tcW w:w="60" w:type="dxa"/>
            <w:vAlign w:val="bottom"/>
            <w:tcBorders>
              <w:top w:val="single" w:sz="8" w:color="CFF0FC"/>
            </w:tcBorders>
            <w:shd w:val="clear" w:color="auto" w:fill="CFF0FC"/>
          </w:tcPr>
          <w:p>
            <w:pPr>
              <w:spacing w:after="0"/>
              <w:rPr>
                <w:sz w:val="13"/>
                <w:szCs w:val="13"/>
                <w:color w:val="auto"/>
              </w:rPr>
            </w:pPr>
          </w:p>
        </w:tc>
        <w:tc>
          <w:tcPr>
            <w:tcW w:w="12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auto"/>
            </w:tcBorders>
            <w:gridSpan w:val="2"/>
            <w:shd w:val="clear" w:color="auto" w:fill="CFF0FC"/>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(11,772)</w:t>
            </w:r>
          </w:p>
        </w:tc>
        <w:tc>
          <w:tcPr>
            <w:tcW w:w="8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8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shd w:val="clear" w:color="auto" w:fill="CFF0FC"/>
          </w:tcPr>
          <w:p>
            <w:pPr>
              <w:spacing w:after="0"/>
              <w:rPr>
                <w:sz w:val="13"/>
                <w:szCs w:val="13"/>
                <w:color w:val="auto"/>
              </w:rPr>
            </w:pPr>
          </w:p>
        </w:tc>
        <w:tc>
          <w:tcPr>
            <w:tcW w:w="84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41,333</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shd w:val="clear" w:color="auto" w:fill="CFF0FC"/>
          </w:tcPr>
          <w:p>
            <w:pPr>
              <w:spacing w:after="0"/>
              <w:rPr>
                <w:sz w:val="13"/>
                <w:szCs w:val="13"/>
                <w:color w:val="auto"/>
              </w:rPr>
            </w:pP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(4,206)</w:t>
            </w:r>
          </w:p>
        </w:tc>
        <w:tc>
          <w:tcPr>
            <w:tcW w:w="10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CFF0FC"/>
            </w:tcBorders>
            <w:shd w:val="clear" w:color="auto" w:fill="CFF0FC"/>
          </w:tcPr>
          <w:p>
            <w:pPr>
              <w:spacing w:after="0"/>
              <w:rPr>
                <w:sz w:val="13"/>
                <w:szCs w:val="13"/>
                <w:color w:val="auto"/>
              </w:rPr>
            </w:pPr>
          </w:p>
        </w:tc>
        <w:tc>
          <w:tcPr>
            <w:tcW w:w="60" w:type="dxa"/>
            <w:vAlign w:val="bottom"/>
            <w:tcBorders>
              <w:top w:val="single" w:sz="8" w:color="CFF0FC"/>
            </w:tcBorders>
            <w:shd w:val="clear" w:color="auto" w:fill="CFF0FC"/>
          </w:tcPr>
          <w:p>
            <w:pPr>
              <w:spacing w:after="0"/>
              <w:rPr>
                <w:sz w:val="13"/>
                <w:szCs w:val="13"/>
                <w:color w:val="auto"/>
              </w:rPr>
            </w:pPr>
          </w:p>
        </w:tc>
        <w:tc>
          <w:tcPr>
            <w:tcW w:w="10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shd w:val="clear" w:color="auto" w:fill="CFF0FC"/>
          </w:tcPr>
          <w:p>
            <w:pPr>
              <w:spacing w:after="0"/>
              <w:rPr>
                <w:sz w:val="13"/>
                <w:szCs w:val="13"/>
                <w:color w:val="auto"/>
              </w:rPr>
            </w:pPr>
          </w:p>
        </w:tc>
        <w:tc>
          <w:tcPr>
            <w:tcW w:w="940" w:type="dxa"/>
            <w:vAlign w:val="bottom"/>
            <w:tcBorders>
              <w:top w:val="single" w:sz="8" w:color="auto"/>
            </w:tcBorders>
            <w:gridSpan w:val="2"/>
            <w:shd w:val="clear" w:color="auto" w:fill="CFF0FC"/>
          </w:tcPr>
          <w:p>
            <w:pPr>
              <w:jc w:val="right"/>
              <w:ind w:right="20"/>
              <w:spacing w:after="0" w:line="155" w:lineRule="exact"/>
              <w:rPr>
                <w:sz w:val="20"/>
                <w:szCs w:val="20"/>
                <w:color w:val="auto"/>
              </w:rPr>
            </w:pPr>
            <w:r>
              <w:rPr>
                <w:rFonts w:ascii="Arial" w:cs="Arial" w:eastAsia="Arial" w:hAnsi="Arial"/>
                <w:sz w:val="14"/>
                <w:szCs w:val="14"/>
                <w:color w:val="auto"/>
              </w:rPr>
              <w:t>199</w:t>
            </w:r>
          </w:p>
        </w:tc>
        <w:tc>
          <w:tcPr>
            <w:tcW w:w="120" w:type="dxa"/>
            <w:vAlign w:val="bottom"/>
            <w:tcBorders>
              <w:top w:val="single" w:sz="8" w:color="CFF0FC"/>
            </w:tcBorders>
            <w:shd w:val="clear" w:color="auto" w:fill="CFF0FC"/>
          </w:tcPr>
          <w:p>
            <w:pPr>
              <w:spacing w:after="0"/>
              <w:rPr>
                <w:sz w:val="13"/>
                <w:szCs w:val="13"/>
                <w:color w:val="auto"/>
              </w:rPr>
            </w:pPr>
          </w:p>
        </w:tc>
        <w:tc>
          <w:tcPr>
            <w:tcW w:w="140" w:type="dxa"/>
            <w:vAlign w:val="bottom"/>
            <w:tcBorders>
              <w:top w:val="single" w:sz="8" w:color="CFF0FC"/>
            </w:tcBorders>
            <w:gridSpan w:val="2"/>
            <w:shd w:val="clear" w:color="auto" w:fill="CFF0FC"/>
          </w:tcPr>
          <w:p>
            <w:pPr>
              <w:spacing w:after="0"/>
              <w:rPr>
                <w:sz w:val="13"/>
                <w:szCs w:val="13"/>
                <w:color w:val="auto"/>
              </w:rPr>
            </w:pPr>
          </w:p>
        </w:tc>
        <w:tc>
          <w:tcPr>
            <w:tcW w:w="200" w:type="dxa"/>
            <w:vAlign w:val="bottom"/>
            <w:tcBorders>
              <w:top w:val="single" w:sz="8" w:color="auto"/>
            </w:tcBorders>
            <w:shd w:val="clear" w:color="auto" w:fill="CFF0FC"/>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shd w:val="clear" w:color="auto" w:fill="CFF0FC"/>
          </w:tcPr>
          <w:p>
            <w:pPr>
              <w:jc w:val="right"/>
              <w:spacing w:after="0" w:line="155" w:lineRule="exact"/>
              <w:rPr>
                <w:sz w:val="20"/>
                <w:szCs w:val="20"/>
                <w:color w:val="auto"/>
              </w:rPr>
            </w:pPr>
            <w:r>
              <w:rPr>
                <w:rFonts w:ascii="Arial" w:cs="Arial" w:eastAsia="Arial" w:hAnsi="Arial"/>
                <w:sz w:val="14"/>
                <w:szCs w:val="14"/>
                <w:color w:val="auto"/>
              </w:rPr>
              <w:t>38,049</w:t>
            </w:r>
          </w:p>
        </w:tc>
        <w:tc>
          <w:tcPr>
            <w:tcW w:w="80" w:type="dxa"/>
            <w:vAlign w:val="bottom"/>
            <w:tcBorders>
              <w:top w:val="single" w:sz="8" w:color="CFF0FC"/>
            </w:tcBorders>
            <w:shd w:val="clear" w:color="auto" w:fill="CFF0FC"/>
          </w:tcPr>
          <w:p>
            <w:pPr>
              <w:spacing w:after="0"/>
              <w:rPr>
                <w:sz w:val="13"/>
                <w:szCs w:val="13"/>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Net income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2,099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4"/>
                <w:szCs w:val="14"/>
                <w:color w:val="auto"/>
              </w:rPr>
              <w:t>23</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2,122</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Currency translation adjustments</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(94)</w:t>
            </w: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(94)</w:t>
            </w: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Changes in unrealized gain on marketable securities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(10)</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Changes in fair value of cash flow hedges</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30</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Pension and other postretirement benefit plans</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172</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Shares sold to optionees, less shares exchanged</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4"/>
                <w:szCs w:val="14"/>
                <w:color w:val="auto"/>
              </w:rPr>
              <w:t>(25)</w:t>
            </w: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137</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112</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Vesting of restricted stock</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Shares issued under employee stock purchase plan</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135</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144</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Stock repurchase program</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4"/>
                <w:szCs w:val="14"/>
                <w:color w:val="auto"/>
              </w:rPr>
              <w:t>(1,239)</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(1,239)</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Stock-based compensation expense</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9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167</w:t>
            </w:r>
          </w:p>
        </w:tc>
        <w:tc>
          <w:tcPr>
            <w:tcW w:w="80" w:type="dxa"/>
            <w:vAlign w:val="bottom"/>
            <w:shd w:val="clear" w:color="auto" w:fill="CFF0FC"/>
          </w:tcPr>
          <w:p>
            <w:pPr>
              <w:spacing w:after="0"/>
              <w:rPr>
                <w:sz w:val="14"/>
                <w:szCs w:val="14"/>
                <w:color w:val="auto"/>
              </w:rPr>
            </w:pPr>
          </w:p>
        </w:tc>
      </w:tr>
      <w:tr>
        <w:trPr>
          <w:trHeight w:val="162"/>
        </w:trPr>
        <w:tc>
          <w:tcPr>
            <w:tcW w:w="3380" w:type="dxa"/>
            <w:vAlign w:val="bottom"/>
          </w:tcPr>
          <w:p>
            <w:pPr>
              <w:spacing w:after="0"/>
              <w:rPr>
                <w:sz w:val="20"/>
                <w:szCs w:val="20"/>
                <w:color w:val="auto"/>
              </w:rPr>
            </w:pPr>
            <w:r>
              <w:rPr>
                <w:rFonts w:ascii="Arial" w:cs="Arial" w:eastAsia="Arial" w:hAnsi="Arial"/>
                <w:sz w:val="14"/>
                <w:szCs w:val="14"/>
                <w:color w:val="auto"/>
              </w:rPr>
              <w:t>Dividends declared ($1.00 per share)</w:t>
            </w: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(1,274)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4"/>
                <w:szCs w:val="14"/>
                <w:color w:val="auto"/>
              </w:rPr>
              <w:t>(1,274)</w:t>
            </w:r>
          </w:p>
        </w:tc>
      </w:tr>
      <w:tr>
        <w:trPr>
          <w:trHeight w:val="162"/>
        </w:trPr>
        <w:tc>
          <w:tcPr>
            <w:tcW w:w="3380" w:type="dxa"/>
            <w:vAlign w:val="bottom"/>
            <w:shd w:val="clear" w:color="auto" w:fill="CFF0FC"/>
          </w:tcPr>
          <w:p>
            <w:pPr>
              <w:spacing w:after="0"/>
              <w:rPr>
                <w:sz w:val="20"/>
                <w:szCs w:val="20"/>
                <w:color w:val="auto"/>
              </w:rPr>
            </w:pPr>
            <w:r>
              <w:rPr>
                <w:rFonts w:ascii="Arial" w:cs="Arial" w:eastAsia="Arial" w:hAnsi="Arial"/>
                <w:sz w:val="14"/>
                <w:szCs w:val="14"/>
                <w:color w:val="auto"/>
              </w:rPr>
              <w:t>Other</w:t>
            </w:r>
          </w:p>
        </w:tc>
        <w:tc>
          <w:tcPr>
            <w:tcW w:w="3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60" w:type="dxa"/>
            <w:vAlign w:val="bottom"/>
            <w:shd w:val="clear" w:color="auto" w:fill="CFF0FC"/>
          </w:tcPr>
          <w:p>
            <w:pPr>
              <w:spacing w:after="0"/>
              <w:rPr>
                <w:sz w:val="14"/>
                <w:szCs w:val="14"/>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w:t>
            </w:r>
          </w:p>
        </w:tc>
        <w:tc>
          <w:tcPr>
            <w:tcW w:w="6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120" w:type="dxa"/>
            <w:vAlign w:val="bottom"/>
            <w:shd w:val="clear" w:color="auto" w:fill="CFF0FC"/>
          </w:tcPr>
          <w:p>
            <w:pPr>
              <w:spacing w:after="0"/>
              <w:rPr>
                <w:sz w:val="14"/>
                <w:szCs w:val="14"/>
                <w:color w:val="auto"/>
              </w:rPr>
            </w:pPr>
          </w:p>
        </w:tc>
        <w:tc>
          <w:tcPr>
            <w:tcW w:w="84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80" w:type="dxa"/>
            <w:vAlign w:val="bottom"/>
            <w:shd w:val="clear" w:color="auto" w:fill="CFF0FC"/>
          </w:tcPr>
          <w:p>
            <w:pPr>
              <w:spacing w:after="0"/>
              <w:rPr>
                <w:sz w:val="14"/>
                <w:szCs w:val="14"/>
                <w:color w:val="auto"/>
              </w:rPr>
            </w:pPr>
          </w:p>
        </w:tc>
        <w:tc>
          <w:tcPr>
            <w:tcW w:w="8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6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60" w:type="dxa"/>
            <w:vAlign w:val="bottom"/>
            <w:gridSpan w:val="3"/>
            <w:shd w:val="clear" w:color="auto" w:fill="CFF0FC"/>
          </w:tcPr>
          <w:p>
            <w:pPr>
              <w:jc w:val="right"/>
              <w:ind w:right="80"/>
              <w:spacing w:after="0"/>
              <w:rPr>
                <w:sz w:val="20"/>
                <w:szCs w:val="20"/>
                <w:color w:val="auto"/>
              </w:rPr>
            </w:pPr>
            <w:r>
              <w:rPr>
                <w:rFonts w:ascii="Arial" w:cs="Arial" w:eastAsia="Arial" w:hAnsi="Arial"/>
                <w:sz w:val="14"/>
                <w:szCs w:val="14"/>
                <w:color w:val="auto"/>
              </w:rPr>
              <w:t>(2)</w:t>
            </w:r>
          </w:p>
        </w:tc>
        <w:tc>
          <w:tcPr>
            <w:tcW w:w="120" w:type="dxa"/>
            <w:vAlign w:val="bottom"/>
            <w:shd w:val="clear" w:color="auto" w:fill="CFF0FC"/>
          </w:tcPr>
          <w:p>
            <w:pPr>
              <w:spacing w:after="0"/>
              <w:rPr>
                <w:sz w:val="14"/>
                <w:szCs w:val="14"/>
                <w:color w:val="auto"/>
              </w:rPr>
            </w:pPr>
          </w:p>
        </w:tc>
        <w:tc>
          <w:tcPr>
            <w:tcW w:w="20" w:type="dxa"/>
            <w:vAlign w:val="bottom"/>
            <w:shd w:val="clear" w:color="auto" w:fill="CFF0FC"/>
          </w:tcPr>
          <w:p>
            <w:pPr>
              <w:spacing w:after="0"/>
              <w:rPr>
                <w:sz w:val="14"/>
                <w:szCs w:val="14"/>
                <w:color w:val="auto"/>
              </w:rPr>
            </w:pPr>
          </w:p>
        </w:tc>
        <w:tc>
          <w:tcPr>
            <w:tcW w:w="200" w:type="dxa"/>
            <w:vAlign w:val="bottom"/>
            <w:shd w:val="clear" w:color="auto" w:fill="CFF0FC"/>
          </w:tcPr>
          <w:p>
            <w:pPr>
              <w:spacing w:after="0"/>
              <w:rPr>
                <w:sz w:val="14"/>
                <w:szCs w:val="14"/>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w:t>
            </w:r>
          </w:p>
        </w:tc>
        <w:tc>
          <w:tcPr>
            <w:tcW w:w="80" w:type="dxa"/>
            <w:vAlign w:val="bottom"/>
            <w:shd w:val="clear" w:color="auto" w:fill="CFF0FC"/>
          </w:tcPr>
          <w:p>
            <w:pPr>
              <w:spacing w:after="0"/>
              <w:rPr>
                <w:sz w:val="14"/>
                <w:szCs w:val="14"/>
                <w:color w:val="auto"/>
              </w:rPr>
            </w:pPr>
          </w:p>
        </w:tc>
      </w:tr>
      <w:tr>
        <w:trPr>
          <w:trHeight w:val="155"/>
        </w:trPr>
        <w:tc>
          <w:tcPr>
            <w:tcW w:w="3380" w:type="dxa"/>
            <w:vAlign w:val="bottom"/>
          </w:tcPr>
          <w:p>
            <w:pPr>
              <w:spacing w:after="0" w:line="155" w:lineRule="exact"/>
              <w:rPr>
                <w:sz w:val="20"/>
                <w:szCs w:val="20"/>
                <w:color w:val="auto"/>
              </w:rPr>
            </w:pPr>
            <w:r>
              <w:rPr>
                <w:rFonts w:ascii="Arial" w:cs="Arial" w:eastAsia="Arial" w:hAnsi="Arial"/>
                <w:sz w:val="14"/>
                <w:szCs w:val="14"/>
                <w:color w:val="auto"/>
              </w:rPr>
              <w:t>Balance, June 30, 2015</w:t>
            </w:r>
          </w:p>
        </w:tc>
        <w:tc>
          <w:tcPr>
            <w:tcW w:w="380" w:type="dxa"/>
            <w:vAlign w:val="bottom"/>
          </w:tcPr>
          <w:p>
            <w:pPr>
              <w:spacing w:after="0"/>
              <w:rPr>
                <w:sz w:val="13"/>
                <w:szCs w:val="13"/>
                <w:color w:val="auto"/>
              </w:rPr>
            </w:pPr>
          </w:p>
        </w:tc>
        <w:tc>
          <w:tcPr>
            <w:tcW w:w="220" w:type="dxa"/>
            <w:vAlign w:val="bottom"/>
            <w:tcBorders>
              <w:top w:val="single" w:sz="8" w:color="auto"/>
            </w:tcBorders>
            <w:gridSpan w:val="2"/>
          </w:tcPr>
          <w:p>
            <w:pPr>
              <w:jc w:val="right"/>
              <w:ind w:right="89"/>
              <w:spacing w:after="0" w:line="155" w:lineRule="exact"/>
              <w:rPr>
                <w:sz w:val="20"/>
                <w:szCs w:val="20"/>
                <w:color w:val="auto"/>
              </w:rPr>
            </w:pPr>
            <w:r>
              <w:rPr>
                <w:rFonts w:ascii="Arial" w:cs="Arial" w:eastAsia="Arial" w:hAnsi="Arial"/>
                <w:sz w:val="14"/>
                <w:szCs w:val="14"/>
                <w:color w:val="auto"/>
                <w:w w:val="76"/>
              </w:rPr>
              <w:t>$</w:t>
            </w:r>
          </w:p>
        </w:tc>
        <w:tc>
          <w:tcPr>
            <w:tcW w:w="8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12,586</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Borders>
              <w:top w:val="single" w:sz="8" w:color="auto"/>
            </w:tcBorders>
            <w:gridSpan w:val="2"/>
          </w:tcPr>
          <w:p>
            <w:pPr>
              <w:jc w:val="right"/>
              <w:ind w:right="8"/>
              <w:spacing w:after="0"/>
              <w:rPr>
                <w:sz w:val="20"/>
                <w:szCs w:val="20"/>
                <w:color w:val="auto"/>
              </w:rPr>
            </w:pPr>
            <w:r>
              <w:rPr>
                <w:rFonts w:ascii="Arial" w:cs="Arial" w:eastAsia="Arial" w:hAnsi="Arial"/>
                <w:sz w:val="10"/>
                <w:szCs w:val="10"/>
                <w:color w:val="auto"/>
                <w:w w:val="71"/>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(12,671)</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2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42,158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(4,108)</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14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gridSpan w:val="2"/>
          </w:tcPr>
          <w:p>
            <w:pPr>
              <w:jc w:val="right"/>
              <w:ind w:right="20"/>
              <w:spacing w:after="0" w:line="155" w:lineRule="exact"/>
              <w:rPr>
                <w:sz w:val="20"/>
                <w:szCs w:val="20"/>
                <w:color w:val="auto"/>
              </w:rPr>
            </w:pPr>
            <w:r>
              <w:rPr>
                <w:rFonts w:ascii="Arial" w:cs="Arial" w:eastAsia="Arial" w:hAnsi="Arial"/>
                <w:sz w:val="14"/>
                <w:szCs w:val="14"/>
                <w:color w:val="auto"/>
              </w:rPr>
              <w:t>220</w:t>
            </w:r>
          </w:p>
        </w:tc>
        <w:tc>
          <w:tcPr>
            <w:tcW w:w="120" w:type="dxa"/>
            <w:vAlign w:val="bottom"/>
          </w:tcPr>
          <w:p>
            <w:pPr>
              <w:spacing w:after="0"/>
              <w:rPr>
                <w:sz w:val="13"/>
                <w:szCs w:val="13"/>
                <w:color w:val="auto"/>
              </w:rPr>
            </w:pPr>
          </w:p>
        </w:tc>
        <w:tc>
          <w:tcPr>
            <w:tcW w:w="140" w:type="dxa"/>
            <w:vAlign w:val="bottom"/>
            <w:gridSpan w:val="2"/>
          </w:tcPr>
          <w:p>
            <w:pPr>
              <w:spacing w:after="0"/>
              <w:rPr>
                <w:sz w:val="13"/>
                <w:szCs w:val="13"/>
                <w:color w:val="auto"/>
              </w:rPr>
            </w:pPr>
          </w:p>
        </w:tc>
        <w:tc>
          <w:tcPr>
            <w:tcW w:w="200" w:type="dxa"/>
            <w:vAlign w:val="bottom"/>
            <w:tcBorders>
              <w:top w:val="single" w:sz="8" w:color="auto"/>
            </w:tcBorders>
          </w:tcPr>
          <w:p>
            <w:pPr>
              <w:jc w:val="right"/>
              <w:ind w:right="89"/>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38,185</w:t>
            </w:r>
          </w:p>
        </w:tc>
        <w:tc>
          <w:tcPr>
            <w:tcW w:w="80" w:type="dxa"/>
            <w:vAlign w:val="bottom"/>
          </w:tcPr>
          <w:p>
            <w:pPr>
              <w:spacing w:after="0"/>
              <w:rPr>
                <w:sz w:val="13"/>
                <w:szCs w:val="13"/>
                <w:color w:val="auto"/>
              </w:rPr>
            </w:pPr>
          </w:p>
        </w:tc>
      </w:tr>
      <w:tr>
        <w:trPr>
          <w:trHeight w:val="20"/>
        </w:trPr>
        <w:tc>
          <w:tcPr>
            <w:tcW w:w="33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5"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u w:val="single" w:color="auto"/>
          <w:color w:val="auto"/>
        </w:rPr>
        <w:t>SHARES OF COMMON STOCK</w:t>
      </w:r>
    </w:p>
    <w:p>
      <w:pPr>
        <w:spacing w:after="0" w:line="27" w:lineRule="exact"/>
        <w:rPr>
          <w:sz w:val="20"/>
          <w:szCs w:val="20"/>
          <w:color w:val="auto"/>
        </w:rPr>
      </w:pPr>
    </w:p>
    <w:p>
      <w:pPr>
        <w:jc w:val="center"/>
        <w:ind w:right="100"/>
        <w:spacing w:after="0"/>
        <w:rPr>
          <w:sz w:val="20"/>
          <w:szCs w:val="20"/>
          <w:color w:val="auto"/>
        </w:rPr>
      </w:pPr>
      <w:r>
        <w:rPr>
          <w:rFonts w:ascii="Arial" w:cs="Arial" w:eastAsia="Arial" w:hAnsi="Arial"/>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371"/>
        </w:trPr>
        <w:tc>
          <w:tcPr>
            <w:tcW w:w="6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Shares</w:t>
            </w:r>
          </w:p>
        </w:tc>
      </w:tr>
      <w:tr>
        <w:trPr>
          <w:trHeight w:val="234"/>
        </w:trPr>
        <w:tc>
          <w:tcPr>
            <w:tcW w:w="6720" w:type="dxa"/>
            <w:vAlign w:val="bottom"/>
          </w:tcPr>
          <w:p>
            <w:pPr>
              <w:spacing w:after="0"/>
              <w:rPr>
                <w:sz w:val="20"/>
                <w:szCs w:val="20"/>
                <w:color w:val="auto"/>
              </w:rPr>
            </w:pPr>
          </w:p>
        </w:tc>
        <w:tc>
          <w:tcPr>
            <w:tcW w:w="920" w:type="dxa"/>
            <w:vAlign w:val="bottom"/>
          </w:tcPr>
          <w:p>
            <w:pPr>
              <w:ind w:left="420"/>
              <w:spacing w:after="0"/>
              <w:rPr>
                <w:sz w:val="20"/>
                <w:szCs w:val="20"/>
                <w:color w:val="auto"/>
              </w:rPr>
            </w:pPr>
            <w:r>
              <w:rPr>
                <w:rFonts w:ascii="Arial" w:cs="Arial" w:eastAsia="Arial" w:hAnsi="Arial"/>
                <w:sz w:val="18"/>
                <w:szCs w:val="18"/>
                <w:b w:val="1"/>
                <w:bCs w:val="1"/>
                <w:color w:val="auto"/>
                <w:w w:val="84"/>
              </w:rPr>
              <w:t>Issued</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In Treasury</w:t>
            </w:r>
          </w:p>
        </w:tc>
        <w:tc>
          <w:tcPr>
            <w:tcW w:w="14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Outstanding</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tcBorders>
              <w:top w:val="single" w:sz="8" w:color="CFF0FC"/>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40" w:type="dxa"/>
            <w:vAlign w:val="bottom"/>
            <w:tcBorders>
              <w:top w:val="single" w:sz="8" w:color="CFF0FC"/>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1,256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Acquisition of Cameron International Corporation</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138</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sold to optionees, less shares exchanged</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Vesting of restricted stock</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r>
      <w:tr>
        <w:trPr>
          <w:trHeight w:val="229"/>
        </w:trPr>
        <w:tc>
          <w:tcPr>
            <w:tcW w:w="764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Shares issued under employee stock purchase plan</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r>
      <w:tr>
        <w:trPr>
          <w:trHeight w:val="229"/>
        </w:trPr>
        <w:tc>
          <w:tcPr>
            <w:tcW w:w="7640" w:type="dxa"/>
            <w:vAlign w:val="bottom"/>
            <w:gridSpan w:val="2"/>
          </w:tcPr>
          <w:p>
            <w:pPr>
              <w:spacing w:after="0"/>
              <w:rPr>
                <w:sz w:val="20"/>
                <w:szCs w:val="20"/>
                <w:color w:val="auto"/>
              </w:rPr>
            </w:pPr>
            <w:r>
              <w:rPr>
                <w:rFonts w:ascii="Arial" w:cs="Arial" w:eastAsia="Arial" w:hAnsi="Arial"/>
                <w:sz w:val="18"/>
                <w:szCs w:val="18"/>
                <w:color w:val="auto"/>
              </w:rPr>
              <w:t>Stock repurchase program</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8"/>
                <w:szCs w:val="18"/>
                <w:color w:val="auto"/>
              </w:rPr>
              <w:t>(7)</w:t>
            </w: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7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June 30, 2016</w:t>
            </w:r>
          </w:p>
        </w:tc>
        <w:tc>
          <w:tcPr>
            <w:tcW w:w="920" w:type="dxa"/>
            <w:vAlign w:val="bottom"/>
            <w:tcBorders>
              <w:top w:val="single" w:sz="8" w:color="auto"/>
              <w:bottom w:val="single" w:sz="8" w:color="auto"/>
            </w:tcBorders>
            <w:shd w:val="clear" w:color="auto" w:fill="CFF0FC"/>
          </w:tcPr>
          <w:p>
            <w:pPr>
              <w:spacing w:after="0"/>
              <w:rPr>
                <w:sz w:val="19"/>
                <w:szCs w:val="19"/>
                <w:color w:val="auto"/>
              </w:rPr>
            </w:pPr>
          </w:p>
        </w:tc>
        <w:tc>
          <w:tcPr>
            <w:tcW w:w="4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1,434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13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387"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520"/>
          </w:cols>
          <w:pgMar w:left="240" w:top="121" w:right="139" w:bottom="1440" w:gutter="0" w:footer="0" w:header="0"/>
        </w:sectPr>
      </w:pPr>
    </w:p>
    <w:bookmarkStart w:id="7" w:name="page8"/>
    <w:bookmarkEnd w:id="7"/>
    <w:p>
      <w:pPr>
        <w:ind w:left="3640"/>
        <w:spacing w:after="0"/>
        <w:rPr>
          <w:sz w:val="20"/>
          <w:szCs w:val="20"/>
          <w:color w:val="auto"/>
        </w:rPr>
      </w:pPr>
      <w:r>
        <w:rPr>
          <w:rFonts w:ascii="Arial" w:cs="Arial" w:eastAsia="Arial" w:hAnsi="Arial"/>
          <w:sz w:val="18"/>
          <w:szCs w:val="18"/>
          <w:b w:val="1"/>
          <w:bCs w:val="1"/>
          <w:u w:val="single" w:color="auto"/>
          <w:color w:val="auto"/>
        </w:rPr>
        <w:t>SCHLUMBERGER LIMITED AND SUBSIDIARIES</w:t>
      </w:r>
    </w:p>
    <w:p>
      <w:pPr>
        <w:spacing w:after="0" w:line="117" w:lineRule="exact"/>
        <w:rPr>
          <w:sz w:val="20"/>
          <w:szCs w:val="20"/>
          <w:color w:val="auto"/>
        </w:rPr>
      </w:pPr>
    </w:p>
    <w:p>
      <w:pPr>
        <w:ind w:left="3360"/>
        <w:spacing w:after="0"/>
        <w:rPr>
          <w:sz w:val="20"/>
          <w:szCs w:val="20"/>
          <w:color w:val="auto"/>
        </w:rPr>
      </w:pPr>
      <w:r>
        <w:rPr>
          <w:rFonts w:ascii="Arial" w:cs="Arial" w:eastAsia="Arial" w:hAnsi="Arial"/>
          <w:sz w:val="18"/>
          <w:szCs w:val="18"/>
          <w:b w:val="1"/>
          <w:bCs w:val="1"/>
          <w:u w:val="single" w:color="auto"/>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320" w:hanging="312"/>
        <w:spacing w:after="0"/>
        <w:tabs>
          <w:tab w:leader="none" w:pos="32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Basis of Presentation</w:t>
      </w:r>
    </w:p>
    <w:p>
      <w:pPr>
        <w:spacing w:after="0" w:line="12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The accompanying unaudited consolidated financial statements of Schlumberger Limited and its subsidiaries (Schlumberger) have been prepared in accordance with generally accepted accounting principles in the United States of America for interim financial information and with the instructions to Form 10-Q and Article 10 of Regulation S-X. Accordingly, they do not include all of the information and footnotes required by generally accepted accounting principles for complete financial statements. In the opinion of Schlumberger management, all adjustments considered necessary for a fair statement have been included in the accompanying unaudited financial statements. All intercompany transactions and balances have been eliminated in consolidation. Operating results for the six-month period ended June 30, 2016 are not necessarily indicative of the results that may be expected for the full year ending December 31, 2016. The December 31, 2015 balance sheet information has been derived from the Schlumberger 2015 audited financial statements. For further information, refer to the </w:t>
      </w:r>
      <w:r>
        <w:rPr>
          <w:rFonts w:ascii="Arial" w:cs="Arial" w:eastAsia="Arial" w:hAnsi="Arial"/>
          <w:sz w:val="17"/>
          <w:szCs w:val="17"/>
          <w:i w:val="1"/>
          <w:iCs w:val="1"/>
          <w:color w:val="auto"/>
        </w:rPr>
        <w:t>Consolidated Financial Statements</w:t>
      </w:r>
      <w:r>
        <w:rPr>
          <w:rFonts w:ascii="Arial" w:cs="Arial" w:eastAsia="Arial" w:hAnsi="Arial"/>
          <w:sz w:val="17"/>
          <w:szCs w:val="17"/>
          <w:color w:val="auto"/>
        </w:rPr>
        <w:t xml:space="preserve"> and notes thereto included in the Schlumberger Annual Report on Form 10-K for the year ended December 31, 2015, filed with the Securities and Exchange Commission on January 27, 2016.</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Accounting Pronouncements</w:t>
      </w:r>
    </w:p>
    <w:p>
      <w:pPr>
        <w:spacing w:after="0" w:line="11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In May 2014, the Financial Accounting Standards Board (FASB) issued Accounting Standards Update (ASU) 2014-09, </w:t>
      </w:r>
      <w:r>
        <w:rPr>
          <w:rFonts w:ascii="Arial" w:cs="Arial" w:eastAsia="Arial" w:hAnsi="Arial"/>
          <w:sz w:val="16"/>
          <w:szCs w:val="16"/>
          <w:i w:val="1"/>
          <w:iCs w:val="1"/>
          <w:color w:val="auto"/>
        </w:rPr>
        <w:t>Revenue from Contracts with</w:t>
      </w:r>
      <w:r>
        <w:rPr>
          <w:rFonts w:ascii="Arial" w:cs="Arial" w:eastAsia="Arial" w:hAnsi="Arial"/>
          <w:sz w:val="16"/>
          <w:szCs w:val="16"/>
          <w:color w:val="auto"/>
        </w:rPr>
        <w:t xml:space="preserve"> </w:t>
      </w:r>
      <w:r>
        <w:rPr>
          <w:rFonts w:ascii="Arial" w:cs="Arial" w:eastAsia="Arial" w:hAnsi="Arial"/>
          <w:sz w:val="16"/>
          <w:szCs w:val="16"/>
          <w:i w:val="1"/>
          <w:iCs w:val="1"/>
          <w:color w:val="auto"/>
        </w:rPr>
        <w:t>Customers</w:t>
      </w:r>
      <w:r>
        <w:rPr>
          <w:rFonts w:ascii="Arial" w:cs="Arial" w:eastAsia="Arial" w:hAnsi="Arial"/>
          <w:sz w:val="16"/>
          <w:szCs w:val="16"/>
          <w:color w:val="auto"/>
        </w:rPr>
        <w:t>. This ASU amends the existing accounting standards for revenue recognition and is based on the principle that revenue should be recognized to</w:t>
      </w:r>
      <w:r>
        <w:rPr>
          <w:rFonts w:ascii="Arial" w:cs="Arial" w:eastAsia="Arial" w:hAnsi="Arial"/>
          <w:sz w:val="16"/>
          <w:szCs w:val="16"/>
          <w:i w:val="1"/>
          <w:iCs w:val="1"/>
          <w:color w:val="auto"/>
        </w:rPr>
        <w:t xml:space="preserve"> </w:t>
      </w:r>
      <w:r>
        <w:rPr>
          <w:rFonts w:ascii="Arial" w:cs="Arial" w:eastAsia="Arial" w:hAnsi="Arial"/>
          <w:sz w:val="16"/>
          <w:szCs w:val="16"/>
          <w:color w:val="auto"/>
        </w:rPr>
        <w:t>depict the transfer of goods or services to a customer at an amount that reflects the consideration a company expects to receive in exchange for those goods or services. Schlumberger is required to adopt this ASU on January 1, 2018, with early adoption permitted on January 1, 2017. Excluding any impact associated with the recently completed acquisition of Cameron International Corporation (Cameron), Schlumberger does not expect the adoption of this ASU to have a material impact on its consolidated financial statements. Schlumberger is evaluating the impact of this ASU on the recently acquired Cameron business.</w:t>
      </w:r>
    </w:p>
    <w:p>
      <w:pPr>
        <w:spacing w:after="0" w:line="16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November 2015, the FASB issued ASU 2015-17</w:t>
      </w:r>
      <w:r>
        <w:rPr>
          <w:rFonts w:ascii="Arial" w:cs="Arial" w:eastAsia="Arial" w:hAnsi="Arial"/>
          <w:sz w:val="18"/>
          <w:szCs w:val="18"/>
          <w:i w:val="1"/>
          <w:iCs w:val="1"/>
          <w:color w:val="auto"/>
        </w:rPr>
        <w:t>, Balance Sheet Classification of Deferred Taxes</w:t>
      </w:r>
      <w:r>
        <w:rPr>
          <w:rFonts w:ascii="Arial" w:cs="Arial" w:eastAsia="Arial" w:hAnsi="Arial"/>
          <w:sz w:val="18"/>
          <w:szCs w:val="18"/>
          <w:color w:val="auto"/>
        </w:rPr>
        <w:t>, which amends existing guidance on income taxes to require the classification of all deferred tax assets and liabilities as non-current on the balance sheet. Schlumberger is required to adopt this ASU no later than January 1, 2017, with early adoption permitted, and the guidance may be applied either prospectively or retrospectively. Schlumberger does not expect the adoption of this ASU to have a material impact on its consolidated financial statements.</w:t>
      </w:r>
    </w:p>
    <w:p>
      <w:pPr>
        <w:spacing w:after="0" w:line="186"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w:t>
      </w:r>
      <w:r>
        <w:rPr>
          <w:rFonts w:ascii="Arial" w:cs="Arial" w:eastAsia="Arial" w:hAnsi="Arial"/>
          <w:sz w:val="18"/>
          <w:szCs w:val="18"/>
          <w:color w:val="auto"/>
        </w:rPr>
        <w:t>. This ASU requires lessees to recognize a right of use asset and lease liability on the balance sheet for all leases, with the exception of short-term leases. Schlumberger will adopt this ASU on January 1, 2019 and is evaluating the impact that the adoption of this ASU will have on its consolidated financial statements.</w:t>
      </w:r>
    </w:p>
    <w:p>
      <w:pPr>
        <w:spacing w:after="0" w:line="287" w:lineRule="exact"/>
        <w:rPr>
          <w:sz w:val="20"/>
          <w:szCs w:val="20"/>
          <w:color w:val="auto"/>
        </w:rPr>
      </w:pPr>
    </w:p>
    <w:p>
      <w:pPr>
        <w:ind w:left="280" w:hanging="272"/>
        <w:spacing w:after="0"/>
        <w:tabs>
          <w:tab w:leader="none" w:pos="2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Charges and Credits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second quarter of 2016:</w:t>
      </w:r>
    </w:p>
    <w:p>
      <w:pPr>
        <w:spacing w:after="0" w:line="333" w:lineRule="exact"/>
        <w:rPr>
          <w:sz w:val="20"/>
          <w:szCs w:val="20"/>
          <w:color w:val="auto"/>
        </w:rPr>
      </w:pPr>
    </w:p>
    <w:p>
      <w:pPr>
        <w:jc w:val="both"/>
        <w:ind w:left="760" w:hanging="374"/>
        <w:spacing w:after="0" w:line="286" w:lineRule="auto"/>
        <w:tabs>
          <w:tab w:leader="none" w:pos="760" w:val="left"/>
        </w:tabs>
        <w:numPr>
          <w:ilvl w:val="0"/>
          <w:numId w:val="4"/>
        </w:numPr>
        <w:rPr>
          <w:rFonts w:ascii="Arial" w:cs="Arial" w:eastAsia="Arial" w:hAnsi="Arial"/>
          <w:sz w:val="17"/>
          <w:szCs w:val="17"/>
          <w:color w:val="auto"/>
        </w:rPr>
      </w:pPr>
      <w:r>
        <w:rPr>
          <w:rFonts w:ascii="Arial" w:cs="Arial" w:eastAsia="Arial" w:hAnsi="Arial"/>
          <w:sz w:val="17"/>
          <w:szCs w:val="17"/>
          <w:color w:val="auto"/>
        </w:rPr>
        <w:t>As a result of the persistent unfavorable oil and gas industry market conditions that continued to deteriorate in the first half of 2016, and the related impact on the first half operating results and expected customer activity levels, Schlumberger determined that the carrying values of certain assets were no longer recoverable and also took certain decisions that resulted in the following impairment and other charges:</w:t>
      </w:r>
    </w:p>
    <w:p>
      <w:pPr>
        <w:spacing w:after="0" w:line="164" w:lineRule="exact"/>
        <w:rPr>
          <w:rFonts w:ascii="Arial" w:cs="Arial" w:eastAsia="Arial" w:hAnsi="Arial"/>
          <w:sz w:val="17"/>
          <w:szCs w:val="17"/>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$646 million of severance costs associated with further headcount reductions.</w:t>
      </w:r>
    </w:p>
    <w:p>
      <w:pPr>
        <w:spacing w:after="0" w:line="23"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$209 million impairment of pressure pumping equipment in North America.</w:t>
      </w:r>
    </w:p>
    <w:p>
      <w:pPr>
        <w:spacing w:after="0" w:line="8"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$165 million impairment of facilities in North America.</w:t>
      </w:r>
    </w:p>
    <w:p>
      <w:pPr>
        <w:spacing w:after="0" w:line="8"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$684 million of other fixed asset impairments primarily relating to other underutilized equipment.</w:t>
      </w:r>
    </w:p>
    <w:p>
      <w:pPr>
        <w:spacing w:after="0" w:line="8"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$616 million write-down of the carrying value of certain inventory to its net realizable value.</w:t>
      </w:r>
    </w:p>
    <w:p>
      <w:pPr>
        <w:spacing w:after="0" w:line="8"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$198 million impairment of certain multiclient seismic data, largely related to the US Gulf of Mexico.</w:t>
      </w:r>
    </w:p>
    <w:p>
      <w:pPr>
        <w:spacing w:after="0" w:line="8" w:lineRule="exact"/>
        <w:rPr>
          <w:rFonts w:ascii="Arial" w:cs="Arial" w:eastAsia="Arial" w:hAnsi="Arial"/>
          <w:sz w:val="18"/>
          <w:szCs w:val="18"/>
          <w:color w:val="auto"/>
        </w:rPr>
      </w:pPr>
    </w:p>
    <w:p>
      <w:pPr>
        <w:ind w:left="1240" w:hanging="382"/>
        <w:spacing w:after="0"/>
        <w:tabs>
          <w:tab w:leader="none" w:pos="1240" w:val="left"/>
        </w:tabs>
        <w:numPr>
          <w:ilvl w:val="1"/>
          <w:numId w:val="4"/>
        </w:numPr>
        <w:rPr>
          <w:rFonts w:ascii="Arial" w:cs="Arial" w:eastAsia="Arial" w:hAnsi="Arial"/>
          <w:sz w:val="18"/>
          <w:szCs w:val="18"/>
          <w:color w:val="auto"/>
        </w:rPr>
      </w:pPr>
      <w:r>
        <w:rPr>
          <w:rFonts w:ascii="Arial" w:cs="Arial" w:eastAsia="Arial" w:hAnsi="Arial"/>
          <w:sz w:val="18"/>
          <w:szCs w:val="18"/>
          <w:color w:val="auto"/>
        </w:rPr>
        <w:t>$55 million of other costs, primarily relating to facility closure costs.</w:t>
      </w:r>
    </w:p>
    <w:p>
      <w:pPr>
        <w:spacing w:after="0" w:line="210" w:lineRule="exact"/>
        <w:rPr>
          <w:sz w:val="20"/>
          <w:szCs w:val="20"/>
          <w:color w:val="auto"/>
        </w:rPr>
      </w:pPr>
    </w:p>
    <w:p>
      <w:pPr>
        <w:jc w:val="both"/>
        <w:ind w:left="760"/>
        <w:spacing w:after="0" w:line="259" w:lineRule="auto"/>
        <w:rPr>
          <w:sz w:val="20"/>
          <w:szCs w:val="20"/>
          <w:color w:val="auto"/>
        </w:rPr>
      </w:pPr>
      <w:r>
        <w:rPr>
          <w:rFonts w:ascii="Arial" w:cs="Arial" w:eastAsia="Arial" w:hAnsi="Arial"/>
          <w:sz w:val="18"/>
          <w:szCs w:val="18"/>
          <w:color w:val="auto"/>
        </w:rPr>
        <w:t xml:space="preserve">The fair value of the impaired fixed assets and multiclient seismic data was estimated based on the projected present value of future cash flows that these assets are expected to generate. Such estimates included unobservable inputs that required significant judgments. Additional charges may be required in future periods should industry conditions worsen. The above items are classified in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w:t>
      </w:r>
      <w:r>
        <w:rPr>
          <w:rFonts w:ascii="Arial" w:cs="Arial" w:eastAsia="Arial" w:hAnsi="Arial"/>
          <w:sz w:val="18"/>
          <w:szCs w:val="18"/>
          <w:color w:val="auto"/>
        </w:rPr>
        <w:t xml:space="preserve"> </w:t>
      </w:r>
      <w:r>
        <w:rPr>
          <w:rFonts w:ascii="Arial" w:cs="Arial" w:eastAsia="Arial" w:hAnsi="Arial"/>
          <w:sz w:val="18"/>
          <w:szCs w:val="18"/>
          <w:i w:val="1"/>
          <w:iCs w:val="1"/>
          <w:color w:val="auto"/>
        </w:rPr>
        <w:t>of Income</w:t>
      </w:r>
      <w:r>
        <w:rPr>
          <w:rFonts w:ascii="Arial" w:cs="Arial" w:eastAsia="Arial" w:hAnsi="Arial"/>
          <w:sz w:val="18"/>
          <w:szCs w:val="18"/>
          <w:color w:val="auto"/>
        </w:rPr>
        <w:t>.</w:t>
      </w: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jc w:val="both"/>
        <w:ind w:left="760" w:right="20" w:hanging="374"/>
        <w:spacing w:after="0" w:line="275" w:lineRule="auto"/>
        <w:tabs>
          <w:tab w:leader="none" w:pos="76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In connection with Schlumberger’s acquisition of Cameron (see Note 4 – </w:t>
      </w:r>
      <w:r>
        <w:rPr>
          <w:rFonts w:ascii="Arial" w:cs="Arial" w:eastAsia="Arial" w:hAnsi="Arial"/>
          <w:sz w:val="17"/>
          <w:szCs w:val="17"/>
          <w:i w:val="1"/>
          <w:iCs w:val="1"/>
          <w:color w:val="auto"/>
        </w:rPr>
        <w:t>Acquisition of Cameron</w:t>
      </w:r>
      <w:r>
        <w:rPr>
          <w:rFonts w:ascii="Arial" w:cs="Arial" w:eastAsia="Arial" w:hAnsi="Arial"/>
          <w:sz w:val="17"/>
          <w:szCs w:val="17"/>
          <w:color w:val="auto"/>
        </w:rPr>
        <w:t xml:space="preserve">), Schlumberger recorded $335 million of charges consisting of the following: $150 million relating to the amortization of purchase accounting adjustments associated with the write-up of acquired inventory to its estimated fair value; $47 million relating to employee benefits for change-in-control arrangements and retention bonuses; $45 million of transaction costs, including advisory and legal fees; $40 million of facility closure costs, and $53 million of other merger and integration-related costs. These amounts are classified in </w:t>
      </w:r>
      <w:r>
        <w:rPr>
          <w:rFonts w:ascii="Arial" w:cs="Arial" w:eastAsia="Arial" w:hAnsi="Arial"/>
          <w:sz w:val="17"/>
          <w:szCs w:val="17"/>
          <w:i w:val="1"/>
          <w:iCs w:val="1"/>
          <w:color w:val="auto"/>
        </w:rPr>
        <w:t>Merger &amp; integration</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 Income</w:t>
      </w:r>
      <w:r>
        <w:rPr>
          <w:rFonts w:ascii="Arial" w:cs="Arial" w:eastAsia="Arial" w:hAnsi="Arial"/>
          <w:sz w:val="17"/>
          <w:szCs w:val="17"/>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these charges: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North America pressure pumping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Facilities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Other 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Multiclient seismic data impairment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restructuring charges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Amortization of inventory fair value adjustment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Merger-related employee benefits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Facility closure costs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merger and integration-related</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2,908</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Schlumberger recorded the following charges and credits during the first six months of 2015:</w:t>
      </w:r>
    </w:p>
    <w:p>
      <w:pPr>
        <w:spacing w:after="0" w:line="117" w:lineRule="exact"/>
        <w:rPr>
          <w:sz w:val="20"/>
          <w:szCs w:val="20"/>
          <w:color w:val="auto"/>
        </w:rPr>
      </w:pPr>
    </w:p>
    <w:p>
      <w:pPr>
        <w:jc w:val="both"/>
        <w:ind w:left="760" w:right="20" w:hanging="374"/>
        <w:spacing w:after="0" w:line="263" w:lineRule="auto"/>
        <w:tabs>
          <w:tab w:leader="none" w:pos="760" w:val="left"/>
        </w:tabs>
        <w:numPr>
          <w:ilvl w:val="1"/>
          <w:numId w:val="6"/>
        </w:numPr>
        <w:rPr>
          <w:rFonts w:ascii="Arial" w:cs="Arial" w:eastAsia="Arial" w:hAnsi="Arial"/>
          <w:sz w:val="18"/>
          <w:szCs w:val="18"/>
          <w:color w:val="auto"/>
        </w:rPr>
      </w:pPr>
      <w:r>
        <w:rPr>
          <w:rFonts w:ascii="Arial" w:cs="Arial" w:eastAsia="Arial" w:hAnsi="Arial"/>
          <w:sz w:val="18"/>
          <w:szCs w:val="18"/>
          <w:color w:val="auto"/>
        </w:rPr>
        <w:t>As a result of the severe fall in activity in North America, combined with the impact of lower international activity due to customer budget cuts driven by lower oil prices, Schlumberger decided to reduce its headcount during the first quarter of 2015. Schlumberger recorded a $390 million charge associated with this headcount reduction as well as an incentivized leave of absence program.</w:t>
      </w:r>
    </w:p>
    <w:p>
      <w:pPr>
        <w:spacing w:after="0" w:line="223" w:lineRule="exact"/>
        <w:rPr>
          <w:rFonts w:ascii="Arial" w:cs="Arial" w:eastAsia="Arial" w:hAnsi="Arial"/>
          <w:sz w:val="18"/>
          <w:szCs w:val="18"/>
          <w:color w:val="auto"/>
        </w:rPr>
      </w:pPr>
    </w:p>
    <w:p>
      <w:pPr>
        <w:jc w:val="both"/>
        <w:ind w:left="760" w:right="20" w:hanging="388"/>
        <w:spacing w:after="0" w:line="256" w:lineRule="auto"/>
        <w:tabs>
          <w:tab w:leader="none" w:pos="7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February 2015, the Venezuelan government replaced the SICAD II exchange rate with a new foreign exchange market system known as SIMADI. The SIMADI exchange rate was approximately 192 Venezuelan Bolivares fuertes to the US dollar as of March 31, 2015. As a result, Schlumberger recorded a $49 million devaluation charge during the first quarter of 2015, reflecting the adoption of the SIMADI exchange rate. This change resulted in a reduction in the US dollar reported amount of local currency denominated revenues, expenses and, consequently, income before taxes and net income in Venezuela.</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is a summary of these charges, all of which were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60" w:type="dxa"/>
            <w:vAlign w:val="bottom"/>
          </w:tcPr>
          <w:p>
            <w:pPr>
              <w:spacing w:after="0"/>
              <w:rPr>
                <w:sz w:val="15"/>
                <w:szCs w:val="15"/>
                <w:color w:val="auto"/>
              </w:rPr>
            </w:pPr>
          </w:p>
        </w:tc>
        <w:tc>
          <w:tcPr>
            <w:tcW w:w="2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26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Pretax</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24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24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60" w:type="dxa"/>
            <w:vAlign w:val="bottom"/>
            <w:tcBorders>
              <w:bottom w:val="single" w:sz="8" w:color="CFF0FC"/>
            </w:tcBorders>
            <w:shd w:val="clear" w:color="auto" w:fill="CFF0FC"/>
          </w:tcPr>
          <w:p>
            <w:pPr>
              <w:spacing w:after="0"/>
              <w:rPr>
                <w:sz w:val="19"/>
                <w:szCs w:val="19"/>
                <w:color w:val="auto"/>
              </w:rPr>
            </w:pPr>
          </w:p>
        </w:tc>
        <w:tc>
          <w:tcPr>
            <w:tcW w:w="24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2460" w:type="dxa"/>
            <w:vAlign w:val="bottom"/>
            <w:vMerge w:val="restart"/>
          </w:tcPr>
          <w:p>
            <w:pPr>
              <w:jc w:val="right"/>
              <w:ind w:right="870"/>
              <w:spacing w:after="0"/>
              <w:rPr>
                <w:sz w:val="20"/>
                <w:szCs w:val="20"/>
                <w:color w:val="auto"/>
              </w:rPr>
            </w:pPr>
            <w:r>
              <w:rPr>
                <w:rFonts w:ascii="Arial" w:cs="Arial" w:eastAsia="Arial" w:hAnsi="Arial"/>
                <w:sz w:val="18"/>
                <w:szCs w:val="18"/>
                <w:color w:val="auto"/>
              </w:rPr>
              <w:t>9</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6"/>
        </w:trPr>
        <w:tc>
          <w:tcPr>
            <w:tcW w:w="4260" w:type="dxa"/>
            <w:vAlign w:val="bottom"/>
          </w:tcPr>
          <w:p>
            <w:pPr>
              <w:spacing w:after="0"/>
              <w:rPr>
                <w:sz w:val="24"/>
                <w:szCs w:val="24"/>
                <w:color w:val="auto"/>
              </w:rPr>
            </w:pPr>
          </w:p>
        </w:tc>
        <w:tc>
          <w:tcPr>
            <w:tcW w:w="246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60" w:type="dxa"/>
            <w:vAlign w:val="bottom"/>
            <w:tcBorders>
              <w:bottom w:val="single" w:sz="8" w:color="9A9A9A"/>
            </w:tcBorders>
          </w:tcPr>
          <w:p>
            <w:pPr>
              <w:spacing w:after="0"/>
              <w:rPr>
                <w:sz w:val="9"/>
                <w:szCs w:val="9"/>
                <w:color w:val="auto"/>
              </w:rPr>
            </w:pPr>
          </w:p>
        </w:tc>
        <w:tc>
          <w:tcPr>
            <w:tcW w:w="24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5" w:right="219" w:bottom="1440" w:gutter="0" w:footer="0" w:header="0"/>
        </w:sectPr>
      </w:pPr>
    </w:p>
    <w:bookmarkStart w:id="9" w:name="page10"/>
    <w:bookmarkEnd w:id="9"/>
    <w:p>
      <w:pPr>
        <w:ind w:left="280" w:hanging="272"/>
        <w:spacing w:after="0"/>
        <w:tabs>
          <w:tab w:leader="none" w:pos="2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reconciliation from basic earnings (loss) per share of Schlumberger to diluted earnings (loss) per share of Schlumberger:</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880" w:type="dxa"/>
            <w:vAlign w:val="bottom"/>
            <w:gridSpan w:val="7"/>
          </w:tcPr>
          <w:p>
            <w:pPr>
              <w:jc w:val="right"/>
              <w:ind w:right="12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0" w:type="dxa"/>
            <w:vAlign w:val="bottom"/>
          </w:tcPr>
          <w:p>
            <w:pPr>
              <w:spacing w:after="0"/>
              <w:rPr>
                <w:sz w:val="1"/>
                <w:szCs w:val="1"/>
                <w:color w:val="auto"/>
              </w:rPr>
            </w:pPr>
          </w:p>
        </w:tc>
      </w:tr>
      <w:tr>
        <w:trPr>
          <w:trHeight w:val="427"/>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2015</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3"/>
              <w:spacing w:after="0"/>
              <w:rPr>
                <w:sz w:val="20"/>
                <w:szCs w:val="20"/>
                <w:color w:val="auto"/>
              </w:rPr>
            </w:pPr>
            <w:r>
              <w:rPr>
                <w:rFonts w:ascii="Arial" w:cs="Arial" w:eastAsia="Arial" w:hAnsi="Arial"/>
                <w:sz w:val="16"/>
                <w:szCs w:val="16"/>
                <w:color w:val="auto"/>
                <w:w w:val="90"/>
              </w:rPr>
              <w:t>Schlumberger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Earnings per</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Outstanding</w:t>
            </w:r>
          </w:p>
        </w:tc>
        <w:tc>
          <w:tcPr>
            <w:tcW w:w="2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1"/>
              </w:rPr>
              <w:t>Loss per Share</w:t>
            </w:r>
          </w:p>
        </w:tc>
        <w:tc>
          <w:tcPr>
            <w:tcW w:w="100" w:type="dxa"/>
            <w:vAlign w:val="bottom"/>
          </w:tcPr>
          <w:p>
            <w:pPr>
              <w:spacing w:after="0"/>
              <w:rPr>
                <w:sz w:val="18"/>
                <w:szCs w:val="18"/>
                <w:color w:val="auto"/>
              </w:rPr>
            </w:pPr>
          </w:p>
        </w:tc>
        <w:tc>
          <w:tcPr>
            <w:tcW w:w="1060" w:type="dxa"/>
            <w:vAlign w:val="bottom"/>
          </w:tcPr>
          <w:p>
            <w:pPr>
              <w:jc w:val="center"/>
              <w:ind w:right="13"/>
              <w:spacing w:after="0"/>
              <w:rPr>
                <w:sz w:val="20"/>
                <w:szCs w:val="20"/>
                <w:color w:val="auto"/>
              </w:rPr>
            </w:pPr>
            <w:r>
              <w:rPr>
                <w:rFonts w:ascii="Arial" w:cs="Arial" w:eastAsia="Arial" w:hAnsi="Arial"/>
                <w:sz w:val="16"/>
                <w:szCs w:val="16"/>
                <w:color w:val="auto"/>
                <w:w w:val="92"/>
              </w:rPr>
              <w:t>Net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4"/>
              </w:rPr>
              <w:t>Share</w:t>
            </w:r>
          </w:p>
        </w:tc>
        <w:tc>
          <w:tcPr>
            <w:tcW w:w="0" w:type="dxa"/>
            <w:vAlign w:val="bottom"/>
          </w:tcPr>
          <w:p>
            <w:pPr>
              <w:spacing w:after="0"/>
              <w:rPr>
                <w:sz w:val="1"/>
                <w:szCs w:val="1"/>
                <w:color w:val="auto"/>
              </w:rPr>
            </w:pPr>
          </w:p>
        </w:tc>
      </w:tr>
      <w:tr>
        <w:trPr>
          <w:trHeight w:val="188"/>
        </w:trPr>
        <w:tc>
          <w:tcPr>
            <w:tcW w:w="33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Second Quarter</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60" w:type="dxa"/>
            <w:vAlign w:val="bottom"/>
            <w:tcBorders>
              <w:top w:val="single" w:sz="8" w:color="auto"/>
            </w:tcBorders>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(2,160)</w:t>
            </w:r>
          </w:p>
        </w:tc>
        <w:tc>
          <w:tcPr>
            <w:tcW w:w="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1,389</w:t>
            </w:r>
          </w:p>
        </w:tc>
        <w:tc>
          <w:tcPr>
            <w:tcW w:w="64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1,124</w:t>
            </w:r>
          </w:p>
        </w:tc>
        <w:tc>
          <w:tcPr>
            <w:tcW w:w="2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0.89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1,389</w:t>
            </w:r>
          </w:p>
        </w:tc>
        <w:tc>
          <w:tcPr>
            <w:tcW w:w="640" w:type="dxa"/>
            <w:vAlign w:val="bottom"/>
            <w:gridSpan w:val="2"/>
          </w:tcPr>
          <w:p>
            <w:pPr>
              <w:jc w:val="right"/>
              <w:ind w:right="239"/>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1,124</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1,280</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2"/>
        </w:trPr>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center"/>
              <w:ind w:right="55"/>
              <w:spacing w:after="0"/>
              <w:rPr>
                <w:sz w:val="20"/>
                <w:szCs w:val="20"/>
                <w:color w:val="auto"/>
              </w:rPr>
            </w:pPr>
            <w:r>
              <w:rPr>
                <w:rFonts w:ascii="Arial" w:cs="Arial" w:eastAsia="Arial" w:hAnsi="Arial"/>
                <w:sz w:val="16"/>
                <w:szCs w:val="16"/>
                <w:b w:val="1"/>
                <w:bCs w:val="1"/>
                <w:color w:val="auto"/>
                <w:w w:val="89"/>
              </w:rPr>
              <w:t>2016</w:t>
            </w:r>
          </w:p>
        </w:tc>
        <w:tc>
          <w:tcPr>
            <w:tcW w:w="22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35"/>
              <w:spacing w:after="0"/>
              <w:rPr>
                <w:sz w:val="20"/>
                <w:szCs w:val="20"/>
                <w:color w:val="auto"/>
              </w:rPr>
            </w:pPr>
            <w:r>
              <w:rPr>
                <w:rFonts w:ascii="Arial" w:cs="Arial" w:eastAsia="Arial" w:hAnsi="Arial"/>
                <w:sz w:val="16"/>
                <w:szCs w:val="16"/>
                <w:color w:val="auto"/>
                <w:w w:val="89"/>
              </w:rPr>
              <w:t>2015</w:t>
            </w: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88"/>
              </w:rPr>
              <w:t>Average</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Average</w:t>
            </w: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80" w:type="dxa"/>
            <w:vAlign w:val="bottom"/>
            <w:gridSpan w:val="3"/>
          </w:tcPr>
          <w:p>
            <w:pPr>
              <w:jc w:val="center"/>
              <w:ind w:right="180"/>
              <w:spacing w:after="0"/>
              <w:rPr>
                <w:sz w:val="20"/>
                <w:szCs w:val="20"/>
                <w:color w:val="auto"/>
              </w:rPr>
            </w:pPr>
            <w:r>
              <w:rPr>
                <w:rFonts w:ascii="Arial" w:cs="Arial" w:eastAsia="Arial" w:hAnsi="Arial"/>
                <w:sz w:val="16"/>
                <w:szCs w:val="16"/>
                <w:b w:val="1"/>
                <w:bCs w:val="1"/>
                <w:color w:val="auto"/>
                <w:w w:val="91"/>
              </w:rPr>
              <w:t>Schlumberger</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89"/>
              </w:rPr>
              <w:t>Shares</w:t>
            </w:r>
          </w:p>
        </w:tc>
        <w:tc>
          <w:tcPr>
            <w:tcW w:w="2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33"/>
              <w:spacing w:after="0"/>
              <w:rPr>
                <w:sz w:val="20"/>
                <w:szCs w:val="20"/>
                <w:color w:val="auto"/>
              </w:rPr>
            </w:pPr>
            <w:r>
              <w:rPr>
                <w:rFonts w:ascii="Arial" w:cs="Arial" w:eastAsia="Arial" w:hAnsi="Arial"/>
                <w:sz w:val="16"/>
                <w:szCs w:val="16"/>
                <w:color w:val="auto"/>
                <w:w w:val="90"/>
              </w:rPr>
              <w:t>Schlumberger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82"/>
              </w:rPr>
              <w:t>Shares</w:t>
            </w:r>
          </w:p>
        </w:tc>
        <w:tc>
          <w:tcPr>
            <w:tcW w:w="120" w:type="dxa"/>
            <w:vAlign w:val="bottom"/>
          </w:tcPr>
          <w:p>
            <w:pPr>
              <w:spacing w:after="0"/>
              <w:rPr>
                <w:sz w:val="17"/>
                <w:szCs w:val="17"/>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92"/>
              </w:rPr>
              <w:t>Earnings per</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88"/>
              </w:rPr>
              <w:t>Net Loss</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Outstanding</w:t>
            </w:r>
          </w:p>
        </w:tc>
        <w:tc>
          <w:tcPr>
            <w:tcW w:w="2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91"/>
              </w:rPr>
              <w:t>Loss per Share</w:t>
            </w:r>
          </w:p>
        </w:tc>
        <w:tc>
          <w:tcPr>
            <w:tcW w:w="100" w:type="dxa"/>
            <w:vAlign w:val="bottom"/>
          </w:tcPr>
          <w:p>
            <w:pPr>
              <w:spacing w:after="0"/>
              <w:rPr>
                <w:sz w:val="18"/>
                <w:szCs w:val="18"/>
                <w:color w:val="auto"/>
              </w:rPr>
            </w:pPr>
          </w:p>
        </w:tc>
        <w:tc>
          <w:tcPr>
            <w:tcW w:w="1060" w:type="dxa"/>
            <w:vAlign w:val="bottom"/>
          </w:tcPr>
          <w:p>
            <w:pPr>
              <w:jc w:val="center"/>
              <w:ind w:right="13"/>
              <w:spacing w:after="0"/>
              <w:rPr>
                <w:sz w:val="20"/>
                <w:szCs w:val="20"/>
                <w:color w:val="auto"/>
              </w:rPr>
            </w:pPr>
            <w:r>
              <w:rPr>
                <w:rFonts w:ascii="Arial" w:cs="Arial" w:eastAsia="Arial" w:hAnsi="Arial"/>
                <w:sz w:val="16"/>
                <w:szCs w:val="16"/>
                <w:color w:val="auto"/>
                <w:w w:val="92"/>
              </w:rPr>
              <w:t>Net Income</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6"/>
                <w:szCs w:val="16"/>
                <w:color w:val="auto"/>
                <w:w w:val="90"/>
              </w:rPr>
              <w:t>Outstanding</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6"/>
                <w:szCs w:val="16"/>
                <w:color w:val="auto"/>
                <w:w w:val="84"/>
              </w:rPr>
              <w:t>Share</w:t>
            </w:r>
          </w:p>
        </w:tc>
        <w:tc>
          <w:tcPr>
            <w:tcW w:w="0" w:type="dxa"/>
            <w:vAlign w:val="bottom"/>
          </w:tcPr>
          <w:p>
            <w:pPr>
              <w:spacing w:after="0"/>
              <w:rPr>
                <w:sz w:val="1"/>
                <w:szCs w:val="1"/>
                <w:color w:val="auto"/>
              </w:rPr>
            </w:pPr>
          </w:p>
        </w:tc>
      </w:tr>
      <w:tr>
        <w:trPr>
          <w:trHeight w:val="188"/>
        </w:trPr>
        <w:tc>
          <w:tcPr>
            <w:tcW w:w="3300" w:type="dxa"/>
            <w:vAlign w:val="bottom"/>
            <w:gridSpan w:val="3"/>
          </w:tcPr>
          <w:p>
            <w:pPr>
              <w:spacing w:after="0" w:line="189" w:lineRule="exact"/>
              <w:rPr>
                <w:sz w:val="20"/>
                <w:szCs w:val="20"/>
                <w:color w:val="auto"/>
              </w:rPr>
            </w:pPr>
            <w:r>
              <w:rPr>
                <w:rFonts w:ascii="Arial" w:cs="Arial" w:eastAsia="Arial" w:hAnsi="Arial"/>
                <w:sz w:val="18"/>
                <w:szCs w:val="18"/>
                <w:b w:val="1"/>
                <w:bCs w:val="1"/>
                <w:color w:val="auto"/>
              </w:rPr>
              <w:t>Six Months</w:t>
            </w: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2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8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FF0FC"/>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(1,659)</w:t>
            </w: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1,321</w:t>
            </w:r>
          </w:p>
        </w:tc>
        <w:tc>
          <w:tcPr>
            <w:tcW w:w="640" w:type="dxa"/>
            <w:vAlign w:val="bottom"/>
            <w:gridSpan w:val="2"/>
            <w:shd w:val="clear" w:color="auto" w:fill="CFF0FC"/>
          </w:tcPr>
          <w:p>
            <w:pPr>
              <w:jc w:val="right"/>
              <w:ind w:right="239"/>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(1.26)</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2,099</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1,273</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00" w:type="dxa"/>
            <w:vAlign w:val="bottom"/>
            <w:tcBorders>
              <w:top w:val="single" w:sz="8" w:color="CFF0FC"/>
              <w:bottom w:val="single" w:sz="8" w:color="CFF0FC"/>
            </w:tcBorders>
            <w:gridSpan w:val="3"/>
            <w:vMerge w:val="restart"/>
          </w:tcPr>
          <w:p>
            <w:pPr>
              <w:spacing w:after="0"/>
              <w:rPr>
                <w:sz w:val="20"/>
                <w:szCs w:val="20"/>
                <w:color w:val="auto"/>
              </w:rPr>
            </w:pPr>
            <w:r>
              <w:rPr>
                <w:rFonts w:ascii="Arial" w:cs="Arial" w:eastAsia="Arial" w:hAnsi="Arial"/>
                <w:sz w:val="18"/>
                <w:szCs w:val="18"/>
                <w:color w:val="auto"/>
              </w:rPr>
              <w:t>Assumed exercise of stock options</w:t>
            </w:r>
          </w:p>
        </w:tc>
        <w:tc>
          <w:tcPr>
            <w:tcW w:w="180" w:type="dxa"/>
            <w:vAlign w:val="bottom"/>
            <w:tcBorders>
              <w:top w:val="single" w:sz="8" w:color="CFF0FC"/>
            </w:tcBorders>
          </w:tcPr>
          <w:p>
            <w:pPr>
              <w:spacing w:after="0" w:line="20" w:lineRule="exact"/>
              <w:rPr>
                <w:sz w:val="1"/>
                <w:szCs w:val="1"/>
                <w:color w:val="auto"/>
              </w:rPr>
            </w:pPr>
          </w:p>
        </w:tc>
        <w:tc>
          <w:tcPr>
            <w:tcW w:w="9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bottom w:val="single" w:sz="8" w:color="CFF0FC"/>
            </w:tcBorders>
            <w:vMerge w:val="restart"/>
          </w:tcPr>
          <w:p>
            <w:pPr>
              <w:jc w:val="right"/>
              <w:spacing w:after="0"/>
              <w:rPr>
                <w:sz w:val="20"/>
                <w:szCs w:val="20"/>
                <w:color w:val="auto"/>
              </w:rPr>
            </w:pPr>
            <w:r>
              <w:rPr>
                <w:rFonts w:ascii="Arial" w:cs="Arial" w:eastAsia="Arial" w:hAnsi="Arial"/>
                <w:sz w:val="18"/>
                <w:szCs w:val="18"/>
                <w:color w:val="auto"/>
              </w:rPr>
              <w:t>5</w:t>
            </w:r>
          </w:p>
        </w:tc>
        <w:tc>
          <w:tcPr>
            <w:tcW w:w="24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300" w:type="dxa"/>
            <w:vAlign w:val="bottom"/>
            <w:gridSpan w:val="3"/>
            <w:vMerge w:val="continue"/>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3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Unvested restricted stock</w:t>
            </w:r>
          </w:p>
        </w:tc>
        <w:tc>
          <w:tcPr>
            <w:tcW w:w="1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00" w:type="dxa"/>
            <w:vAlign w:val="bottom"/>
            <w:gridSpan w:val="3"/>
          </w:tcPr>
          <w:p>
            <w:pPr>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ind w:right="24"/>
              <w:spacing w:after="0"/>
              <w:rPr>
                <w:sz w:val="20"/>
                <w:szCs w:val="20"/>
                <w:color w:val="auto"/>
              </w:rPr>
            </w:pPr>
            <w:r>
              <w:rPr>
                <w:rFonts w:ascii="Arial" w:cs="Arial" w:eastAsia="Arial" w:hAnsi="Arial"/>
                <w:sz w:val="15"/>
                <w:szCs w:val="15"/>
                <w:b w:val="1"/>
                <w:bCs w:val="1"/>
                <w:color w:val="auto"/>
                <w:w w:val="71"/>
              </w:rPr>
              <w:t>$</w:t>
            </w:r>
          </w:p>
        </w:tc>
        <w:tc>
          <w:tcPr>
            <w:tcW w:w="960" w:type="dxa"/>
            <w:vAlign w:val="bottom"/>
          </w:tcPr>
          <w:p>
            <w:pPr>
              <w:jc w:val="right"/>
              <w:spacing w:after="0"/>
              <w:rPr>
                <w:sz w:val="20"/>
                <w:szCs w:val="20"/>
                <w:color w:val="auto"/>
              </w:rPr>
            </w:pPr>
            <w:r>
              <w:rPr>
                <w:rFonts w:ascii="Arial" w:cs="Arial" w:eastAsia="Arial" w:hAnsi="Arial"/>
                <w:sz w:val="18"/>
                <w:szCs w:val="18"/>
                <w:b w:val="1"/>
                <w:bCs w:val="1"/>
                <w:color w:val="auto"/>
              </w:rPr>
              <w:t>(1,659)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1,321</w:t>
            </w:r>
          </w:p>
        </w:tc>
        <w:tc>
          <w:tcPr>
            <w:tcW w:w="640" w:type="dxa"/>
            <w:vAlign w:val="bottom"/>
            <w:gridSpan w:val="2"/>
          </w:tcPr>
          <w:p>
            <w:pPr>
              <w:jc w:val="right"/>
              <w:ind w:right="239"/>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(1.26)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2,099</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1,282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number of outstanding options to purchase shares of Schlumberger common stock that were not included in the computation of diluted earnings per share, because to do so would have had an antidilutive effect, was as follows: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78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7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90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2016</w:t>
            </w:r>
          </w:p>
        </w:tc>
        <w:tc>
          <w:tcPr>
            <w:tcW w:w="4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20" w:type="dxa"/>
            <w:vAlign w:val="bottom"/>
          </w:tcPr>
          <w:p>
            <w:pPr>
              <w:jc w:val="right"/>
              <w:ind w:right="555"/>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r>
      <w:tr>
        <w:trPr>
          <w:trHeight w:val="223"/>
        </w:trPr>
        <w:tc>
          <w:tcPr>
            <w:tcW w:w="78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180" w:type="dxa"/>
            <w:vAlign w:val="bottom"/>
            <w:tcBorders>
              <w:top w:val="single" w:sz="8" w:color="auto"/>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Borders>
              <w:top w:val="single" w:sz="8" w:color="CFF0FC"/>
            </w:tcBorders>
            <w:shd w:val="clear" w:color="auto" w:fill="CFF0FC"/>
          </w:tcPr>
          <w:p>
            <w:pPr>
              <w:spacing w:after="0"/>
              <w:rPr>
                <w:sz w:val="19"/>
                <w:szCs w:val="19"/>
                <w:color w:val="auto"/>
              </w:rPr>
            </w:pPr>
          </w:p>
        </w:tc>
        <w:tc>
          <w:tcPr>
            <w:tcW w:w="16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FF0FC"/>
            </w:tcBorders>
            <w:shd w:val="clear" w:color="auto" w:fill="CFF0FC"/>
          </w:tcPr>
          <w:p>
            <w:pPr>
              <w:spacing w:after="0"/>
              <w:rPr>
                <w:sz w:val="19"/>
                <w:szCs w:val="19"/>
                <w:color w:val="auto"/>
              </w:rPr>
            </w:pPr>
          </w:p>
        </w:tc>
      </w:tr>
      <w:tr>
        <w:trPr>
          <w:trHeight w:val="234"/>
        </w:trPr>
        <w:tc>
          <w:tcPr>
            <w:tcW w:w="9020" w:type="dxa"/>
            <w:vAlign w:val="bottom"/>
            <w:gridSpan w:val="2"/>
          </w:tcPr>
          <w:p>
            <w:pPr>
              <w:spacing w:after="0"/>
              <w:rPr>
                <w:sz w:val="20"/>
                <w:szCs w:val="20"/>
                <w:color w:val="auto"/>
              </w:rPr>
            </w:pPr>
            <w:r>
              <w:rPr>
                <w:rFonts w:ascii="Arial" w:cs="Arial" w:eastAsia="Arial" w:hAnsi="Arial"/>
                <w:sz w:val="18"/>
                <w:szCs w:val="18"/>
                <w:color w:val="auto"/>
              </w:rPr>
              <w:t>Six Months</w:t>
            </w:r>
          </w:p>
        </w:tc>
        <w:tc>
          <w:tcPr>
            <w:tcW w:w="400" w:type="dxa"/>
            <w:vAlign w:val="bottom"/>
          </w:tcPr>
          <w:p>
            <w:pPr>
              <w:jc w:val="right"/>
              <w:spacing w:after="0"/>
              <w:rPr>
                <w:sz w:val="20"/>
                <w:szCs w:val="20"/>
                <w:color w:val="auto"/>
              </w:rPr>
            </w:pPr>
            <w:r>
              <w:rPr>
                <w:rFonts w:ascii="Arial" w:cs="Arial" w:eastAsia="Arial" w:hAnsi="Arial"/>
                <w:sz w:val="18"/>
                <w:szCs w:val="18"/>
                <w:b w:val="1"/>
                <w:bCs w:val="1"/>
                <w:color w:val="auto"/>
              </w:rPr>
              <w:t>49</w:t>
            </w: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r>
    </w:tbl>
    <w:p>
      <w:pPr>
        <w:spacing w:after="0" w:line="301" w:lineRule="exact"/>
        <w:rPr>
          <w:sz w:val="20"/>
          <w:szCs w:val="20"/>
          <w:color w:val="auto"/>
        </w:rPr>
      </w:pPr>
    </w:p>
    <w:p>
      <w:pPr>
        <w:ind w:left="280" w:hanging="272"/>
        <w:spacing w:after="0"/>
        <w:tabs>
          <w:tab w:leader="none" w:pos="2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Cameron</w:t>
      </w:r>
    </w:p>
    <w:p>
      <w:pPr>
        <w:spacing w:after="0" w:line="121"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April 1, 2016, Schlumberger acquired all of the outstanding shares of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9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Calculation of Consideration Transferred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details the fair value of the consideration transferred to effect the acquisition of Cameron: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0" w:name="page11"/>
    <w:bookmarkEnd w:id="10"/>
    <w:tbl>
      <w:tblPr>
        <w:tblLayout w:type="fixed"/>
        <w:tblInd w:w="660" w:type="dxa"/>
        <w:tblCellMar>
          <w:top w:w="0" w:type="dxa"/>
          <w:left w:w="0" w:type="dxa"/>
          <w:bottom w:w="0" w:type="dxa"/>
          <w:right w:w="0" w:type="dxa"/>
        </w:tblCellMar>
      </w:tblPr>
      <w:tr>
        <w:trPr>
          <w:trHeight w:val="182"/>
        </w:trPr>
        <w:tc>
          <w:tcPr>
            <w:tcW w:w="4340" w:type="dxa"/>
            <w:vAlign w:val="bottom"/>
          </w:tcPr>
          <w:p>
            <w:pPr>
              <w:spacing w:after="0"/>
              <w:rPr>
                <w:sz w:val="15"/>
                <w:szCs w:val="15"/>
                <w:color w:val="auto"/>
              </w:rPr>
            </w:pPr>
          </w:p>
        </w:tc>
        <w:tc>
          <w:tcPr>
            <w:tcW w:w="4120" w:type="dxa"/>
            <w:vAlign w:val="bottom"/>
            <w:gridSpan w:val="7"/>
          </w:tcPr>
          <w:p>
            <w:pPr>
              <w:ind w:left="260"/>
              <w:spacing w:after="0"/>
              <w:rPr>
                <w:sz w:val="20"/>
                <w:szCs w:val="20"/>
                <w:color w:val="auto"/>
              </w:rPr>
            </w:pPr>
            <w:r>
              <w:rPr>
                <w:rFonts w:ascii="Arial" w:cs="Arial" w:eastAsia="Arial" w:hAnsi="Arial"/>
                <w:sz w:val="14"/>
                <w:szCs w:val="14"/>
                <w:i w:val="1"/>
                <w:iCs w:val="1"/>
                <w:color w:val="auto"/>
                <w:w w:val="94"/>
              </w:rPr>
              <w:t>(stated in millions, except exchange ratio and per share amounts)</w:t>
            </w:r>
          </w:p>
        </w:tc>
      </w:tr>
      <w:tr>
        <w:trPr>
          <w:trHeight w:val="444"/>
        </w:trPr>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Equity consideration:</w:t>
            </w:r>
          </w:p>
        </w:tc>
        <w:tc>
          <w:tcPr>
            <w:tcW w:w="15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shares of Cameron stock outstanding</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4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Exchange ratio</w:t>
            </w:r>
          </w:p>
        </w:tc>
        <w:tc>
          <w:tcPr>
            <w:tcW w:w="1540" w:type="dxa"/>
            <w:vAlign w:val="bottom"/>
            <w:tcBorders>
              <w:bottom w:val="single" w:sz="8" w:color="CFF0FC"/>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0.716</w:t>
            </w:r>
          </w:p>
        </w:tc>
        <w:tc>
          <w:tcPr>
            <w:tcW w:w="80" w:type="dxa"/>
            <w:vAlign w:val="bottom"/>
            <w:tcBorders>
              <w:bottom w:val="single" w:sz="8" w:color="CFF0FC"/>
            </w:tcBorders>
          </w:tcPr>
          <w:p>
            <w:pPr>
              <w:spacing w:after="0"/>
              <w:rPr>
                <w:sz w:val="19"/>
                <w:szCs w:val="19"/>
                <w:color w:val="auto"/>
              </w:rPr>
            </w:pPr>
          </w:p>
        </w:tc>
        <w:tc>
          <w:tcPr>
            <w:tcW w:w="400" w:type="dxa"/>
            <w:vAlign w:val="bottom"/>
            <w:tcBorders>
              <w:bottom w:val="single" w:sz="8" w:color="CFF0FC"/>
            </w:tcBorders>
          </w:tcPr>
          <w:p>
            <w:pPr>
              <w:spacing w:after="0"/>
              <w:rPr>
                <w:sz w:val="19"/>
                <w:szCs w:val="19"/>
                <w:color w:val="auto"/>
              </w:rPr>
            </w:pPr>
          </w:p>
        </w:tc>
        <w:tc>
          <w:tcPr>
            <w:tcW w:w="80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r>
      <w:tr>
        <w:trPr>
          <w:trHeight w:val="223"/>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Schlumberger shares of common stock issued</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138</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w w:val="96"/>
              </w:rPr>
              <w:t>Schlumberger closing stock share price on April 1, 2016</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72.12</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3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Equity consideration</w:t>
            </w:r>
          </w:p>
        </w:tc>
        <w:tc>
          <w:tcPr>
            <w:tcW w:w="15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CFF0FC"/>
            </w:tcBorders>
            <w:gridSpan w:val="2"/>
            <w:shd w:val="clear" w:color="auto" w:fill="CFF0FC"/>
          </w:tcPr>
          <w:p>
            <w:pPr>
              <w:jc w:val="right"/>
              <w:ind w:right="247"/>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9,924</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Cash consideration:</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Number of shares of Cameron stock outstanding</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8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color w:val="auto"/>
              </w:rPr>
              <w:t>Cash consideration per Cameron share</w:t>
            </w:r>
          </w:p>
        </w:tc>
        <w:tc>
          <w:tcPr>
            <w:tcW w:w="198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14.44</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3"/>
        </w:trPr>
        <w:tc>
          <w:tcPr>
            <w:tcW w:w="434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consideration</w:t>
            </w:r>
          </w:p>
        </w:tc>
        <w:tc>
          <w:tcPr>
            <w:tcW w:w="1540" w:type="dxa"/>
            <w:vAlign w:val="bottom"/>
            <w:tcBorders>
              <w:top w:val="single" w:sz="8" w:color="CFF0FC"/>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CFF0FC"/>
            </w:tcBorders>
            <w:shd w:val="clear" w:color="auto" w:fill="CFF0FC"/>
          </w:tcPr>
          <w:p>
            <w:pPr>
              <w:spacing w:after="0"/>
              <w:rPr>
                <w:sz w:val="19"/>
                <w:szCs w:val="19"/>
                <w:color w:val="auto"/>
              </w:rPr>
            </w:pPr>
          </w:p>
        </w:tc>
        <w:tc>
          <w:tcPr>
            <w:tcW w:w="800" w:type="dxa"/>
            <w:vAlign w:val="bottom"/>
            <w:tcBorders>
              <w:top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2,776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43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Other:</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4340" w:type="dxa"/>
            <w:vAlign w:val="bottom"/>
            <w:shd w:val="clear" w:color="auto" w:fill="CFF0FC"/>
          </w:tcPr>
          <w:p>
            <w:pPr>
              <w:ind w:left="20"/>
              <w:spacing w:after="0"/>
              <w:rPr>
                <w:sz w:val="20"/>
                <w:szCs w:val="20"/>
                <w:color w:val="auto"/>
              </w:rPr>
            </w:pPr>
            <w:r>
              <w:rPr>
                <w:rFonts w:ascii="Arial" w:cs="Arial" w:eastAsia="Arial" w:hAnsi="Arial"/>
                <w:sz w:val="18"/>
                <w:szCs w:val="18"/>
                <w:color w:val="auto"/>
              </w:rPr>
              <w:t>Fair value of replacement equity awards</w:t>
            </w:r>
          </w:p>
        </w:tc>
        <w:tc>
          <w:tcPr>
            <w:tcW w:w="15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80" w:type="dxa"/>
            <w:vAlign w:val="bottom"/>
            <w:shd w:val="clear" w:color="auto" w:fill="CFF0FC"/>
          </w:tcPr>
          <w:p>
            <w:pPr>
              <w:spacing w:after="0"/>
              <w:rPr>
                <w:sz w:val="19"/>
                <w:szCs w:val="19"/>
                <w:color w:val="auto"/>
              </w:rPr>
            </w:pPr>
          </w:p>
        </w:tc>
      </w:tr>
      <w:tr>
        <w:trPr>
          <w:trHeight w:val="223"/>
        </w:trPr>
        <w:tc>
          <w:tcPr>
            <w:tcW w:w="4340" w:type="dxa"/>
            <w:vAlign w:val="bottom"/>
          </w:tcPr>
          <w:p>
            <w:pPr>
              <w:ind w:left="20"/>
              <w:spacing w:after="0"/>
              <w:rPr>
                <w:sz w:val="20"/>
                <w:szCs w:val="20"/>
                <w:color w:val="auto"/>
              </w:rPr>
            </w:pPr>
            <w:r>
              <w:rPr>
                <w:rFonts w:ascii="Arial" w:cs="Arial" w:eastAsia="Arial" w:hAnsi="Arial"/>
                <w:sz w:val="18"/>
                <w:szCs w:val="18"/>
                <w:color w:val="auto"/>
              </w:rPr>
              <w:t>Total fair value of the consideration transferred</w:t>
            </w:r>
          </w:p>
        </w:tc>
        <w:tc>
          <w:tcPr>
            <w:tcW w:w="1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24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12,803</w:t>
            </w:r>
          </w:p>
        </w:tc>
        <w:tc>
          <w:tcPr>
            <w:tcW w:w="80" w:type="dxa"/>
            <w:vAlign w:val="bottom"/>
          </w:tcPr>
          <w:p>
            <w:pPr>
              <w:spacing w:after="0"/>
              <w:rPr>
                <w:sz w:val="19"/>
                <w:szCs w:val="19"/>
                <w:color w:val="auto"/>
              </w:rPr>
            </w:pPr>
          </w:p>
        </w:tc>
      </w:tr>
      <w:tr>
        <w:trPr>
          <w:trHeight w:val="20"/>
        </w:trPr>
        <w:tc>
          <w:tcPr>
            <w:tcW w:w="43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1" w:lineRule="exact"/>
        <w:rPr>
          <w:sz w:val="20"/>
          <w:szCs w:val="20"/>
          <w:color w:val="auto"/>
        </w:rPr>
      </w:pPr>
    </w:p>
    <w:p>
      <w:pPr>
        <w:ind w:left="680"/>
        <w:spacing w:after="0"/>
        <w:rPr>
          <w:sz w:val="20"/>
          <w:szCs w:val="20"/>
          <w:color w:val="auto"/>
        </w:rPr>
      </w:pPr>
      <w:r>
        <w:rPr>
          <w:rFonts w:ascii="Arial" w:cs="Arial" w:eastAsia="Arial" w:hAnsi="Arial"/>
          <w:sz w:val="18"/>
          <w:szCs w:val="18"/>
          <w:i w:val="1"/>
          <w:iCs w:val="1"/>
          <w:color w:val="auto"/>
        </w:rPr>
        <w:t>Certain amounts reflect rounding adjustments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Preliminary Allocation of Consideration Transferred to Net Assets Acquired</w:t>
      </w:r>
    </w:p>
    <w:p>
      <w:pPr>
        <w:spacing w:after="0" w:line="117"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following amounts represents the preliminary estimates of the fair value of assets acquired and liabilities assumed in the merger. The final determination of fair value for certain assets and liabilities will be completed as soon as the information necessary to complete the analysis is obtained. These amounts, which may differ materially from these preliminary estimates, will be finalized as soon as possible, but no later than one year from the acquisition date.</w:t>
      </w:r>
    </w:p>
    <w:p>
      <w:pPr>
        <w:spacing w:after="0" w:line="157" w:lineRule="exact"/>
        <w:rPr>
          <w:sz w:val="20"/>
          <w:szCs w:val="20"/>
          <w:color w:val="auto"/>
        </w:rPr>
      </w:pPr>
    </w:p>
    <w:tbl>
      <w:tblPr>
        <w:tblLayout w:type="fixed"/>
        <w:tblInd w:w="660" w:type="dxa"/>
        <w:tblCellMar>
          <w:top w:w="0" w:type="dxa"/>
          <w:left w:w="0" w:type="dxa"/>
          <w:bottom w:w="0" w:type="dxa"/>
          <w:right w:w="0" w:type="dxa"/>
        </w:tblCellMar>
      </w:tblPr>
      <w:tr>
        <w:trPr>
          <w:trHeight w:val="182"/>
        </w:trPr>
        <w:tc>
          <w:tcPr>
            <w:tcW w:w="6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2"/>
          </w:tcPr>
          <w:p>
            <w:pPr>
              <w:jc w:val="right"/>
              <w:ind w:right="80"/>
              <w:spacing w:after="0"/>
              <w:rPr>
                <w:sz w:val="20"/>
                <w:szCs w:val="20"/>
                <w:color w:val="auto"/>
              </w:rPr>
            </w:pPr>
            <w:r>
              <w:rPr>
                <w:rFonts w:ascii="Arial" w:cs="Arial" w:eastAsia="Arial" w:hAnsi="Arial"/>
                <w:sz w:val="14"/>
                <w:szCs w:val="14"/>
                <w:i w:val="1"/>
                <w:iCs w:val="1"/>
                <w:color w:val="auto"/>
              </w:rPr>
              <w:t>(Stated in millions)</w:t>
            </w:r>
          </w:p>
        </w:tc>
      </w:tr>
      <w:tr>
        <w:trPr>
          <w:trHeight w:val="214"/>
        </w:trPr>
        <w:tc>
          <w:tcPr>
            <w:tcW w:w="6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w:t>
            </w:r>
          </w:p>
        </w:tc>
        <w:tc>
          <w:tcPr>
            <w:tcW w:w="220" w:type="dxa"/>
            <w:vAlign w:val="bottom"/>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785</w:t>
            </w:r>
          </w:p>
        </w:tc>
        <w:tc>
          <w:tcPr>
            <w:tcW w:w="80" w:type="dxa"/>
            <w:vAlign w:val="bottom"/>
            <w:shd w:val="clear" w:color="auto" w:fill="CFF0FC"/>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Short-term investments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1,448</w:t>
            </w: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receivable</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1,691</w:t>
            </w:r>
          </w:p>
        </w:tc>
        <w:tc>
          <w:tcPr>
            <w:tcW w:w="80" w:type="dxa"/>
            <w:vAlign w:val="bottom"/>
            <w:shd w:val="clear" w:color="auto" w:fill="CFF0FC"/>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 xml:space="preserve">Inventories </w:t>
            </w:r>
            <w:r>
              <w:rPr>
                <w:rFonts w:ascii="Arial" w:cs="Arial" w:eastAsia="Arial" w:hAnsi="Arial"/>
                <w:sz w:val="15"/>
                <w:szCs w:val="15"/>
                <w:color w:val="auto"/>
              </w:rPr>
              <w:t>(1)</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2,431</w:t>
            </w: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Fixed assets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1,333</w:t>
            </w:r>
          </w:p>
        </w:tc>
        <w:tc>
          <w:tcPr>
            <w:tcW w:w="80" w:type="dxa"/>
            <w:vAlign w:val="bottom"/>
            <w:shd w:val="clear" w:color="auto" w:fill="CFF0FC"/>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Intangible assets: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Customer relationships (weighted-average life of 25 years)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2,371</w:t>
            </w:r>
          </w:p>
        </w:tc>
        <w:tc>
          <w:tcPr>
            <w:tcW w:w="80" w:type="dxa"/>
            <w:vAlign w:val="bottom"/>
            <w:shd w:val="clear" w:color="auto" w:fill="CFF0FC"/>
          </w:tcPr>
          <w:p>
            <w:pPr>
              <w:spacing w:after="0"/>
              <w:rPr>
                <w:sz w:val="19"/>
                <w:szCs w:val="19"/>
                <w:color w:val="auto"/>
              </w:rPr>
            </w:pP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Technology/Technical Know-How (weighted-average life of 16 years)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1,736</w:t>
            </w: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Tradenames (weighted-average life of 25 years)</w:t>
            </w:r>
          </w:p>
        </w:tc>
        <w:tc>
          <w:tcPr>
            <w:tcW w:w="22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1,225</w:t>
            </w:r>
          </w:p>
        </w:tc>
        <w:tc>
          <w:tcPr>
            <w:tcW w:w="80" w:type="dxa"/>
            <w:vAlign w:val="bottom"/>
            <w:shd w:val="clear" w:color="auto" w:fill="CFF0FC"/>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624</w:t>
            </w: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Accounts payable and accrued liabilities</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(2,592)</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 xml:space="preserve">Long-term debt </w:t>
            </w:r>
            <w:r>
              <w:rPr>
                <w:rFonts w:ascii="Arial" w:cs="Arial" w:eastAsia="Arial" w:hAnsi="Arial"/>
                <w:sz w:val="15"/>
                <w:szCs w:val="15"/>
                <w:color w:val="auto"/>
              </w:rPr>
              <w:t>(2)</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(3,018)</w:t>
            </w:r>
          </w:p>
        </w:tc>
      </w:tr>
      <w:tr>
        <w:trPr>
          <w:trHeight w:val="229"/>
        </w:trPr>
        <w:tc>
          <w:tcPr>
            <w:tcW w:w="692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Deferred taxes </w:t>
            </w:r>
            <w:r>
              <w:rPr>
                <w:rFonts w:ascii="Arial" w:cs="Arial" w:eastAsia="Arial" w:hAnsi="Arial"/>
                <w:sz w:val="15"/>
                <w:szCs w:val="15"/>
                <w:color w:val="auto"/>
              </w:rPr>
              <w:t>(3)</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(1,636)</w:t>
            </w: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(310)</w:t>
            </w:r>
          </w:p>
        </w:tc>
      </w:tr>
      <w:tr>
        <w:trPr>
          <w:trHeight w:val="223"/>
        </w:trPr>
        <w:tc>
          <w:tcPr>
            <w:tcW w:w="6920" w:type="dxa"/>
            <w:vAlign w:val="bottom"/>
            <w:tcBorders>
              <w:top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Sub-total</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6,088</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920" w:type="dxa"/>
            <w:vAlign w:val="bottom"/>
          </w:tcPr>
          <w:p>
            <w:pPr>
              <w:ind w:left="20"/>
              <w:spacing w:after="0"/>
              <w:rPr>
                <w:sz w:val="20"/>
                <w:szCs w:val="20"/>
                <w:color w:val="auto"/>
              </w:rPr>
            </w:pPr>
            <w:r>
              <w:rPr>
                <w:rFonts w:ascii="Arial" w:cs="Arial" w:eastAsia="Arial" w:hAnsi="Arial"/>
                <w:sz w:val="18"/>
                <w:szCs w:val="18"/>
                <w:color w:val="auto"/>
              </w:rPr>
              <w:t>Less:</w:t>
            </w: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29"/>
        </w:trPr>
        <w:tc>
          <w:tcPr>
            <w:tcW w:w="6920" w:type="dxa"/>
            <w:vAlign w:val="bottom"/>
            <w:shd w:val="clear" w:color="auto" w:fill="CFF0FC"/>
          </w:tcPr>
          <w:p>
            <w:pPr>
              <w:ind w:left="260"/>
              <w:spacing w:after="0"/>
              <w:rPr>
                <w:sz w:val="20"/>
                <w:szCs w:val="20"/>
                <w:color w:val="auto"/>
              </w:rPr>
            </w:pPr>
            <w:r>
              <w:rPr>
                <w:rFonts w:ascii="Arial" w:cs="Arial" w:eastAsia="Arial" w:hAnsi="Arial"/>
                <w:sz w:val="18"/>
                <w:szCs w:val="18"/>
                <w:color w:val="auto"/>
              </w:rPr>
              <w:t xml:space="preserve">Investment in OneSubsea </w:t>
            </w:r>
            <w:r>
              <w:rPr>
                <w:rFonts w:ascii="Arial" w:cs="Arial" w:eastAsia="Arial" w:hAnsi="Arial"/>
                <w:sz w:val="15"/>
                <w:szCs w:val="15"/>
                <w:color w:val="auto"/>
              </w:rPr>
              <w:t>(4)</w:t>
            </w:r>
          </w:p>
        </w:tc>
        <w:tc>
          <w:tcPr>
            <w:tcW w:w="220" w:type="dxa"/>
            <w:vAlign w:val="bottom"/>
            <w:shd w:val="clear" w:color="auto" w:fill="CFF0FC"/>
          </w:tcPr>
          <w:p>
            <w:pPr>
              <w:spacing w:after="0"/>
              <w:rPr>
                <w:sz w:val="19"/>
                <w:szCs w:val="19"/>
                <w:color w:val="auto"/>
              </w:rPr>
            </w:pPr>
          </w:p>
        </w:tc>
        <w:tc>
          <w:tcPr>
            <w:tcW w:w="1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(2,065)</w:t>
            </w:r>
          </w:p>
        </w:tc>
      </w:tr>
      <w:tr>
        <w:trPr>
          <w:trHeight w:val="229"/>
        </w:trPr>
        <w:tc>
          <w:tcPr>
            <w:tcW w:w="6920" w:type="dxa"/>
            <w:vAlign w:val="bottom"/>
          </w:tcPr>
          <w:p>
            <w:pPr>
              <w:ind w:left="260"/>
              <w:spacing w:after="0"/>
              <w:rPr>
                <w:sz w:val="20"/>
                <w:szCs w:val="20"/>
                <w:color w:val="auto"/>
              </w:rPr>
            </w:pPr>
            <w:r>
              <w:rPr>
                <w:rFonts w:ascii="Arial" w:cs="Arial" w:eastAsia="Arial" w:hAnsi="Arial"/>
                <w:sz w:val="18"/>
                <w:szCs w:val="18"/>
                <w:color w:val="auto"/>
              </w:rPr>
              <w:t>Noncontrolling interests</w:t>
            </w:r>
          </w:p>
        </w:tc>
        <w:tc>
          <w:tcPr>
            <w:tcW w:w="22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8"/>
                <w:szCs w:val="18"/>
                <w:color w:val="auto"/>
              </w:rPr>
              <w:t>(57)</w:t>
            </w:r>
          </w:p>
        </w:tc>
      </w:tr>
      <w:tr>
        <w:trPr>
          <w:trHeight w:val="223"/>
        </w:trPr>
        <w:tc>
          <w:tcPr>
            <w:tcW w:w="69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identifiable net assets</w:t>
            </w:r>
          </w:p>
        </w:tc>
        <w:tc>
          <w:tcPr>
            <w:tcW w:w="220" w:type="dxa"/>
            <w:vAlign w:val="bottom"/>
            <w:tcBorders>
              <w:top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3,966</w:t>
            </w:r>
          </w:p>
        </w:tc>
        <w:tc>
          <w:tcPr>
            <w:tcW w:w="80" w:type="dxa"/>
            <w:vAlign w:val="bottom"/>
            <w:tcBorders>
              <w:top w:val="single" w:sz="8" w:color="CFF0FC"/>
            </w:tcBorders>
            <w:shd w:val="clear" w:color="auto" w:fill="CFF0FC"/>
          </w:tcPr>
          <w:p>
            <w:pPr>
              <w:spacing w:after="0"/>
              <w:rPr>
                <w:sz w:val="19"/>
                <w:szCs w:val="19"/>
                <w:color w:val="auto"/>
              </w:rPr>
            </w:pPr>
          </w:p>
        </w:tc>
      </w:tr>
      <w:tr>
        <w:trPr>
          <w:trHeight w:val="229"/>
        </w:trPr>
        <w:tc>
          <w:tcPr>
            <w:tcW w:w="6920" w:type="dxa"/>
            <w:vAlign w:val="bottom"/>
            <w:tcBorders>
              <w:bottom w:val="single" w:sz="8" w:color="CFF0FC"/>
            </w:tcBorders>
          </w:tcPr>
          <w:p>
            <w:pPr>
              <w:ind w:left="20"/>
              <w:spacing w:after="0"/>
              <w:rPr>
                <w:sz w:val="20"/>
                <w:szCs w:val="20"/>
                <w:color w:val="auto"/>
              </w:rPr>
            </w:pPr>
            <w:r>
              <w:rPr>
                <w:rFonts w:ascii="Arial" w:cs="Arial" w:eastAsia="Arial" w:hAnsi="Arial"/>
                <w:sz w:val="18"/>
                <w:szCs w:val="18"/>
                <w:color w:val="auto"/>
              </w:rPr>
              <w:t xml:space="preserve">Goodwill </w:t>
            </w:r>
            <w:r>
              <w:rPr>
                <w:rFonts w:ascii="Arial" w:cs="Arial" w:eastAsia="Arial" w:hAnsi="Arial"/>
                <w:sz w:val="15"/>
                <w:szCs w:val="15"/>
                <w:color w:val="auto"/>
              </w:rPr>
              <w:t>(5)</w:t>
            </w: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8,837</w:t>
            </w:r>
          </w:p>
        </w:tc>
        <w:tc>
          <w:tcPr>
            <w:tcW w:w="80" w:type="dxa"/>
            <w:vAlign w:val="bottom"/>
            <w:tcBorders>
              <w:bottom w:val="single" w:sz="8" w:color="CFF0FC"/>
            </w:tcBorders>
          </w:tcPr>
          <w:p>
            <w:pPr>
              <w:spacing w:after="0"/>
              <w:rPr>
                <w:sz w:val="19"/>
                <w:szCs w:val="19"/>
                <w:color w:val="auto"/>
              </w:rPr>
            </w:pPr>
          </w:p>
        </w:tc>
      </w:tr>
      <w:tr>
        <w:trPr>
          <w:trHeight w:val="223"/>
        </w:trPr>
        <w:tc>
          <w:tcPr>
            <w:tcW w:w="6920" w:type="dxa"/>
            <w:vAlign w:val="bottom"/>
            <w:tcBorders>
              <w:bottom w:val="single" w:sz="8" w:color="CFF0FC"/>
            </w:tcBorders>
            <w:shd w:val="clear" w:color="auto" w:fill="CFF0FC"/>
          </w:tcPr>
          <w:p>
            <w:pPr>
              <w:ind w:left="260"/>
              <w:spacing w:after="0"/>
              <w:rPr>
                <w:sz w:val="20"/>
                <w:szCs w:val="20"/>
                <w:color w:val="auto"/>
              </w:rPr>
            </w:pPr>
            <w:r>
              <w:rPr>
                <w:rFonts w:ascii="Arial" w:cs="Arial" w:eastAsia="Arial" w:hAnsi="Arial"/>
                <w:sz w:val="18"/>
                <w:szCs w:val="18"/>
                <w:color w:val="auto"/>
              </w:rPr>
              <w:t>Total consideration transferred</w:t>
            </w:r>
          </w:p>
        </w:tc>
        <w:tc>
          <w:tcPr>
            <w:tcW w:w="220" w:type="dxa"/>
            <w:vAlign w:val="bottom"/>
            <w:tcBorders>
              <w:bottom w:val="single" w:sz="8" w:color="auto"/>
            </w:tcBorders>
            <w:shd w:val="clear" w:color="auto" w:fill="CFF0FC"/>
          </w:tcPr>
          <w:p>
            <w:pPr>
              <w:jc w:val="right"/>
              <w:ind w:right="67"/>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12,803</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69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19" w:lineRule="exact"/>
        <w:rPr>
          <w:sz w:val="20"/>
          <w:szCs w:val="20"/>
          <w:color w:val="auto"/>
        </w:rPr>
      </w:pPr>
    </w:p>
    <w:p>
      <w:pPr>
        <w:ind w:left="780" w:hanging="182"/>
        <w:spacing w:after="0" w:line="203" w:lineRule="auto"/>
        <w:tabs>
          <w:tab w:leader="none" w:pos="821"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Schlumberger recorded an adjustment of $299 million to write-up the acquired inventory to its estimated fair value. This adjustment will be amortized as the acquired inventory is sold.</w:t>
      </w:r>
    </w:p>
    <w:p>
      <w:pPr>
        <w:spacing w:after="0" w:line="9" w:lineRule="exact"/>
        <w:rPr>
          <w:rFonts w:ascii="Arial" w:cs="Arial" w:eastAsia="Arial" w:hAnsi="Arial"/>
          <w:sz w:val="26"/>
          <w:szCs w:val="26"/>
          <w:color w:val="auto"/>
          <w:vertAlign w:val="superscript"/>
        </w:rPr>
      </w:pPr>
    </w:p>
    <w:p>
      <w:pPr>
        <w:jc w:val="both"/>
        <w:ind w:left="780" w:hanging="182"/>
        <w:spacing w:after="0" w:line="219" w:lineRule="auto"/>
        <w:tabs>
          <w:tab w:leader="none" w:pos="821"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 connection with the merger, Schlumberger assumed all of the debt obligations of Cameron, including their $2.75 billion of fixed rate notes. Schlumberger recorded a $244 million adjustment to increase the carrying amount of these notes to their estimated fair value. This adjustment will be amortized as a reduction of interest expense over the remaining term of the respective obligations.</w:t>
      </w:r>
    </w:p>
    <w:p>
      <w:pPr>
        <w:spacing w:after="0" w:line="11" w:lineRule="exact"/>
        <w:rPr>
          <w:rFonts w:ascii="Arial" w:cs="Arial" w:eastAsia="Arial" w:hAnsi="Arial"/>
          <w:sz w:val="26"/>
          <w:szCs w:val="26"/>
          <w:color w:val="auto"/>
          <w:vertAlign w:val="superscript"/>
        </w:rPr>
      </w:pPr>
    </w:p>
    <w:p>
      <w:pPr>
        <w:ind w:left="780" w:right="20" w:hanging="182"/>
        <w:spacing w:after="0" w:line="203" w:lineRule="auto"/>
        <w:tabs>
          <w:tab w:leader="none" w:pos="821"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In connection with the acquisition accounting, Schlumberger provided deferred taxes related to, among other items, the estimated fair value adjustments for acquired inventory, intangible assets and assumed debt obligations.</w:t>
      </w:r>
    </w:p>
    <w:p>
      <w:pPr>
        <w:spacing w:after="0" w:line="9" w:lineRule="exact"/>
        <w:rPr>
          <w:rFonts w:ascii="Arial" w:cs="Arial" w:eastAsia="Arial" w:hAnsi="Arial"/>
          <w:sz w:val="26"/>
          <w:szCs w:val="26"/>
          <w:color w:val="auto"/>
          <w:vertAlign w:val="superscript"/>
        </w:rPr>
      </w:pPr>
    </w:p>
    <w:p>
      <w:pPr>
        <w:jc w:val="both"/>
        <w:ind w:left="780" w:hanging="182"/>
        <w:spacing w:after="0" w:line="219" w:lineRule="auto"/>
        <w:tabs>
          <w:tab w:leader="none" w:pos="821" w:val="left"/>
        </w:tabs>
        <w:numPr>
          <w:ilvl w:val="0"/>
          <w:numId w:val="9"/>
        </w:numPr>
        <w:rPr>
          <w:rFonts w:ascii="Arial" w:cs="Arial" w:eastAsia="Arial" w:hAnsi="Arial"/>
          <w:sz w:val="26"/>
          <w:szCs w:val="26"/>
          <w:color w:val="auto"/>
          <w:vertAlign w:val="superscript"/>
        </w:rPr>
      </w:pPr>
      <w:r>
        <w:rPr>
          <w:rFonts w:ascii="Arial" w:cs="Arial" w:eastAsia="Arial" w:hAnsi="Arial"/>
          <w:sz w:val="16"/>
          <w:szCs w:val="16"/>
          <w:color w:val="auto"/>
        </w:rPr>
        <w:t>Prior to the completion of the merger, Cameron and Schlumberger operated OneSubsea, a joint venture that manufactures and develops products, systems and services for the subsea oil and gas market which was 40% owned by Schlumberger and 60% owned by Cameron. OneSubsea is now owned 100% by Schlumberger. As a result of obtaining control of this joint venture, Schlumberger was required to</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50" w:right="239" w:bottom="1440" w:gutter="0" w:footer="0" w:header="0"/>
        </w:sectPr>
      </w:pPr>
    </w:p>
    <w:bookmarkStart w:id="11" w:name="page12"/>
    <w:bookmarkEnd w:id="11"/>
    <w:p>
      <w:pPr>
        <w:ind w:left="780" w:right="20"/>
        <w:spacing w:after="0" w:line="284" w:lineRule="auto"/>
        <w:rPr>
          <w:sz w:val="20"/>
          <w:szCs w:val="20"/>
          <w:color w:val="auto"/>
        </w:rPr>
      </w:pPr>
      <w:r>
        <w:rPr>
          <w:rFonts w:ascii="Arial" w:cs="Arial" w:eastAsia="Arial" w:hAnsi="Arial"/>
          <w:sz w:val="15"/>
          <w:szCs w:val="15"/>
          <w:color w:val="auto"/>
        </w:rPr>
        <w:t>remeasure its previously held equity interest in the joint venture to its acquisition-date fair value. Schlumberger determined that the estimated fair value of its previously held equity interest approximated its carrying value. Accordingly, Schlumberger did not recognize any gain or loss on this transaction.</w:t>
      </w:r>
    </w:p>
    <w:p>
      <w:pPr>
        <w:spacing w:after="0" w:line="10" w:lineRule="exact"/>
        <w:rPr>
          <w:sz w:val="20"/>
          <w:szCs w:val="20"/>
          <w:color w:val="auto"/>
        </w:rPr>
      </w:pPr>
    </w:p>
    <w:p>
      <w:pPr>
        <w:ind w:left="780" w:right="20" w:hanging="182"/>
        <w:spacing w:after="0" w:line="213" w:lineRule="auto"/>
        <w:tabs>
          <w:tab w:leader="none" w:pos="807" w:val="left"/>
        </w:tabs>
        <w:numPr>
          <w:ilvl w:val="0"/>
          <w:numId w:val="10"/>
        </w:numPr>
        <w:rPr>
          <w:rFonts w:ascii="Arial" w:cs="Arial" w:eastAsia="Arial" w:hAnsi="Arial"/>
          <w:sz w:val="25"/>
          <w:szCs w:val="25"/>
          <w:color w:val="auto"/>
          <w:vertAlign w:val="superscript"/>
        </w:rPr>
      </w:pPr>
      <w:r>
        <w:rPr>
          <w:rFonts w:ascii="Arial" w:cs="Arial" w:eastAsia="Arial" w:hAnsi="Arial"/>
          <w:sz w:val="15"/>
          <w:szCs w:val="15"/>
          <w:color w:val="auto"/>
        </w:rPr>
        <w:t>The goodwill recognized is primarily attributable to expected synergies that will result from combining the operations of Schlumberger and Cameron as well as intangible assets, which do not qualify for separate recognition. The amount of goodwill that is deductible for income tax purposes is not significant.</w:t>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Supplemental Pro Forma Financial Information</w:t>
      </w:r>
    </w:p>
    <w:p>
      <w:pPr>
        <w:spacing w:after="0" w:line="117"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Cameron’s results of operations have been included in Schlumberger’s financial statements for periods subsequent to the closing of the acquisition on April 1, 2016. Businesses acquired from Cameron contributed revenues of approximately $1.5 billion and pretax operating income of $243 million for the period from April 1, 2016 through June 30, 2016.</w:t>
      </w:r>
    </w:p>
    <w:p>
      <w:pPr>
        <w:spacing w:after="0" w:line="183" w:lineRule="exact"/>
        <w:rPr>
          <w:sz w:val="20"/>
          <w:szCs w:val="20"/>
          <w:color w:val="auto"/>
        </w:rPr>
      </w:pPr>
    </w:p>
    <w:p>
      <w:pPr>
        <w:jc w:val="both"/>
        <w:ind w:right="20"/>
        <w:spacing w:after="0" w:line="270" w:lineRule="auto"/>
        <w:rPr>
          <w:sz w:val="20"/>
          <w:szCs w:val="20"/>
          <w:color w:val="auto"/>
        </w:rPr>
      </w:pPr>
      <w:r>
        <w:rPr>
          <w:rFonts w:ascii="Arial" w:cs="Arial" w:eastAsia="Arial" w:hAnsi="Arial"/>
          <w:sz w:val="17"/>
          <w:szCs w:val="17"/>
          <w:color w:val="auto"/>
        </w:rPr>
        <w:t>The following supplemental pro forma results of operations assume that Cameron had been acquired as of January 1, 2015. The supplemental pro forma financial information was prepared based on the historical financial information of Schlumberger and Cameron and has been adjusted to give effect to pro forma adjustments that are both directly attributable to the transaction and factually supportable. The pro forma amounts reflect certain adjustments to amortization expense, interest expense and income taxes resulting from purchase accounting. The pro forma amounts also reflect adjustments to the 2016 results to exclude merger and integration costs of $254 million, net of taxes, for the three and six months ended June 30, 2016 because such costs are nonrecurring and directly attributable to the acquisition. As required by generally accepted accounting principles, the pro forma results for the six months ended June 30, 2015 have been adjusted to include the $254 million of after-tax merger and integration charges as well as an additional $105 million of after-tax charges relating to the amortization of the inventory fair value adjustment. The pro forma results for the three months ended June 30, 2015 have been adjusted to include the $105 million of after-tax amortization relating to the inventory fair value adjustment.</w:t>
      </w:r>
    </w:p>
    <w:p>
      <w:pPr>
        <w:spacing w:after="0" w:line="179"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supplemental pro forma financial information presented below does not include any anticipated cost savings or the expected realization of other synergies associated with this transaction. Accordingly, this supplemental pro forma financial information is presented for informational purposes only and is not necessarily indicative of what the actual results of operations of the combined company would have been had the acquisition occurred on January 1, 2015, nor is it indicative of future results of operations.</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960" w:type="dxa"/>
            <w:vAlign w:val="bottom"/>
            <w:gridSpan w:val="11"/>
          </w:tcPr>
          <w:p>
            <w:pPr>
              <w:ind w:left="200"/>
              <w:spacing w:after="0"/>
              <w:rPr>
                <w:sz w:val="20"/>
                <w:szCs w:val="20"/>
                <w:color w:val="auto"/>
              </w:rPr>
            </w:pPr>
            <w:r>
              <w:rPr>
                <w:rFonts w:ascii="Arial" w:cs="Arial" w:eastAsia="Arial" w:hAnsi="Arial"/>
                <w:sz w:val="14"/>
                <w:szCs w:val="14"/>
                <w:i w:val="1"/>
                <w:iCs w:val="1"/>
                <w:color w:val="auto"/>
                <w:w w:val="96"/>
              </w:rPr>
              <w:t>(Stated in millions, except per share amounts)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gridSpan w:val="6"/>
          </w:tcPr>
          <w:p>
            <w:pPr>
              <w:jc w:val="right"/>
              <w:ind w:right="601"/>
              <w:spacing w:after="0"/>
              <w:rPr>
                <w:sz w:val="20"/>
                <w:szCs w:val="20"/>
                <w:color w:val="auto"/>
              </w:rPr>
            </w:pPr>
            <w:r>
              <w:rPr>
                <w:rFonts w:ascii="Arial" w:cs="Arial" w:eastAsia="Arial" w:hAnsi="Arial"/>
                <w:sz w:val="18"/>
                <w:szCs w:val="18"/>
                <w:b w:val="1"/>
                <w:bCs w:val="1"/>
                <w:color w:val="auto"/>
              </w:rPr>
              <w:t>Second Quarter</w:t>
            </w: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gridSpan w:val="5"/>
          </w:tcPr>
          <w:p>
            <w:pPr>
              <w:jc w:val="right"/>
              <w:ind w:right="276"/>
              <w:spacing w:after="0"/>
              <w:rPr>
                <w:sz w:val="20"/>
                <w:szCs w:val="20"/>
                <w:color w:val="auto"/>
              </w:rPr>
            </w:pPr>
            <w:r>
              <w:rPr>
                <w:rFonts w:ascii="Arial" w:cs="Arial" w:eastAsia="Arial" w:hAnsi="Arial"/>
                <w:sz w:val="18"/>
                <w:szCs w:val="18"/>
                <w:b w:val="1"/>
                <w:bCs w:val="1"/>
                <w:color w:val="auto"/>
                <w:w w:val="97"/>
              </w:rPr>
              <w:t>Six Months</w:t>
            </w:r>
          </w:p>
        </w:tc>
        <w:tc>
          <w:tcPr>
            <w:tcW w:w="52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ind w:right="321"/>
              <w:spacing w:after="0"/>
              <w:rPr>
                <w:sz w:val="20"/>
                <w:szCs w:val="20"/>
                <w:color w:val="auto"/>
              </w:rPr>
            </w:pPr>
            <w:r>
              <w:rPr>
                <w:rFonts w:ascii="Arial" w:cs="Arial" w:eastAsia="Arial" w:hAnsi="Arial"/>
                <w:sz w:val="18"/>
                <w:szCs w:val="18"/>
                <w:color w:val="auto"/>
              </w:rPr>
              <w:t>2015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gridSpan w:val="3"/>
          </w:tcPr>
          <w:p>
            <w:pPr>
              <w:jc w:val="right"/>
              <w:ind w:right="33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Revenue</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11,246</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gridSpan w:val="4"/>
            <w:shd w:val="clear" w:color="auto" w:fill="CFF0FC"/>
          </w:tcPr>
          <w:p>
            <w:pPr>
              <w:jc w:val="right"/>
              <w:spacing w:after="0"/>
              <w:rPr>
                <w:sz w:val="20"/>
                <w:szCs w:val="20"/>
                <w:color w:val="auto"/>
              </w:rPr>
            </w:pPr>
            <w:r>
              <w:rPr>
                <w:rFonts w:ascii="Arial" w:cs="Arial" w:eastAsia="Arial" w:hAnsi="Arial"/>
                <w:sz w:val="18"/>
                <w:szCs w:val="18"/>
                <w:b w:val="1"/>
                <w:bCs w:val="1"/>
                <w:color w:val="auto"/>
              </w:rPr>
              <w:t>15,312</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jc w:val="right"/>
              <w:ind w:right="496"/>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7"/>
              </w:rPr>
              <w:t>23,779</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3"/>
          </w:tcPr>
          <w:p>
            <w:pPr>
              <w:spacing w:after="0"/>
              <w:rPr>
                <w:sz w:val="20"/>
                <w:szCs w:val="20"/>
                <w:color w:val="auto"/>
              </w:rPr>
            </w:pPr>
            <w:r>
              <w:rPr>
                <w:rFonts w:ascii="Arial" w:cs="Arial" w:eastAsia="Arial" w:hAnsi="Arial"/>
                <w:sz w:val="18"/>
                <w:szCs w:val="18"/>
                <w:color w:val="auto"/>
              </w:rPr>
              <w:t>Net income (loss) attributable to Schlumberger</w:t>
            </w:r>
          </w:p>
        </w:tc>
        <w:tc>
          <w:tcPr>
            <w:tcW w:w="164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(1,905)</w:t>
            </w:r>
          </w:p>
        </w:tc>
        <w:tc>
          <w:tcPr>
            <w:tcW w:w="340" w:type="dxa"/>
            <w:vAlign w:val="bottom"/>
            <w:gridSpan w:val="2"/>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1,152</w:t>
            </w:r>
          </w:p>
        </w:tc>
        <w:tc>
          <w:tcPr>
            <w:tcW w:w="500" w:type="dxa"/>
            <w:vAlign w:val="bottom"/>
            <w:gridSpan w:val="2"/>
          </w:tcPr>
          <w:p>
            <w:pPr>
              <w:jc w:val="right"/>
              <w:ind w:right="70"/>
              <w:spacing w:after="0"/>
              <w:rPr>
                <w:sz w:val="20"/>
                <w:szCs w:val="20"/>
                <w:color w:val="auto"/>
              </w:rPr>
            </w:pPr>
            <w:r>
              <w:rPr>
                <w:rFonts w:ascii="Arial" w:cs="Arial" w:eastAsia="Arial" w:hAnsi="Arial"/>
                <w:sz w:val="18"/>
                <w:szCs w:val="18"/>
                <w:b w:val="1"/>
                <w:bCs w:val="1"/>
                <w:color w:val="auto"/>
              </w:rPr>
              <w:t>$</w:t>
            </w:r>
          </w:p>
        </w:tc>
        <w:tc>
          <w:tcPr>
            <w:tcW w:w="1080" w:type="dxa"/>
            <w:vAlign w:val="bottom"/>
            <w:gridSpan w:val="5"/>
          </w:tcPr>
          <w:p>
            <w:pPr>
              <w:jc w:val="right"/>
              <w:ind w:right="100"/>
              <w:spacing w:after="0"/>
              <w:rPr>
                <w:sz w:val="20"/>
                <w:szCs w:val="20"/>
                <w:color w:val="auto"/>
              </w:rPr>
            </w:pPr>
            <w:r>
              <w:rPr>
                <w:rFonts w:ascii="Arial" w:cs="Arial" w:eastAsia="Arial" w:hAnsi="Arial"/>
                <w:sz w:val="18"/>
                <w:szCs w:val="18"/>
                <w:b w:val="1"/>
                <w:bCs w:val="1"/>
                <w:color w:val="auto"/>
              </w:rPr>
              <w:t>(1,290)</w:t>
            </w:r>
          </w:p>
        </w:tc>
        <w:tc>
          <w:tcPr>
            <w:tcW w:w="760" w:type="dxa"/>
            <w:vAlign w:val="bottom"/>
            <w:gridSpan w:val="2"/>
          </w:tcPr>
          <w:p>
            <w:pPr>
              <w:jc w:val="right"/>
              <w:ind w:right="496"/>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1,883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Diluted earnings (loss) per share</w:t>
            </w:r>
          </w:p>
        </w:tc>
        <w:tc>
          <w:tcPr>
            <w:tcW w:w="16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10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(1.37)</w:t>
            </w:r>
          </w:p>
        </w:tc>
        <w:tc>
          <w:tcPr>
            <w:tcW w:w="340" w:type="dxa"/>
            <w:vAlign w:val="bottom"/>
            <w:gridSpan w:val="2"/>
            <w:shd w:val="clear" w:color="auto" w:fill="CFF0FC"/>
          </w:tcPr>
          <w:p>
            <w:pPr>
              <w:jc w:val="right"/>
              <w:ind w:right="87"/>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0.81</w:t>
            </w:r>
          </w:p>
        </w:tc>
        <w:tc>
          <w:tcPr>
            <w:tcW w:w="50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w:t>
            </w:r>
          </w:p>
        </w:tc>
        <w:tc>
          <w:tcPr>
            <w:tcW w:w="46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560" w:type="dxa"/>
            <w:vAlign w:val="bottom"/>
            <w:gridSpan w:val="3"/>
            <w:shd w:val="clear" w:color="auto" w:fill="CFF0FC"/>
          </w:tcPr>
          <w:p>
            <w:pPr>
              <w:jc w:val="right"/>
              <w:ind w:right="100"/>
              <w:spacing w:after="0"/>
              <w:rPr>
                <w:sz w:val="20"/>
                <w:szCs w:val="20"/>
                <w:color w:val="auto"/>
              </w:rPr>
            </w:pPr>
            <w:r>
              <w:rPr>
                <w:rFonts w:ascii="Arial" w:cs="Arial" w:eastAsia="Arial" w:hAnsi="Arial"/>
                <w:sz w:val="18"/>
                <w:szCs w:val="18"/>
                <w:b w:val="1"/>
                <w:bCs w:val="1"/>
                <w:color w:val="auto"/>
                <w:w w:val="93"/>
              </w:rPr>
              <w:t>(0.93)</w:t>
            </w:r>
          </w:p>
        </w:tc>
        <w:tc>
          <w:tcPr>
            <w:tcW w:w="760" w:type="dxa"/>
            <w:vAlign w:val="bottom"/>
            <w:gridSpan w:val="2"/>
            <w:shd w:val="clear" w:color="auto" w:fill="CFF0FC"/>
          </w:tcPr>
          <w:p>
            <w:pPr>
              <w:jc w:val="right"/>
              <w:ind w:right="496"/>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80"/>
        </w:trPr>
        <w:tc>
          <w:tcPr>
            <w:tcW w:w="4500" w:type="dxa"/>
            <w:vAlign w:val="bottom"/>
            <w:gridSpan w:val="3"/>
          </w:tcPr>
          <w:p>
            <w:pPr>
              <w:spacing w:after="0"/>
              <w:rPr>
                <w:sz w:val="20"/>
                <w:szCs w:val="20"/>
                <w:color w:val="auto"/>
              </w:rPr>
            </w:pPr>
            <w:r>
              <w:rPr>
                <w:rFonts w:ascii="Arial" w:cs="Arial" w:eastAsia="Arial" w:hAnsi="Arial"/>
                <w:sz w:val="18"/>
                <w:szCs w:val="18"/>
                <w:b w:val="1"/>
                <w:bCs w:val="1"/>
                <w:color w:val="auto"/>
              </w:rPr>
              <w:t>5.  Inventories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4500" w:type="dxa"/>
            <w:vAlign w:val="bottom"/>
            <w:gridSpan w:val="3"/>
          </w:tcPr>
          <w:p>
            <w:pPr>
              <w:spacing w:after="0"/>
              <w:rPr>
                <w:sz w:val="20"/>
                <w:szCs w:val="20"/>
                <w:color w:val="auto"/>
              </w:rPr>
            </w:pPr>
            <w:r>
              <w:rPr>
                <w:rFonts w:ascii="Arial" w:cs="Arial" w:eastAsia="Arial" w:hAnsi="Arial"/>
                <w:sz w:val="18"/>
                <w:szCs w:val="18"/>
                <w:color w:val="auto"/>
              </w:rPr>
              <w:t>A summary of inventories follows:</w:t>
            </w: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b w:val="1"/>
                <w:bCs w:val="1"/>
                <w:color w:val="auto"/>
              </w:rPr>
              <w:t>Jun. 30,</w:t>
            </w: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ind w:left="80"/>
              <w:spacing w:after="0"/>
              <w:rPr>
                <w:sz w:val="20"/>
                <w:szCs w:val="20"/>
                <w:color w:val="auto"/>
              </w:rPr>
            </w:pPr>
            <w:r>
              <w:rPr>
                <w:rFonts w:ascii="Arial" w:cs="Arial" w:eastAsia="Arial" w:hAnsi="Arial"/>
                <w:sz w:val="18"/>
                <w:szCs w:val="18"/>
                <w:color w:val="auto"/>
                <w:w w:val="86"/>
              </w:rPr>
              <w:t>Dec. 31,</w:t>
            </w: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2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2016</w:t>
            </w: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gridSpan w:val="2"/>
          </w:tcPr>
          <w:p>
            <w:pPr>
              <w:jc w:val="right"/>
              <w:ind w:right="36"/>
              <w:spacing w:after="0"/>
              <w:rPr>
                <w:sz w:val="20"/>
                <w:szCs w:val="20"/>
                <w:color w:val="auto"/>
              </w:rPr>
            </w:pPr>
            <w:r>
              <w:rPr>
                <w:rFonts w:ascii="Arial" w:cs="Arial" w:eastAsia="Arial" w:hAnsi="Arial"/>
                <w:sz w:val="18"/>
                <w:szCs w:val="18"/>
                <w:color w:val="auto"/>
              </w:rPr>
              <w:t>2015</w:t>
            </w: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50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Raw materials &amp; field materials</w:t>
            </w:r>
          </w:p>
        </w:tc>
        <w:tc>
          <w:tcPr>
            <w:tcW w:w="138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90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300" w:type="dxa"/>
            <w:vAlign w:val="bottom"/>
            <w:tcBorders>
              <w:top w:val="single" w:sz="8" w:color="CFF0FC"/>
            </w:tcBorders>
            <w:shd w:val="clear" w:color="auto" w:fill="CFF0FC"/>
          </w:tcPr>
          <w:p>
            <w:pPr>
              <w:spacing w:after="0"/>
              <w:rPr>
                <w:sz w:val="19"/>
                <w:szCs w:val="19"/>
                <w:color w:val="auto"/>
              </w:rPr>
            </w:pPr>
          </w:p>
        </w:tc>
        <w:tc>
          <w:tcPr>
            <w:tcW w:w="620" w:type="dxa"/>
            <w:vAlign w:val="bottom"/>
            <w:tcBorders>
              <w:top w:val="single" w:sz="8" w:color="auto"/>
            </w:tcBorders>
            <w:shd w:val="clear" w:color="auto" w:fill="CFF0FC"/>
          </w:tcPr>
          <w:p>
            <w:pPr>
              <w:jc w:val="right"/>
              <w:ind w:right="46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1,874</w:t>
            </w:r>
          </w:p>
        </w:tc>
        <w:tc>
          <w:tcPr>
            <w:tcW w:w="6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top w:val="single" w:sz="8" w:color="auto"/>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spacing w:after="0"/>
              <w:rPr>
                <w:sz w:val="19"/>
                <w:szCs w:val="19"/>
                <w:color w:val="auto"/>
              </w:rPr>
            </w:pPr>
          </w:p>
        </w:tc>
        <w:tc>
          <w:tcPr>
            <w:tcW w:w="680" w:type="dxa"/>
            <w:vAlign w:val="bottom"/>
            <w:tcBorders>
              <w:top w:val="single" w:sz="8" w:color="auto"/>
            </w:tcBorders>
            <w:shd w:val="clear" w:color="auto" w:fill="CFF0FC"/>
          </w:tcPr>
          <w:p>
            <w:pPr>
              <w:spacing w:after="0"/>
              <w:rPr>
                <w:sz w:val="19"/>
                <w:szCs w:val="19"/>
                <w:color w:val="auto"/>
              </w:rPr>
            </w:pPr>
          </w:p>
        </w:tc>
        <w:tc>
          <w:tcPr>
            <w:tcW w:w="5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2,300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3"/>
          </w:tcPr>
          <w:p>
            <w:pPr>
              <w:spacing w:after="0"/>
              <w:rPr>
                <w:sz w:val="20"/>
                <w:szCs w:val="20"/>
                <w:color w:val="auto"/>
              </w:rPr>
            </w:pPr>
            <w:r>
              <w:rPr>
                <w:rFonts w:ascii="Arial" w:cs="Arial" w:eastAsia="Arial" w:hAnsi="Arial"/>
                <w:sz w:val="18"/>
                <w:szCs w:val="18"/>
                <w:color w:val="auto"/>
              </w:rPr>
              <w:t>Work in progress</w:t>
            </w: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0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13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62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2,487</w:t>
            </w:r>
          </w:p>
        </w:tc>
        <w:tc>
          <w:tcPr>
            <w:tcW w:w="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68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1,278</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Borders>
              <w:bottom w:val="single" w:sz="8" w:color="auto"/>
            </w:tcBorders>
          </w:tcPr>
          <w:p>
            <w:pPr>
              <w:jc w:val="right"/>
              <w:ind w:right="461"/>
              <w:spacing w:after="0"/>
              <w:rPr>
                <w:sz w:val="20"/>
                <w:szCs w:val="20"/>
                <w:color w:val="auto"/>
              </w:rPr>
            </w:pPr>
            <w:r>
              <w:rPr>
                <w:rFonts w:ascii="Arial" w:cs="Arial" w:eastAsia="Arial" w:hAnsi="Arial"/>
                <w:sz w:val="15"/>
                <w:szCs w:val="15"/>
                <w:b w:val="1"/>
                <w:bCs w:val="1"/>
                <w:color w:val="auto"/>
                <w:w w:val="71"/>
              </w:rPr>
              <w:t>$</w:t>
            </w:r>
          </w:p>
        </w:tc>
        <w:tc>
          <w:tcPr>
            <w:tcW w:w="2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5,001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1380" w:type="dxa"/>
            <w:vAlign w:val="bottom"/>
            <w:vMerge w:val="restart"/>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60" w:type="dxa"/>
            <w:vAlign w:val="bottom"/>
          </w:tcPr>
          <w:p>
            <w:pPr>
              <w:spacing w:after="0"/>
              <w:rPr>
                <w:sz w:val="24"/>
                <w:szCs w:val="24"/>
                <w:color w:val="auto"/>
              </w:rPr>
            </w:pPr>
          </w:p>
        </w:tc>
        <w:tc>
          <w:tcPr>
            <w:tcW w:w="138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33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6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30" w:right="219" w:bottom="1440" w:gutter="0" w:footer="0" w:header="0"/>
        </w:sectPr>
      </w:pPr>
    </w:p>
    <w:bookmarkStart w:id="12" w:name="page13"/>
    <w:bookmarkEnd w:id="12"/>
    <w:p>
      <w:pPr>
        <w:ind w:left="280" w:hanging="272"/>
        <w:spacing w:after="0"/>
        <w:tabs>
          <w:tab w:leader="none" w:pos="2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Fixed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fixed assets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1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39"/>
        </w:trPr>
        <w:tc>
          <w:tcPr>
            <w:tcW w:w="6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0" w:type="dxa"/>
            <w:vAlign w:val="bottom"/>
          </w:tcPr>
          <w:p>
            <w:pPr>
              <w:spacing w:after="0"/>
              <w:rPr>
                <w:sz w:val="1"/>
                <w:szCs w:val="1"/>
                <w:color w:val="auto"/>
              </w:rPr>
            </w:pPr>
          </w:p>
        </w:tc>
      </w:tr>
      <w:tr>
        <w:trPr>
          <w:trHeight w:val="234"/>
        </w:trPr>
        <w:tc>
          <w:tcPr>
            <w:tcW w:w="6100" w:type="dxa"/>
            <w:vAlign w:val="bottom"/>
            <w:tcBorders>
              <w:bottom w:val="single" w:sz="8" w:color="CFF0FC"/>
            </w:tcBorders>
          </w:tcPr>
          <w:p>
            <w:pPr>
              <w:spacing w:after="0"/>
              <w:rPr>
                <w:sz w:val="20"/>
                <w:szCs w:val="20"/>
                <w:color w:val="auto"/>
              </w:rPr>
            </w:pPr>
          </w:p>
        </w:tc>
        <w:tc>
          <w:tcPr>
            <w:tcW w:w="174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Property, plant &amp; equipment</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40,198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37,120</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1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Less: Accumulated depreciation</w:t>
            </w:r>
          </w:p>
        </w:tc>
        <w:tc>
          <w:tcPr>
            <w:tcW w:w="174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26,972</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23,705</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6100" w:type="dxa"/>
            <w:vAlign w:val="bottom"/>
            <w:tcBorders>
              <w:bottom w:val="single" w:sz="8" w:color="CFF0FC"/>
            </w:tcBorders>
            <w:shd w:val="clear" w:color="auto" w:fill="CFF0FC"/>
          </w:tcPr>
          <w:p>
            <w:pPr>
              <w:spacing w:after="0"/>
              <w:rPr>
                <w:sz w:val="19"/>
                <w:szCs w:val="19"/>
                <w:color w:val="auto"/>
              </w:rPr>
            </w:pPr>
          </w:p>
        </w:tc>
        <w:tc>
          <w:tcPr>
            <w:tcW w:w="174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13,226</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13,415</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100" w:type="dxa"/>
            <w:vAlign w:val="bottom"/>
            <w:vMerge w:val="restart"/>
          </w:tcPr>
          <w:p>
            <w:pPr>
              <w:spacing w:after="0"/>
              <w:rPr>
                <w:sz w:val="20"/>
                <w:szCs w:val="20"/>
                <w:color w:val="auto"/>
              </w:rPr>
            </w:pPr>
            <w:r>
              <w:rPr>
                <w:rFonts w:ascii="Arial" w:cs="Arial" w:eastAsia="Arial" w:hAnsi="Arial"/>
                <w:sz w:val="18"/>
                <w:szCs w:val="18"/>
                <w:color w:val="auto"/>
              </w:rPr>
              <w:t>Depreciation expense relating to fixed assets was as follows:</w:t>
            </w:r>
          </w:p>
        </w:tc>
        <w:tc>
          <w:tcPr>
            <w:tcW w:w="17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6100" w:type="dxa"/>
            <w:vAlign w:val="bottom"/>
            <w:vMerge w:val="continue"/>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61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0" w:type="dxa"/>
            <w:vAlign w:val="bottom"/>
          </w:tcPr>
          <w:p>
            <w:pPr>
              <w:spacing w:after="0"/>
              <w:rPr>
                <w:sz w:val="1"/>
                <w:szCs w:val="1"/>
                <w:color w:val="auto"/>
              </w:rPr>
            </w:pPr>
          </w:p>
        </w:tc>
      </w:tr>
      <w:tr>
        <w:trPr>
          <w:trHeight w:val="444"/>
        </w:trPr>
        <w:tc>
          <w:tcPr>
            <w:tcW w:w="6100" w:type="dxa"/>
            <w:vAlign w:val="bottom"/>
            <w:tcBorders>
              <w:bottom w:val="single" w:sz="8" w:color="CFF0FC"/>
            </w:tcBorders>
          </w:tcPr>
          <w:p>
            <w:pPr>
              <w:spacing w:after="0"/>
              <w:rPr>
                <w:sz w:val="24"/>
                <w:szCs w:val="24"/>
                <w:color w:val="auto"/>
              </w:rPr>
            </w:pPr>
          </w:p>
        </w:tc>
        <w:tc>
          <w:tcPr>
            <w:tcW w:w="1740" w:type="dxa"/>
            <w:vAlign w:val="bottom"/>
            <w:tcBorders>
              <w:bottom w:val="single" w:sz="8" w:color="CFF0FC"/>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10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174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744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819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100" w:type="dxa"/>
            <w:vAlign w:val="bottom"/>
          </w:tcPr>
          <w:p>
            <w:pPr>
              <w:spacing w:after="0"/>
              <w:rPr>
                <w:sz w:val="20"/>
                <w:szCs w:val="20"/>
                <w:color w:val="auto"/>
              </w:rPr>
            </w:pPr>
            <w:r>
              <w:rPr>
                <w:rFonts w:ascii="Arial" w:cs="Arial" w:eastAsia="Arial" w:hAnsi="Arial"/>
                <w:sz w:val="18"/>
                <w:szCs w:val="18"/>
                <w:color w:val="auto"/>
              </w:rPr>
              <w:t>Six Months</w:t>
            </w:r>
          </w:p>
        </w:tc>
        <w:tc>
          <w:tcPr>
            <w:tcW w:w="17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1,426</w:t>
            </w:r>
          </w:p>
        </w:tc>
        <w:tc>
          <w:tcPr>
            <w:tcW w:w="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1,646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41" w:lineRule="exact"/>
        <w:rPr>
          <w:sz w:val="20"/>
          <w:szCs w:val="20"/>
          <w:color w:val="auto"/>
        </w:rPr>
      </w:pPr>
    </w:p>
    <w:p>
      <w:pPr>
        <w:ind w:left="280" w:hanging="272"/>
        <w:spacing w:after="0"/>
        <w:tabs>
          <w:tab w:leader="none" w:pos="2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Multiclient Seismic Data</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 in the carrying amount of multiclient seismic data for the six months ended June 30, 2016 was as follows:</w:t>
      </w:r>
    </w:p>
    <w:p>
      <w:pPr>
        <w:spacing w:after="0" w:line="234" w:lineRule="exact"/>
        <w:rPr>
          <w:sz w:val="20"/>
          <w:szCs w:val="20"/>
          <w:color w:val="auto"/>
        </w:rPr>
      </w:pPr>
    </w:p>
    <w:p>
      <w:pPr>
        <w:ind w:left="10180"/>
        <w:spacing w:after="0"/>
        <w:rPr>
          <w:sz w:val="20"/>
          <w:szCs w:val="20"/>
          <w:color w:val="auto"/>
        </w:rPr>
      </w:pPr>
      <w:r>
        <w:rPr>
          <w:rFonts w:ascii="Arial" w:cs="Arial" w:eastAsia="Arial" w:hAnsi="Arial"/>
          <w:sz w:val="14"/>
          <w:szCs w:val="14"/>
          <w:i w:val="1"/>
          <w:iCs w:val="1"/>
          <w:color w:val="auto"/>
        </w:rPr>
        <w:t>(Stated in millions)</w:t>
      </w:r>
    </w:p>
    <w:p>
      <w:pPr>
        <w:sectPr>
          <w:pgSz w:w="11900" w:h="16838" w:orient="portrait"/>
          <w:cols w:equalWidth="0" w:num="1">
            <w:col w:w="11440"/>
          </w:cols>
          <w:pgMar w:left="240" w:top="121" w:right="219" w:bottom="1440" w:gutter="0" w:footer="0" w:header="0"/>
        </w:sect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Balance at December 31,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Capitalized in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454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4541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Charged to expense</w:t>
      </w:r>
    </w:p>
    <w:p>
      <w:pPr>
        <w:spacing w:after="0" w:line="22" w:lineRule="exact"/>
        <w:rPr>
          <w:sz w:val="20"/>
          <w:szCs w:val="20"/>
          <w:color w:val="auto"/>
        </w:rPr>
      </w:pPr>
    </w:p>
    <w:p>
      <w:pPr>
        <w:spacing w:after="0"/>
        <w:rPr>
          <w:sz w:val="20"/>
          <w:szCs w:val="20"/>
          <w:color w:val="auto"/>
        </w:rPr>
      </w:pPr>
      <w:r>
        <w:rPr>
          <w:rFonts w:ascii="Arial" w:cs="Arial" w:eastAsia="Arial" w:hAnsi="Arial"/>
          <w:sz w:val="18"/>
          <w:szCs w:val="18"/>
          <w:color w:val="auto"/>
        </w:rPr>
        <w:t>Impairment charge (see Note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246620" cy="1625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62560"/>
                    </a:xfrm>
                    <a:prstGeom prst="rect">
                      <a:avLst/>
                    </a:prstGeom>
                    <a:noFill/>
                  </pic:spPr>
                </pic:pic>
              </a:graphicData>
            </a:graphic>
          </wp:anchor>
        </w:drawing>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Balance at June 30, 2016</w:t>
      </w:r>
    </w:p>
    <w:p>
      <w:pPr>
        <w:spacing w:after="0" w:line="383" w:lineRule="exact"/>
        <w:rPr>
          <w:sz w:val="20"/>
          <w:szCs w:val="20"/>
          <w:color w:val="auto"/>
        </w:rPr>
      </w:pPr>
    </w:p>
    <w:p>
      <w:pPr>
        <w:ind w:left="280" w:hanging="272"/>
        <w:spacing w:after="0"/>
        <w:tabs>
          <w:tab w:leader="none" w:pos="28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Goodwill</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The changes in the carrying amount of goodwill by reporting unit for the six months ended June 30, 2016 were as follows: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ind w:left="960" w:hanging="957"/>
        <w:spacing w:after="0"/>
        <w:tabs>
          <w:tab w:leader="none" w:pos="9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1,026</w:t>
      </w:r>
    </w:p>
    <w:p>
      <w:pPr>
        <w:spacing w:after="0" w:line="23" w:lineRule="exact"/>
        <w:rPr>
          <w:rFonts w:ascii="Arial" w:cs="Arial" w:eastAsia="Arial" w:hAnsi="Arial"/>
          <w:sz w:val="18"/>
          <w:szCs w:val="18"/>
          <w:color w:val="auto"/>
        </w:rPr>
      </w:pPr>
    </w:p>
    <w:p>
      <w:pPr>
        <w:ind w:left="1100"/>
        <w:spacing w:after="0"/>
        <w:rPr>
          <w:rFonts w:ascii="Arial" w:cs="Arial" w:eastAsia="Arial" w:hAnsi="Arial"/>
          <w:sz w:val="18"/>
          <w:szCs w:val="18"/>
          <w:color w:val="auto"/>
        </w:rPr>
      </w:pPr>
      <w:r>
        <w:rPr>
          <w:rFonts w:ascii="Arial" w:cs="Arial" w:eastAsia="Arial" w:hAnsi="Arial"/>
          <w:sz w:val="18"/>
          <w:szCs w:val="18"/>
          <w:color w:val="auto"/>
        </w:rPr>
        <w:t>333</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(185)</w:t>
      </w:r>
    </w:p>
    <w:p>
      <w:pPr>
        <w:spacing w:after="0" w:line="22"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(198)</w:t>
      </w:r>
    </w:p>
    <w:p>
      <w:pPr>
        <w:spacing w:after="0" w:line="35" w:lineRule="exact"/>
        <w:rPr>
          <w:sz w:val="20"/>
          <w:szCs w:val="20"/>
          <w:color w:val="auto"/>
        </w:rPr>
      </w:pPr>
    </w:p>
    <w:p>
      <w:pPr>
        <w:ind w:left="1100" w:hanging="1097"/>
        <w:spacing w:after="0"/>
        <w:tabs>
          <w:tab w:leader="none" w:pos="11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976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31750</wp:posOffset>
            </wp:positionV>
            <wp:extent cx="8737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73760" cy="8255"/>
                    </a:xfrm>
                    <a:prstGeom prst="rect">
                      <a:avLst/>
                    </a:prstGeom>
                    <a:noFill/>
                  </pic:spPr>
                </pic:pic>
              </a:graphicData>
            </a:graphic>
          </wp:anchor>
        </w:drawing>
      </w:r>
    </w:p>
    <w:p>
      <w:pPr>
        <w:spacing w:after="0" w:line="1094" w:lineRule="exact"/>
        <w:rPr>
          <w:sz w:val="20"/>
          <w:szCs w:val="20"/>
          <w:color w:val="auto"/>
        </w:rPr>
      </w:pPr>
    </w:p>
    <w:p>
      <w:pPr>
        <w:sectPr>
          <w:pgSz w:w="11900" w:h="16838" w:orient="portrait"/>
          <w:cols w:equalWidth="0" w:num="2">
            <w:col w:w="9200" w:space="720"/>
            <w:col w:w="1520"/>
          </w:cols>
          <w:pgMar w:left="240" w:top="121" w:right="219" w:bottom="1440" w:gutter="0" w:footer="0" w:header="0"/>
          <w:type w:val="continuous"/>
        </w:sectPr>
      </w:pP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60" w:type="dxa"/>
            <w:vAlign w:val="bottom"/>
            <w:gridSpan w:val="4"/>
          </w:tcPr>
          <w:p>
            <w:pPr>
              <w:ind w:left="14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43"/>
        </w:trPr>
        <w:tc>
          <w:tcPr>
            <w:tcW w:w="3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gridSpan w:val="2"/>
          </w:tcPr>
          <w:p>
            <w:pPr>
              <w:ind w:left="80"/>
              <w:spacing w:after="0"/>
              <w:rPr>
                <w:sz w:val="20"/>
                <w:szCs w:val="20"/>
                <w:color w:val="auto"/>
              </w:rPr>
            </w:pPr>
            <w:r>
              <w:rPr>
                <w:rFonts w:ascii="Arial" w:cs="Arial" w:eastAsia="Arial" w:hAnsi="Arial"/>
                <w:sz w:val="18"/>
                <w:szCs w:val="18"/>
                <w:color w:val="auto"/>
              </w:rPr>
              <w:t>Reservoir</w:t>
            </w: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3860" w:type="dxa"/>
            <w:vAlign w:val="bottom"/>
          </w:tcPr>
          <w:p>
            <w:pPr>
              <w:spacing w:after="0"/>
              <w:rPr>
                <w:sz w:val="20"/>
                <w:szCs w:val="20"/>
                <w:color w:val="auto"/>
              </w:rPr>
            </w:pPr>
          </w:p>
        </w:tc>
        <w:tc>
          <w:tcPr>
            <w:tcW w:w="2660" w:type="dxa"/>
            <w:vAlign w:val="bottom"/>
            <w:gridSpan w:val="4"/>
          </w:tcPr>
          <w:p>
            <w:pPr>
              <w:ind w:left="1240"/>
              <w:spacing w:after="0"/>
              <w:rPr>
                <w:sz w:val="20"/>
                <w:szCs w:val="20"/>
                <w:color w:val="auto"/>
              </w:rPr>
            </w:pPr>
            <w:r>
              <w:rPr>
                <w:rFonts w:ascii="Arial" w:cs="Arial" w:eastAsia="Arial" w:hAnsi="Arial"/>
                <w:sz w:val="18"/>
                <w:szCs w:val="18"/>
                <w:color w:val="auto"/>
              </w:rPr>
              <w:t>Characterization</w:t>
            </w:r>
          </w:p>
        </w:tc>
        <w:tc>
          <w:tcPr>
            <w:tcW w:w="160" w:type="dxa"/>
            <w:vAlign w:val="bottom"/>
          </w:tcPr>
          <w:p>
            <w:pPr>
              <w:spacing w:after="0"/>
              <w:rPr>
                <w:sz w:val="20"/>
                <w:szCs w:val="20"/>
                <w:color w:val="auto"/>
              </w:rPr>
            </w:pPr>
          </w:p>
        </w:tc>
        <w:tc>
          <w:tcPr>
            <w:tcW w:w="1100" w:type="dxa"/>
            <w:vAlign w:val="bottom"/>
            <w:gridSpan w:val="2"/>
          </w:tcPr>
          <w:p>
            <w:pPr>
              <w:ind w:left="60"/>
              <w:spacing w:after="0"/>
              <w:rPr>
                <w:sz w:val="20"/>
                <w:szCs w:val="20"/>
                <w:color w:val="auto"/>
              </w:rPr>
            </w:pPr>
            <w:r>
              <w:rPr>
                <w:rFonts w:ascii="Arial" w:cs="Arial" w:eastAsia="Arial" w:hAnsi="Arial"/>
                <w:sz w:val="18"/>
                <w:szCs w:val="18"/>
                <w:color w:val="auto"/>
              </w:rPr>
              <w:t>Drilling</w:t>
            </w:r>
          </w:p>
        </w:tc>
        <w:tc>
          <w:tcPr>
            <w:tcW w:w="100" w:type="dxa"/>
            <w:vAlign w:val="bottom"/>
          </w:tcPr>
          <w:p>
            <w:pPr>
              <w:spacing w:after="0"/>
              <w:rPr>
                <w:sz w:val="20"/>
                <w:szCs w:val="20"/>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w w:val="90"/>
              </w:rPr>
              <w:t>Production</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0"/>
              <w:spacing w:after="0"/>
              <w:rPr>
                <w:sz w:val="20"/>
                <w:szCs w:val="20"/>
                <w:color w:val="auto"/>
              </w:rPr>
            </w:pPr>
            <w:r>
              <w:rPr>
                <w:rFonts w:ascii="Arial" w:cs="Arial" w:eastAsia="Arial" w:hAnsi="Arial"/>
                <w:sz w:val="18"/>
                <w:szCs w:val="18"/>
                <w:color w:val="auto"/>
                <w:w w:val="91"/>
              </w:rPr>
              <w:t>Cameron</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Total</w:t>
            </w:r>
          </w:p>
        </w:tc>
        <w:tc>
          <w:tcPr>
            <w:tcW w:w="20" w:type="dxa"/>
            <w:vAlign w:val="bottom"/>
          </w:tcPr>
          <w:p>
            <w:pPr>
              <w:spacing w:after="0"/>
              <w:rPr>
                <w:sz w:val="20"/>
                <w:szCs w:val="20"/>
                <w:color w:val="auto"/>
              </w:rPr>
            </w:pPr>
          </w:p>
        </w:tc>
      </w:tr>
      <w:tr>
        <w:trPr>
          <w:trHeight w:val="223"/>
        </w:trPr>
        <w:tc>
          <w:tcPr>
            <w:tcW w:w="38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December 31, 2015</w:t>
            </w:r>
          </w:p>
        </w:tc>
        <w:tc>
          <w:tcPr>
            <w:tcW w:w="12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3,798</w:t>
            </w:r>
          </w:p>
        </w:tc>
        <w:tc>
          <w:tcPr>
            <w:tcW w:w="22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8,584</w:t>
            </w:r>
          </w:p>
        </w:tc>
        <w:tc>
          <w:tcPr>
            <w:tcW w:w="2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3,223</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15,605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60" w:type="dxa"/>
            <w:vAlign w:val="bottom"/>
          </w:tcPr>
          <w:p>
            <w:pPr>
              <w:spacing w:after="0"/>
              <w:rPr>
                <w:sz w:val="20"/>
                <w:szCs w:val="20"/>
                <w:color w:val="auto"/>
              </w:rPr>
            </w:pPr>
            <w:r>
              <w:rPr>
                <w:rFonts w:ascii="Arial" w:cs="Arial" w:eastAsia="Arial" w:hAnsi="Arial"/>
                <w:sz w:val="18"/>
                <w:szCs w:val="18"/>
                <w:color w:val="auto"/>
              </w:rPr>
              <w:t>Acquisition of Cameron</w:t>
            </w:r>
          </w:p>
        </w:tc>
        <w:tc>
          <w:tcPr>
            <w:tcW w:w="1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1,490</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1,170</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8,837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60" w:type="dxa"/>
            <w:vAlign w:val="bottom"/>
            <w:shd w:val="clear" w:color="auto" w:fill="CFF0FC"/>
          </w:tcPr>
          <w:p>
            <w:pPr>
              <w:spacing w:after="0"/>
              <w:rPr>
                <w:sz w:val="20"/>
                <w:szCs w:val="20"/>
                <w:color w:val="auto"/>
              </w:rPr>
            </w:pPr>
            <w:r>
              <w:rPr>
                <w:rFonts w:ascii="Arial" w:cs="Arial" w:eastAsia="Arial" w:hAnsi="Arial"/>
                <w:sz w:val="18"/>
                <w:szCs w:val="18"/>
                <w:color w:val="auto"/>
              </w:rPr>
              <w:t>Other acquisitions</w:t>
            </w:r>
          </w:p>
        </w:tc>
        <w:tc>
          <w:tcPr>
            <w:tcW w:w="1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38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Impact of changes in exchange rates</w:t>
            </w:r>
          </w:p>
        </w:tc>
        <w:tc>
          <w:tcPr>
            <w:tcW w:w="124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22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386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Balance at June 30, 2016</w:t>
            </w:r>
          </w:p>
        </w:tc>
        <w:tc>
          <w:tcPr>
            <w:tcW w:w="124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4,601</w:t>
            </w:r>
          </w:p>
        </w:tc>
        <w:tc>
          <w:tcPr>
            <w:tcW w:w="22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10,105</w:t>
            </w:r>
          </w:p>
        </w:tc>
        <w:tc>
          <w:tcPr>
            <w:tcW w:w="24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4,510</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5,387</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24,603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38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49"/>
        </w:trPr>
        <w:tc>
          <w:tcPr>
            <w:tcW w:w="38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13</w:t>
            </w: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38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type w:val="continuous"/>
        </w:sectPr>
      </w:pPr>
    </w:p>
    <w:bookmarkStart w:id="13" w:name="page14"/>
    <w:bookmarkEnd w:id="13"/>
    <w:p>
      <w:pPr>
        <w:ind w:left="280" w:hanging="272"/>
        <w:spacing w:after="0"/>
        <w:tabs>
          <w:tab w:leader="none" w:pos="28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gross book value, accumulated amortization and net book value of intangible assets were as follows:</w:t>
      </w:r>
    </w:p>
    <w:p>
      <w:pPr>
        <w:spacing w:after="0" w:line="301" w:lineRule="exact"/>
        <w:rPr>
          <w:sz w:val="20"/>
          <w:szCs w:val="20"/>
          <w:color w:val="auto"/>
        </w:rPr>
      </w:pPr>
    </w:p>
    <w:tbl>
      <w:tblPr>
        <w:tblLayout w:type="fixed"/>
        <w:tblInd w:w="3300" w:type="dxa"/>
        <w:tblCellMar>
          <w:top w:w="0" w:type="dxa"/>
          <w:left w:w="0" w:type="dxa"/>
          <w:bottom w:w="0" w:type="dxa"/>
          <w:right w:w="0" w:type="dxa"/>
        </w:tblCellMar>
      </w:tblPr>
      <w:tr>
        <w:trPr>
          <w:trHeight w:val="182"/>
        </w:trPr>
        <w:tc>
          <w:tcPr>
            <w:tcW w:w="12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i w:val="1"/>
                <w:iCs w:val="1"/>
                <w:color w:val="auto"/>
                <w:w w:val="95"/>
              </w:rPr>
              <w:t>(Stated in millions)</w:t>
            </w:r>
          </w:p>
        </w:tc>
      </w:tr>
      <w:tr>
        <w:trPr>
          <w:trHeight w:val="441"/>
        </w:trPr>
        <w:tc>
          <w:tcPr>
            <w:tcW w:w="120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ind w:left="260"/>
              <w:spacing w:after="0"/>
              <w:rPr>
                <w:sz w:val="20"/>
                <w:szCs w:val="20"/>
                <w:color w:val="auto"/>
              </w:rPr>
            </w:pPr>
            <w:r>
              <w:rPr>
                <w:rFonts w:ascii="Arial" w:cs="Arial" w:eastAsia="Arial" w:hAnsi="Arial"/>
                <w:sz w:val="16"/>
                <w:szCs w:val="16"/>
                <w:b w:val="1"/>
                <w:bCs w:val="1"/>
                <w:color w:val="auto"/>
              </w:rPr>
              <w:t>Jun. 30, 2016</w:t>
            </w:r>
          </w:p>
        </w:tc>
        <w:tc>
          <w:tcPr>
            <w:tcW w:w="11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ind w:left="260"/>
              <w:spacing w:after="0"/>
              <w:rPr>
                <w:sz w:val="20"/>
                <w:szCs w:val="20"/>
                <w:color w:val="auto"/>
              </w:rPr>
            </w:pPr>
            <w:r>
              <w:rPr>
                <w:rFonts w:ascii="Arial" w:cs="Arial" w:eastAsia="Arial" w:hAnsi="Arial"/>
                <w:sz w:val="16"/>
                <w:szCs w:val="16"/>
                <w:color w:val="auto"/>
              </w:rPr>
              <w:t>Dec. 31, 2015</w:t>
            </w:r>
          </w:p>
        </w:tc>
        <w:tc>
          <w:tcPr>
            <w:tcW w:w="1320" w:type="dxa"/>
            <w:vAlign w:val="bottom"/>
            <w:tcBorders>
              <w:bottom w:val="single" w:sz="8" w:color="auto"/>
            </w:tcBorders>
          </w:tcPr>
          <w:p>
            <w:pPr>
              <w:spacing w:after="0"/>
              <w:rPr>
                <w:sz w:val="24"/>
                <w:szCs w:val="24"/>
                <w:color w:val="auto"/>
              </w:rPr>
            </w:pPr>
          </w:p>
        </w:tc>
      </w:tr>
      <w:tr>
        <w:trPr>
          <w:trHeight w:val="207"/>
        </w:trPr>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86"/>
              </w:rPr>
              <w:t>Gross</w:t>
            </w:r>
          </w:p>
        </w:tc>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Accumulated</w:t>
            </w:r>
          </w:p>
        </w:tc>
        <w:tc>
          <w:tcPr>
            <w:tcW w:w="1180" w:type="dxa"/>
            <w:vAlign w:val="bottom"/>
          </w:tcPr>
          <w:p>
            <w:pPr>
              <w:jc w:val="center"/>
              <w:spacing w:after="0"/>
              <w:rPr>
                <w:sz w:val="20"/>
                <w:szCs w:val="20"/>
                <w:color w:val="auto"/>
              </w:rPr>
            </w:pPr>
            <w:r>
              <w:rPr>
                <w:rFonts w:ascii="Arial" w:cs="Arial" w:eastAsia="Arial" w:hAnsi="Arial"/>
                <w:sz w:val="16"/>
                <w:szCs w:val="16"/>
                <w:b w:val="1"/>
                <w:bCs w:val="1"/>
                <w:color w:val="auto"/>
                <w:w w:val="91"/>
              </w:rPr>
              <w:t>Net Book</w:t>
            </w:r>
          </w:p>
        </w:tc>
        <w:tc>
          <w:tcPr>
            <w:tcW w:w="220" w:type="dxa"/>
            <w:vAlign w:val="bottom"/>
          </w:tcPr>
          <w:p>
            <w:pPr>
              <w:spacing w:after="0"/>
              <w:rPr>
                <w:sz w:val="17"/>
                <w:szCs w:val="17"/>
                <w:color w:val="auto"/>
              </w:rPr>
            </w:pPr>
          </w:p>
        </w:tc>
        <w:tc>
          <w:tcPr>
            <w:tcW w:w="1240" w:type="dxa"/>
            <w:vAlign w:val="bottom"/>
          </w:tcPr>
          <w:p>
            <w:pPr>
              <w:jc w:val="center"/>
              <w:ind w:right="19"/>
              <w:spacing w:after="0"/>
              <w:rPr>
                <w:sz w:val="20"/>
                <w:szCs w:val="20"/>
                <w:color w:val="auto"/>
              </w:rPr>
            </w:pPr>
            <w:r>
              <w:rPr>
                <w:rFonts w:ascii="Arial" w:cs="Arial" w:eastAsia="Arial" w:hAnsi="Arial"/>
                <w:sz w:val="16"/>
                <w:szCs w:val="16"/>
                <w:color w:val="auto"/>
                <w:w w:val="88"/>
              </w:rPr>
              <w:t>Gross</w:t>
            </w:r>
          </w:p>
        </w:tc>
        <w:tc>
          <w:tcPr>
            <w:tcW w:w="1380" w:type="dxa"/>
            <w:vAlign w:val="bottom"/>
          </w:tcPr>
          <w:p>
            <w:pPr>
              <w:ind w:left="280"/>
              <w:spacing w:after="0"/>
              <w:rPr>
                <w:sz w:val="20"/>
                <w:szCs w:val="20"/>
                <w:color w:val="auto"/>
              </w:rPr>
            </w:pPr>
            <w:r>
              <w:rPr>
                <w:rFonts w:ascii="Arial" w:cs="Arial" w:eastAsia="Arial" w:hAnsi="Arial"/>
                <w:sz w:val="16"/>
                <w:szCs w:val="16"/>
                <w:color w:val="auto"/>
              </w:rPr>
              <w:t>Accumulated</w:t>
            </w:r>
          </w:p>
        </w:tc>
        <w:tc>
          <w:tcPr>
            <w:tcW w:w="1320" w:type="dxa"/>
            <w:vAlign w:val="bottom"/>
          </w:tcPr>
          <w:p>
            <w:pPr>
              <w:jc w:val="center"/>
              <w:ind w:left="42"/>
              <w:spacing w:after="0"/>
              <w:rPr>
                <w:sz w:val="20"/>
                <w:szCs w:val="20"/>
                <w:color w:val="auto"/>
              </w:rPr>
            </w:pPr>
            <w:r>
              <w:rPr>
                <w:rFonts w:ascii="Arial" w:cs="Arial" w:eastAsia="Arial" w:hAnsi="Arial"/>
                <w:sz w:val="16"/>
                <w:szCs w:val="16"/>
                <w:color w:val="auto"/>
                <w:w w:val="97"/>
              </w:rPr>
              <w:t>Net Book</w:t>
            </w:r>
          </w:p>
        </w:tc>
      </w:tr>
      <w:tr>
        <w:trPr>
          <w:trHeight w:val="242"/>
        </w:trPr>
        <w:tc>
          <w:tcPr>
            <w:tcW w:w="1200" w:type="dxa"/>
            <w:vAlign w:val="bottom"/>
          </w:tcPr>
          <w:p>
            <w:pPr>
              <w:jc w:val="center"/>
              <w:spacing w:after="0"/>
              <w:rPr>
                <w:sz w:val="20"/>
                <w:szCs w:val="20"/>
                <w:color w:val="auto"/>
              </w:rPr>
            </w:pPr>
            <w:r>
              <w:rPr>
                <w:rFonts w:ascii="Arial" w:cs="Arial" w:eastAsia="Arial" w:hAnsi="Arial"/>
                <w:sz w:val="16"/>
                <w:szCs w:val="16"/>
                <w:b w:val="1"/>
                <w:bCs w:val="1"/>
                <w:color w:val="auto"/>
                <w:w w:val="91"/>
              </w:rPr>
              <w:t>Book Value</w:t>
            </w:r>
          </w:p>
        </w:tc>
        <w:tc>
          <w:tcPr>
            <w:tcW w:w="1480" w:type="dxa"/>
            <w:vAlign w:val="bottom"/>
          </w:tcPr>
          <w:p>
            <w:pPr>
              <w:ind w:left="260"/>
              <w:spacing w:after="0"/>
              <w:rPr>
                <w:sz w:val="20"/>
                <w:szCs w:val="20"/>
                <w:color w:val="auto"/>
              </w:rPr>
            </w:pPr>
            <w:r>
              <w:rPr>
                <w:rFonts w:ascii="Arial" w:cs="Arial" w:eastAsia="Arial" w:hAnsi="Arial"/>
                <w:sz w:val="16"/>
                <w:szCs w:val="16"/>
                <w:b w:val="1"/>
                <w:bCs w:val="1"/>
                <w:color w:val="auto"/>
              </w:rPr>
              <w:t>Amortization</w:t>
            </w:r>
          </w:p>
        </w:tc>
        <w:tc>
          <w:tcPr>
            <w:tcW w:w="140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3"/>
              </w:rPr>
              <w:t>Value</w:t>
            </w: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Book Value</w:t>
            </w:r>
          </w:p>
        </w:tc>
        <w:tc>
          <w:tcPr>
            <w:tcW w:w="1380" w:type="dxa"/>
            <w:vAlign w:val="bottom"/>
          </w:tcPr>
          <w:p>
            <w:pPr>
              <w:ind w:left="280"/>
              <w:spacing w:after="0"/>
              <w:rPr>
                <w:sz w:val="20"/>
                <w:szCs w:val="20"/>
                <w:color w:val="auto"/>
              </w:rPr>
            </w:pPr>
            <w:r>
              <w:rPr>
                <w:rFonts w:ascii="Arial" w:cs="Arial" w:eastAsia="Arial" w:hAnsi="Arial"/>
                <w:sz w:val="16"/>
                <w:szCs w:val="16"/>
                <w:color w:val="auto"/>
              </w:rPr>
              <w:t>Amortization</w:t>
            </w:r>
          </w:p>
        </w:tc>
        <w:tc>
          <w:tcPr>
            <w:tcW w:w="1320" w:type="dxa"/>
            <w:vAlign w:val="bottom"/>
          </w:tcPr>
          <w:p>
            <w:pPr>
              <w:jc w:val="center"/>
              <w:ind w:left="42"/>
              <w:spacing w:after="0"/>
              <w:rPr>
                <w:sz w:val="20"/>
                <w:szCs w:val="20"/>
                <w:color w:val="auto"/>
              </w:rPr>
            </w:pPr>
            <w:r>
              <w:rPr>
                <w:rFonts w:ascii="Arial" w:cs="Arial" w:eastAsia="Arial" w:hAnsi="Arial"/>
                <w:sz w:val="16"/>
                <w:szCs w:val="16"/>
                <w:color w:val="auto"/>
                <w:w w:val="87"/>
              </w:rPr>
              <w:t>Value</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3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Customer relationships</w:t>
            </w: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4,881</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747</w:t>
            </w:r>
          </w:p>
        </w:tc>
        <w:tc>
          <w:tcPr>
            <w:tcW w:w="220" w:type="dxa"/>
            <w:vAlign w:val="bottom"/>
            <w:tcBorders>
              <w:top w:val="single" w:sz="8" w:color="CFF0FC"/>
            </w:tcBorders>
            <w:shd w:val="clear" w:color="auto" w:fill="CFF0FC"/>
          </w:tcPr>
          <w:p>
            <w:pPr>
              <w:spacing w:after="0"/>
              <w:rPr>
                <w:sz w:val="19"/>
                <w:szCs w:val="19"/>
                <w:color w:val="auto"/>
              </w:rPr>
            </w:pPr>
          </w:p>
        </w:tc>
        <w:tc>
          <w:tcPr>
            <w:tcW w:w="400" w:type="dxa"/>
            <w:vAlign w:val="bottom"/>
            <w:tcBorders>
              <w:top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4,134</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2,489</w:t>
            </w:r>
          </w:p>
        </w:tc>
        <w:tc>
          <w:tcPr>
            <w:tcW w:w="22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645</w:t>
            </w:r>
          </w:p>
        </w:tc>
        <w:tc>
          <w:tcPr>
            <w:tcW w:w="240" w:type="dxa"/>
            <w:vAlign w:val="bottom"/>
            <w:tcBorders>
              <w:top w:val="single" w:sz="8" w:color="CFF0FC"/>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1,844</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3300" w:type="dxa"/>
            <w:vAlign w:val="bottom"/>
          </w:tcPr>
          <w:p>
            <w:pPr>
              <w:spacing w:after="0"/>
              <w:rPr>
                <w:sz w:val="20"/>
                <w:szCs w:val="20"/>
                <w:color w:val="auto"/>
              </w:rPr>
            </w:pPr>
            <w:r>
              <w:rPr>
                <w:rFonts w:ascii="Arial" w:cs="Arial" w:eastAsia="Arial" w:hAnsi="Arial"/>
                <w:sz w:val="18"/>
                <w:szCs w:val="18"/>
                <w:color w:val="auto"/>
              </w:rPr>
              <w:t>Technology/technical know-how</w:t>
            </w:r>
          </w:p>
        </w:tc>
        <w:tc>
          <w:tcPr>
            <w:tcW w:w="36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3,599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716</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b w:val="1"/>
                <w:bCs w:val="1"/>
                <w:color w:val="auto"/>
              </w:rPr>
              <w:t>2,883</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1,864</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653</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1,211</w:t>
            </w:r>
          </w:p>
        </w:tc>
        <w:tc>
          <w:tcPr>
            <w:tcW w:w="100" w:type="dxa"/>
            <w:vAlign w:val="bottom"/>
          </w:tcPr>
          <w:p>
            <w:pPr>
              <w:spacing w:after="0"/>
              <w:rPr>
                <w:sz w:val="19"/>
                <w:szCs w:val="19"/>
                <w:color w:val="auto"/>
              </w:rPr>
            </w:pPr>
          </w:p>
        </w:tc>
      </w:tr>
      <w:tr>
        <w:trPr>
          <w:trHeight w:val="229"/>
        </w:trPr>
        <w:tc>
          <w:tcPr>
            <w:tcW w:w="3300" w:type="dxa"/>
            <w:vAlign w:val="bottom"/>
            <w:shd w:val="clear" w:color="auto" w:fill="CFF0FC"/>
          </w:tcPr>
          <w:p>
            <w:pPr>
              <w:spacing w:after="0"/>
              <w:rPr>
                <w:sz w:val="20"/>
                <w:szCs w:val="20"/>
                <w:color w:val="auto"/>
              </w:rPr>
            </w:pPr>
            <w:r>
              <w:rPr>
                <w:rFonts w:ascii="Arial" w:cs="Arial" w:eastAsia="Arial" w:hAnsi="Arial"/>
                <w:sz w:val="18"/>
                <w:szCs w:val="18"/>
                <w:color w:val="auto"/>
              </w:rPr>
              <w:t>Tradenames</w:t>
            </w:r>
          </w:p>
        </w:tc>
        <w:tc>
          <w:tcPr>
            <w:tcW w:w="36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2,848</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406</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2,442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367</w:t>
            </w:r>
          </w:p>
        </w:tc>
        <w:tc>
          <w:tcPr>
            <w:tcW w:w="24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1,258</w:t>
            </w:r>
          </w:p>
        </w:tc>
        <w:tc>
          <w:tcPr>
            <w:tcW w:w="100" w:type="dxa"/>
            <w:vAlign w:val="bottom"/>
            <w:shd w:val="clear" w:color="auto" w:fill="CFF0FC"/>
          </w:tcPr>
          <w:p>
            <w:pPr>
              <w:spacing w:after="0"/>
              <w:rPr>
                <w:sz w:val="19"/>
                <w:szCs w:val="19"/>
                <w:color w:val="auto"/>
              </w:rPr>
            </w:pPr>
          </w:p>
        </w:tc>
      </w:tr>
      <w:tr>
        <w:trPr>
          <w:trHeight w:val="229"/>
        </w:trPr>
        <w:tc>
          <w:tcPr>
            <w:tcW w:w="33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1,008</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546</w:t>
            </w:r>
          </w:p>
        </w:tc>
        <w:tc>
          <w:tcPr>
            <w:tcW w:w="220" w:type="dxa"/>
            <w:vAlign w:val="bottom"/>
            <w:tcBorders>
              <w:bottom w:val="single" w:sz="8" w:color="CFF0FC"/>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462</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w:t>
            </w:r>
          </w:p>
        </w:tc>
        <w:tc>
          <w:tcPr>
            <w:tcW w:w="22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257</w:t>
            </w:r>
          </w:p>
        </w:tc>
        <w:tc>
          <w:tcPr>
            <w:tcW w:w="240" w:type="dxa"/>
            <w:vAlign w:val="bottom"/>
            <w:tcBorders>
              <w:bottom w:val="single" w:sz="8" w:color="CFF0FC"/>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Borders>
              <w:bottom w:val="single" w:sz="8" w:color="CFF0FC"/>
            </w:tcBorders>
          </w:tcPr>
          <w:p>
            <w:pPr>
              <w:spacing w:after="0"/>
              <w:rPr>
                <w:sz w:val="19"/>
                <w:szCs w:val="19"/>
                <w:color w:val="auto"/>
              </w:rPr>
            </w:pPr>
          </w:p>
        </w:tc>
      </w:tr>
      <w:tr>
        <w:trPr>
          <w:trHeight w:val="223"/>
        </w:trPr>
        <w:tc>
          <w:tcPr>
            <w:tcW w:w="330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12,336</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2,415</w:t>
            </w:r>
          </w:p>
        </w:tc>
        <w:tc>
          <w:tcPr>
            <w:tcW w:w="220" w:type="dxa"/>
            <w:vAlign w:val="bottom"/>
            <w:tcBorders>
              <w:bottom w:val="single" w:sz="8" w:color="CFF0FC"/>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jc w:val="right"/>
              <w:ind w:right="210"/>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9,921</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6,491</w:t>
            </w:r>
          </w:p>
        </w:tc>
        <w:tc>
          <w:tcPr>
            <w:tcW w:w="22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1,922</w:t>
            </w:r>
          </w:p>
        </w:tc>
        <w:tc>
          <w:tcPr>
            <w:tcW w:w="240" w:type="dxa"/>
            <w:vAlign w:val="bottom"/>
            <w:tcBorders>
              <w:bottom w:val="single" w:sz="8" w:color="CFF0FC"/>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ind w:right="267"/>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33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charged to income was as follows:</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33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r>
      <w:tr>
        <w:trPr>
          <w:trHeight w:val="371"/>
        </w:trPr>
        <w:tc>
          <w:tcPr>
            <w:tcW w:w="4480" w:type="dxa"/>
            <w:vAlign w:val="bottom"/>
            <w:tcBorders>
              <w:bottom w:val="single" w:sz="8" w:color="CFF0FC"/>
            </w:tcBorders>
          </w:tcPr>
          <w:p>
            <w:pPr>
              <w:spacing w:after="0"/>
              <w:rPr>
                <w:sz w:val="24"/>
                <w:szCs w:val="24"/>
                <w:color w:val="auto"/>
              </w:rPr>
            </w:pPr>
          </w:p>
        </w:tc>
        <w:tc>
          <w:tcPr>
            <w:tcW w:w="3360" w:type="dxa"/>
            <w:vAlign w:val="bottom"/>
            <w:tcBorders>
              <w:bottom w:val="single" w:sz="8" w:color="CFF0FC"/>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76"/>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CFF0FC"/>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jc w:val="right"/>
              <w:ind w:right="599"/>
              <w:spacing w:after="0"/>
              <w:rPr>
                <w:sz w:val="20"/>
                <w:szCs w:val="20"/>
                <w:color w:val="auto"/>
              </w:rPr>
            </w:pPr>
            <w:r>
              <w:rPr>
                <w:rFonts w:ascii="Arial" w:cs="Arial" w:eastAsia="Arial" w:hAnsi="Arial"/>
                <w:sz w:val="14"/>
                <w:szCs w:val="14"/>
                <w:color w:val="auto"/>
              </w:rPr>
              <w:t>2015</w:t>
            </w:r>
          </w:p>
        </w:tc>
        <w:tc>
          <w:tcPr>
            <w:tcW w:w="100" w:type="dxa"/>
            <w:vAlign w:val="bottom"/>
            <w:tcBorders>
              <w:bottom w:val="single" w:sz="8" w:color="CFF0FC"/>
            </w:tcBorders>
          </w:tcPr>
          <w:p>
            <w:pPr>
              <w:spacing w:after="0"/>
              <w:rPr>
                <w:sz w:val="24"/>
                <w:szCs w:val="24"/>
                <w:color w:val="auto"/>
              </w:rPr>
            </w:pPr>
          </w:p>
        </w:tc>
      </w:tr>
      <w:tr>
        <w:trPr>
          <w:trHeight w:val="223"/>
        </w:trPr>
        <w:tc>
          <w:tcPr>
            <w:tcW w:w="4480" w:type="dxa"/>
            <w:vAlign w:val="bottom"/>
            <w:shd w:val="clear" w:color="auto" w:fill="CFF0FC"/>
          </w:tcPr>
          <w:p>
            <w:pPr>
              <w:spacing w:after="0"/>
              <w:rPr>
                <w:sz w:val="20"/>
                <w:szCs w:val="20"/>
                <w:color w:val="auto"/>
              </w:rPr>
            </w:pPr>
            <w:r>
              <w:rPr>
                <w:rFonts w:ascii="Arial" w:cs="Arial" w:eastAsia="Arial" w:hAnsi="Arial"/>
                <w:sz w:val="18"/>
                <w:szCs w:val="18"/>
                <w:color w:val="auto"/>
              </w:rPr>
              <w:t>Second Quarter</w:t>
            </w:r>
          </w:p>
        </w:tc>
        <w:tc>
          <w:tcPr>
            <w:tcW w:w="3360" w:type="dxa"/>
            <w:vAlign w:val="bottom"/>
            <w:shd w:val="clear" w:color="auto" w:fill="CFF0FC"/>
          </w:tcPr>
          <w:p>
            <w:pPr>
              <w:spacing w:after="0"/>
              <w:rPr>
                <w:sz w:val="19"/>
                <w:szCs w:val="19"/>
                <w:color w:val="auto"/>
              </w:rPr>
            </w:pPr>
          </w:p>
        </w:tc>
        <w:tc>
          <w:tcPr>
            <w:tcW w:w="360" w:type="dxa"/>
            <w:vAlign w:val="bottom"/>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w:t>
            </w:r>
          </w:p>
        </w:tc>
        <w:tc>
          <w:tcPr>
            <w:tcW w:w="100" w:type="dxa"/>
            <w:vAlign w:val="bottom"/>
            <w:shd w:val="clear" w:color="auto" w:fill="CFF0FC"/>
          </w:tcPr>
          <w:p>
            <w:pPr>
              <w:spacing w:after="0"/>
              <w:rPr>
                <w:sz w:val="19"/>
                <w:szCs w:val="19"/>
                <w:color w:val="auto"/>
              </w:rPr>
            </w:pPr>
          </w:p>
        </w:tc>
      </w:tr>
      <w:tr>
        <w:trPr>
          <w:trHeight w:val="234"/>
        </w:trPr>
        <w:tc>
          <w:tcPr>
            <w:tcW w:w="4480" w:type="dxa"/>
            <w:vAlign w:val="bottom"/>
          </w:tcPr>
          <w:p>
            <w:pPr>
              <w:spacing w:after="0"/>
              <w:rPr>
                <w:sz w:val="20"/>
                <w:szCs w:val="20"/>
                <w:color w:val="auto"/>
              </w:rPr>
            </w:pPr>
            <w:r>
              <w:rPr>
                <w:rFonts w:ascii="Arial" w:cs="Arial" w:eastAsia="Arial" w:hAnsi="Arial"/>
                <w:sz w:val="18"/>
                <w:szCs w:val="18"/>
                <w:color w:val="auto"/>
              </w:rPr>
              <w:t>Six Months</w:t>
            </w:r>
          </w:p>
        </w:tc>
        <w:tc>
          <w:tcPr>
            <w:tcW w:w="3720" w:type="dxa"/>
            <w:vAlign w:val="bottom"/>
            <w:gridSpan w:val="2"/>
          </w:tcPr>
          <w:p>
            <w:pPr>
              <w:jc w:val="right"/>
              <w:ind w:right="207"/>
              <w:spacing w:after="0"/>
              <w:rPr>
                <w:sz w:val="20"/>
                <w:szCs w:val="20"/>
                <w:color w:val="auto"/>
              </w:rPr>
            </w:pPr>
            <w:r>
              <w:rPr>
                <w:rFonts w:ascii="Arial" w:cs="Arial" w:eastAsia="Arial" w:hAnsi="Arial"/>
                <w:sz w:val="18"/>
                <w:szCs w:val="18"/>
                <w:b w:val="1"/>
                <w:bCs w:val="1"/>
                <w:color w:val="auto"/>
              </w:rPr>
              <w:t>$</w:t>
            </w: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249</w:t>
            </w:r>
          </w:p>
        </w:tc>
        <w:tc>
          <w:tcPr>
            <w:tcW w:w="280" w:type="dxa"/>
            <w:vAlign w:val="bottom"/>
          </w:tcPr>
          <w:p>
            <w:pPr>
              <w:spacing w:after="0"/>
              <w:rPr>
                <w:sz w:val="20"/>
                <w:szCs w:val="20"/>
                <w:color w:val="auto"/>
              </w:rPr>
            </w:pP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179</w:t>
            </w:r>
          </w:p>
        </w:tc>
        <w:tc>
          <w:tcPr>
            <w:tcW w:w="100" w:type="dxa"/>
            <w:vAlign w:val="bottom"/>
          </w:tcPr>
          <w:p>
            <w:pPr>
              <w:spacing w:after="0"/>
              <w:rPr>
                <w:sz w:val="20"/>
                <w:szCs w:val="20"/>
                <w:color w:val="auto"/>
              </w:rPr>
            </w:pPr>
          </w:p>
        </w:tc>
      </w:tr>
    </w:tbl>
    <w:p>
      <w:pPr>
        <w:spacing w:after="0" w:line="197" w:lineRule="exact"/>
        <w:rPr>
          <w:sz w:val="20"/>
          <w:szCs w:val="20"/>
          <w:color w:val="auto"/>
        </w:rPr>
      </w:pPr>
    </w:p>
    <w:p>
      <w:pPr>
        <w:jc w:val="both"/>
        <w:ind w:right="160"/>
        <w:spacing w:after="0" w:line="341" w:lineRule="auto"/>
        <w:rPr>
          <w:sz w:val="20"/>
          <w:szCs w:val="20"/>
          <w:color w:val="auto"/>
        </w:rPr>
      </w:pPr>
      <w:r>
        <w:rPr>
          <w:rFonts w:ascii="Arial" w:cs="Arial" w:eastAsia="Arial" w:hAnsi="Arial"/>
          <w:sz w:val="16"/>
          <w:szCs w:val="16"/>
          <w:color w:val="auto"/>
        </w:rPr>
        <w:t>Based on the net book value of intangible assets at June 30, 2016, amortization charged to income for the subsequent five years is estimated to be: remaining two quarters of 2016—$335 million; 2017—$672 million; 2018—$651 million; 2019—$611 million; 2020—$587 million; and 2021—$565 million.</w:t>
      </w:r>
    </w:p>
    <w:p>
      <w:pPr>
        <w:spacing w:after="0" w:line="269" w:lineRule="exact"/>
        <w:rPr>
          <w:sz w:val="20"/>
          <w:szCs w:val="20"/>
          <w:color w:val="auto"/>
        </w:rPr>
      </w:pPr>
    </w:p>
    <w:p>
      <w:pPr>
        <w:ind w:left="360" w:hanging="352"/>
        <w:spacing w:after="0"/>
        <w:tabs>
          <w:tab w:leader="none" w:pos="3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Long-term Debt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summary of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00" w:type="dxa"/>
            <w:vAlign w:val="bottom"/>
          </w:tcPr>
          <w:p>
            <w:pPr>
              <w:spacing w:after="0"/>
              <w:rPr>
                <w:sz w:val="15"/>
                <w:szCs w:val="15"/>
                <w:color w:val="auto"/>
              </w:rPr>
            </w:pPr>
          </w:p>
        </w:tc>
        <w:tc>
          <w:tcPr>
            <w:tcW w:w="3580" w:type="dxa"/>
            <w:vAlign w:val="bottom"/>
          </w:tcPr>
          <w:p>
            <w:pPr>
              <w:spacing w:after="0"/>
              <w:rPr>
                <w:sz w:val="15"/>
                <w:szCs w:val="15"/>
                <w:color w:val="auto"/>
              </w:rPr>
            </w:pPr>
          </w:p>
        </w:tc>
        <w:tc>
          <w:tcPr>
            <w:tcW w:w="37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ind w:left="20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580" w:type="dxa"/>
            <w:vAlign w:val="bottom"/>
            <w:gridSpan w:val="2"/>
          </w:tcPr>
          <w:p>
            <w:pPr>
              <w:ind w:left="200"/>
              <w:spacing w:after="0"/>
              <w:rPr>
                <w:sz w:val="20"/>
                <w:szCs w:val="20"/>
                <w:color w:val="auto"/>
              </w:rPr>
            </w:pPr>
            <w:r>
              <w:rPr>
                <w:rFonts w:ascii="Arial" w:cs="Arial" w:eastAsia="Arial" w:hAnsi="Arial"/>
                <w:sz w:val="18"/>
                <w:szCs w:val="18"/>
                <w:b w:val="1"/>
                <w:bCs w:val="1"/>
                <w:color w:val="auto"/>
              </w:rPr>
              <w:t>Jun. 30,</w:t>
            </w:r>
          </w:p>
        </w:tc>
        <w:tc>
          <w:tcPr>
            <w:tcW w:w="300" w:type="dxa"/>
            <w:vAlign w:val="bottom"/>
          </w:tcPr>
          <w:p>
            <w:pPr>
              <w:spacing w:after="0"/>
              <w:rPr>
                <w:sz w:val="24"/>
                <w:szCs w:val="24"/>
                <w:color w:val="auto"/>
              </w:rPr>
            </w:pP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Dec.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00" w:type="dxa"/>
            <w:vAlign w:val="bottom"/>
            <w:tcBorders>
              <w:bottom w:val="single" w:sz="8" w:color="CFF0FC"/>
            </w:tcBorders>
          </w:tcPr>
          <w:p>
            <w:pPr>
              <w:spacing w:after="0"/>
              <w:rPr>
                <w:sz w:val="20"/>
                <w:szCs w:val="20"/>
                <w:color w:val="auto"/>
              </w:rPr>
            </w:pPr>
          </w:p>
        </w:tc>
        <w:tc>
          <w:tcPr>
            <w:tcW w:w="3580" w:type="dxa"/>
            <w:vAlign w:val="bottom"/>
            <w:tcBorders>
              <w:bottom w:val="single" w:sz="8" w:color="CFF0FC"/>
            </w:tcBorders>
          </w:tcPr>
          <w:p>
            <w:pPr>
              <w:spacing w:after="0"/>
              <w:rPr>
                <w:sz w:val="20"/>
                <w:szCs w:val="20"/>
                <w:color w:val="auto"/>
              </w:rPr>
            </w:pPr>
          </w:p>
        </w:tc>
        <w:tc>
          <w:tcPr>
            <w:tcW w:w="3760" w:type="dxa"/>
            <w:vAlign w:val="bottom"/>
            <w:tcBorders>
              <w:bottom w:val="single" w:sz="8" w:color="CFF0FC"/>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bottom w:val="single" w:sz="8" w:color="CFF0FC"/>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2025</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1,739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3.30%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1,593</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1,597</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2020</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3.65%</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1,490</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1,496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2.35%</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2018</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1,296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4.20%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1,100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1.25%</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2017</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2.40%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3.63%</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Senior Notes due 2022</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845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845</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0.63%</w:t>
            </w:r>
          </w:p>
        </w:tc>
        <w:tc>
          <w:tcPr>
            <w:tcW w:w="3580" w:type="dxa"/>
            <w:vAlign w:val="bottom"/>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662</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1.50%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Guaranteed Notes due 2019</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575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1.90%</w:t>
            </w:r>
          </w:p>
        </w:tc>
        <w:tc>
          <w:tcPr>
            <w:tcW w:w="3580" w:type="dxa"/>
            <w:vAlign w:val="bottom"/>
          </w:tcPr>
          <w:p>
            <w:pPr>
              <w:ind w:left="20"/>
              <w:spacing w:after="0"/>
              <w:rPr>
                <w:sz w:val="20"/>
                <w:szCs w:val="20"/>
                <w:color w:val="auto"/>
              </w:rPr>
            </w:pPr>
            <w:r>
              <w:rPr>
                <w:rFonts w:ascii="Arial" w:cs="Arial" w:eastAsia="Arial" w:hAnsi="Arial"/>
                <w:sz w:val="18"/>
                <w:szCs w:val="18"/>
                <w:color w:val="auto"/>
              </w:rPr>
              <w:t>Senior Notes due 2017</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498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6.38%</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2018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304</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7.00%</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2038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216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4.50%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2021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5.95%</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2041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116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3.60%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2022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111</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5.13%</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2043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99</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shd w:val="clear" w:color="auto" w:fill="CFF0FC"/>
          </w:tcPr>
          <w:p>
            <w:pPr>
              <w:spacing w:after="0"/>
              <w:rPr>
                <w:sz w:val="20"/>
                <w:szCs w:val="20"/>
                <w:color w:val="auto"/>
              </w:rPr>
            </w:pPr>
            <w:r>
              <w:rPr>
                <w:rFonts w:ascii="Arial" w:cs="Arial" w:eastAsia="Arial" w:hAnsi="Arial"/>
                <w:sz w:val="18"/>
                <w:szCs w:val="18"/>
                <w:color w:val="auto"/>
                <w:w w:val="93"/>
              </w:rPr>
              <w:t>4.00%</w:t>
            </w:r>
          </w:p>
        </w:tc>
        <w:tc>
          <w:tcPr>
            <w:tcW w:w="3580" w:type="dxa"/>
            <w:vAlign w:val="bottom"/>
            <w:shd w:val="clear" w:color="auto" w:fill="CFF0FC"/>
          </w:tcPr>
          <w:p>
            <w:pPr>
              <w:ind w:left="20"/>
              <w:spacing w:after="0"/>
              <w:rPr>
                <w:sz w:val="20"/>
                <w:szCs w:val="20"/>
                <w:color w:val="auto"/>
              </w:rPr>
            </w:pPr>
            <w:r>
              <w:rPr>
                <w:rFonts w:ascii="Arial" w:cs="Arial" w:eastAsia="Arial" w:hAnsi="Arial"/>
                <w:sz w:val="18"/>
                <w:szCs w:val="18"/>
                <w:color w:val="auto"/>
              </w:rPr>
              <w:t xml:space="preserve">Notes due 2023 </w:t>
            </w:r>
            <w:r>
              <w:rPr>
                <w:rFonts w:ascii="Arial" w:cs="Arial" w:eastAsia="Arial" w:hAnsi="Arial"/>
                <w:sz w:val="15"/>
                <w:szCs w:val="15"/>
                <w:color w:val="auto"/>
              </w:rPr>
              <w:t>(1)</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83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20"/>
                <w:szCs w:val="20"/>
                <w:color w:val="auto"/>
              </w:rPr>
            </w:pPr>
            <w:r>
              <w:rPr>
                <w:rFonts w:ascii="Arial" w:cs="Arial" w:eastAsia="Arial" w:hAnsi="Arial"/>
                <w:sz w:val="18"/>
                <w:szCs w:val="18"/>
                <w:color w:val="auto"/>
                <w:w w:val="93"/>
              </w:rPr>
              <w:t>3.70%</w:t>
            </w:r>
          </w:p>
        </w:tc>
        <w:tc>
          <w:tcPr>
            <w:tcW w:w="3580" w:type="dxa"/>
            <w:vAlign w:val="bottom"/>
          </w:tcPr>
          <w:p>
            <w:pPr>
              <w:ind w:left="20"/>
              <w:spacing w:after="0"/>
              <w:rPr>
                <w:sz w:val="20"/>
                <w:szCs w:val="20"/>
                <w:color w:val="auto"/>
              </w:rPr>
            </w:pPr>
            <w:r>
              <w:rPr>
                <w:rFonts w:ascii="Arial" w:cs="Arial" w:eastAsia="Arial" w:hAnsi="Arial"/>
                <w:sz w:val="18"/>
                <w:szCs w:val="18"/>
                <w:color w:val="auto"/>
              </w:rPr>
              <w:t xml:space="preserve">Notes due 2024 </w:t>
            </w:r>
            <w:r>
              <w:rPr>
                <w:rFonts w:ascii="Arial" w:cs="Arial" w:eastAsia="Arial" w:hAnsi="Arial"/>
                <w:sz w:val="15"/>
                <w:szCs w:val="15"/>
                <w:color w:val="auto"/>
              </w:rPr>
              <w:t>(1)</w:t>
            </w:r>
          </w:p>
        </w:tc>
        <w:tc>
          <w:tcPr>
            <w:tcW w:w="3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56</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Commercial paper borrowings</w:t>
            </w:r>
          </w:p>
        </w:tc>
        <w:tc>
          <w:tcPr>
            <w:tcW w:w="37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2,500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3580" w:type="dxa"/>
            <w:vAlign w:val="bottom"/>
            <w:tcBorders>
              <w:bottom w:val="single" w:sz="8" w:color="CFF0FC"/>
            </w:tcBorders>
          </w:tcPr>
          <w:p>
            <w:pPr>
              <w:spacing w:after="0"/>
              <w:rPr>
                <w:sz w:val="19"/>
                <w:szCs w:val="19"/>
                <w:color w:val="auto"/>
              </w:rPr>
            </w:pPr>
          </w:p>
        </w:tc>
        <w:tc>
          <w:tcPr>
            <w:tcW w:w="37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1,247</w:t>
            </w:r>
          </w:p>
        </w:tc>
        <w:tc>
          <w:tcPr>
            <w:tcW w:w="2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711</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Borders>
              <w:bottom w:val="single" w:sz="8" w:color="CFF0FC"/>
            </w:tcBorders>
            <w:shd w:val="clear" w:color="auto" w:fill="CFF0FC"/>
          </w:tcPr>
          <w:p>
            <w:pPr>
              <w:spacing w:after="0"/>
              <w:rPr>
                <w:sz w:val="19"/>
                <w:szCs w:val="19"/>
                <w:color w:val="auto"/>
              </w:rPr>
            </w:pPr>
          </w:p>
        </w:tc>
        <w:tc>
          <w:tcPr>
            <w:tcW w:w="3580" w:type="dxa"/>
            <w:vAlign w:val="bottom"/>
            <w:tcBorders>
              <w:bottom w:val="single" w:sz="8" w:color="CFF0FC"/>
            </w:tcBorders>
            <w:shd w:val="clear" w:color="auto" w:fill="CFF0FC"/>
          </w:tcPr>
          <w:p>
            <w:pPr>
              <w:spacing w:after="0"/>
              <w:rPr>
                <w:sz w:val="19"/>
                <w:szCs w:val="19"/>
                <w:color w:val="auto"/>
              </w:rPr>
            </w:pPr>
          </w:p>
        </w:tc>
        <w:tc>
          <w:tcPr>
            <w:tcW w:w="37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127"/>
              <w:spacing w:after="0"/>
              <w:rPr>
                <w:sz w:val="20"/>
                <w:szCs w:val="20"/>
                <w:color w:val="auto"/>
              </w:rPr>
            </w:pPr>
            <w:r>
              <w:rPr>
                <w:rFonts w:ascii="Arial" w:cs="Arial" w:eastAsia="Arial" w:hAnsi="Arial"/>
                <w:sz w:val="15"/>
                <w:szCs w:val="15"/>
                <w:b w:val="1"/>
                <w:bCs w:val="1"/>
                <w:color w:val="auto"/>
                <w:w w:val="71"/>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18,252</w:t>
            </w:r>
          </w:p>
        </w:tc>
        <w:tc>
          <w:tcPr>
            <w:tcW w:w="280" w:type="dxa"/>
            <w:vAlign w:val="bottom"/>
            <w:tcBorders>
              <w:bottom w:val="single" w:sz="8" w:color="CFF0FC"/>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14,442</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3760" w:type="dxa"/>
            <w:vAlign w:val="bottom"/>
            <w:vMerge w:val="restart"/>
          </w:tcPr>
          <w:p>
            <w:pPr>
              <w:jc w:val="right"/>
              <w:ind w:right="1950"/>
              <w:spacing w:after="0"/>
              <w:rPr>
                <w:sz w:val="20"/>
                <w:szCs w:val="20"/>
                <w:color w:val="auto"/>
              </w:rPr>
            </w:pPr>
            <w:r>
              <w:rPr>
                <w:rFonts w:ascii="Arial" w:cs="Arial" w:eastAsia="Arial" w:hAnsi="Arial"/>
                <w:sz w:val="18"/>
                <w:szCs w:val="18"/>
                <w:color w:val="auto"/>
              </w:rPr>
              <w:t>14</w:t>
            </w: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3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9"/>
                <w:szCs w:val="9"/>
                <w:color w:val="auto"/>
              </w:rPr>
            </w:pPr>
          </w:p>
        </w:tc>
        <w:tc>
          <w:tcPr>
            <w:tcW w:w="3580" w:type="dxa"/>
            <w:vAlign w:val="bottom"/>
            <w:tcBorders>
              <w:bottom w:val="single" w:sz="8" w:color="9A9A9A"/>
            </w:tcBorders>
          </w:tcPr>
          <w:p>
            <w:pPr>
              <w:spacing w:after="0"/>
              <w:rPr>
                <w:sz w:val="9"/>
                <w:szCs w:val="9"/>
                <w:color w:val="auto"/>
              </w:rPr>
            </w:pPr>
          </w:p>
        </w:tc>
        <w:tc>
          <w:tcPr>
            <w:tcW w:w="376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13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4" w:name="page15"/>
    <w:bookmarkEnd w:id="14"/>
    <w:p>
      <w:pPr>
        <w:ind w:left="520" w:right="100" w:hanging="203"/>
        <w:spacing w:after="0" w:line="266" w:lineRule="auto"/>
        <w:rPr>
          <w:sz w:val="20"/>
          <w:szCs w:val="20"/>
          <w:color w:val="auto"/>
        </w:rPr>
      </w:pPr>
      <w:r>
        <w:rPr>
          <w:rFonts w:ascii="Arial" w:cs="Arial" w:eastAsia="Arial" w:hAnsi="Arial"/>
          <w:sz w:val="15"/>
          <w:szCs w:val="15"/>
          <w:color w:val="auto"/>
        </w:rPr>
        <w:t xml:space="preserve">(1) </w:t>
      </w:r>
      <w:r>
        <w:rPr>
          <w:rFonts w:ascii="Arial" w:cs="Arial" w:eastAsia="Arial" w:hAnsi="Arial"/>
          <w:sz w:val="16"/>
          <w:szCs w:val="16"/>
          <w:color w:val="auto"/>
        </w:rPr>
        <w:t>Represents long-term fixed rate debt obligations assumed in connection with the acquisition of Cameron, net of amounts repurchased</w:t>
      </w:r>
      <w:r>
        <w:rPr>
          <w:sz w:val="20"/>
          <w:szCs w:val="20"/>
          <w:color w:val="auto"/>
        </w:rPr>
        <w:t xml:space="preserve"> </w:t>
      </w:r>
      <w:r>
        <w:rPr>
          <w:rFonts w:ascii="Arial" w:cs="Arial" w:eastAsia="Arial" w:hAnsi="Arial"/>
          <w:sz w:val="16"/>
          <w:szCs w:val="16"/>
          <w:color w:val="auto"/>
        </w:rPr>
        <w:t>subsequent to the closing of the transaction.</w:t>
      </w:r>
    </w:p>
    <w:p>
      <w:pPr>
        <w:spacing w:after="0" w:line="200" w:lineRule="exact"/>
        <w:rPr>
          <w:sz w:val="20"/>
          <w:szCs w:val="20"/>
          <w:color w:val="auto"/>
        </w:rPr>
      </w:pPr>
    </w:p>
    <w:p>
      <w:pPr>
        <w:spacing w:after="0" w:line="21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 xml:space="preserve">The estimated fair value of Schlumberger’s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at June 30, 2016 and December 31, 2015, based on quoted market prices, was $19.0 billion and $14.4 billion, respectively.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 xml:space="preserve">Borrowings under the commercial paper program at June 30, 2016 were $3.2 billion, of which $2.5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$0.7 billion was classified within </w:t>
      </w:r>
      <w:r>
        <w:rPr>
          <w:rFonts w:ascii="Arial" w:cs="Arial" w:eastAsia="Arial" w:hAnsi="Arial"/>
          <w:sz w:val="18"/>
          <w:szCs w:val="18"/>
          <w:i w:val="1"/>
          <w:iCs w:val="1"/>
          <w:color w:val="auto"/>
        </w:rPr>
        <w:t>Long-term debt – current portion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Balance Sheet</w:t>
      </w:r>
      <w:r>
        <w:rPr>
          <w:rFonts w:ascii="Arial" w:cs="Arial" w:eastAsia="Arial" w:hAnsi="Arial"/>
          <w:sz w:val="18"/>
          <w:szCs w:val="18"/>
          <w:color w:val="auto"/>
        </w:rPr>
        <w:t xml:space="preserve">. At December 31, 2015, borrowings under the commercial paper program were $2.4 billion, of which $1.0 billion was classified within </w:t>
      </w:r>
      <w:r>
        <w:rPr>
          <w:rFonts w:ascii="Arial" w:cs="Arial" w:eastAsia="Arial" w:hAnsi="Arial"/>
          <w:sz w:val="18"/>
          <w:szCs w:val="18"/>
          <w:i w:val="1"/>
          <w:iCs w:val="1"/>
          <w:color w:val="auto"/>
        </w:rPr>
        <w:t>Long-term debt</w:t>
      </w:r>
      <w:r>
        <w:rPr>
          <w:rFonts w:ascii="Arial" w:cs="Arial" w:eastAsia="Arial" w:hAnsi="Arial"/>
          <w:sz w:val="18"/>
          <w:szCs w:val="18"/>
          <w:color w:val="auto"/>
        </w:rPr>
        <w:t xml:space="preserve"> and $1.4 billion was classified within </w:t>
      </w:r>
      <w:r>
        <w:rPr>
          <w:rFonts w:ascii="Arial" w:cs="Arial" w:eastAsia="Arial" w:hAnsi="Arial"/>
          <w:sz w:val="18"/>
          <w:szCs w:val="18"/>
          <w:i w:val="1"/>
          <w:iCs w:val="1"/>
          <w:color w:val="auto"/>
        </w:rPr>
        <w:t>Long-term debt – current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portion </w:t>
      </w:r>
      <w:r>
        <w:rPr>
          <w:rFonts w:ascii="Arial" w:cs="Arial" w:eastAsia="Arial" w:hAnsi="Arial"/>
          <w:sz w:val="18"/>
          <w:szCs w:val="18"/>
          <w:color w:val="auto"/>
        </w:rPr>
        <w:t>in the</w:t>
      </w:r>
      <w:r>
        <w:rPr>
          <w:rFonts w:ascii="Arial" w:cs="Arial" w:eastAsia="Arial" w:hAnsi="Arial"/>
          <w:sz w:val="18"/>
          <w:szCs w:val="18"/>
          <w:i w:val="1"/>
          <w:iCs w:val="1"/>
          <w:color w:val="auto"/>
        </w:rPr>
        <w:t xml:space="preserve"> Consolidated Balance Sheet</w:t>
      </w:r>
      <w:r>
        <w:rPr>
          <w:rFonts w:ascii="Arial" w:cs="Arial" w:eastAsia="Arial" w:hAnsi="Arial"/>
          <w:sz w:val="18"/>
          <w:szCs w:val="18"/>
          <w:color w:val="auto"/>
        </w:rPr>
        <w:t>.</w:t>
      </w:r>
    </w:p>
    <w:p>
      <w:pPr>
        <w:spacing w:after="0" w:line="330" w:lineRule="exact"/>
        <w:rPr>
          <w:sz w:val="20"/>
          <w:szCs w:val="20"/>
          <w:color w:val="auto"/>
        </w:rPr>
      </w:pPr>
    </w:p>
    <w:p>
      <w:pPr>
        <w:ind w:left="360" w:hanging="352"/>
        <w:spacing w:after="0"/>
        <w:tabs>
          <w:tab w:leader="none" w:pos="3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Derivative Instruments and Hedging Activities</w:t>
      </w:r>
    </w:p>
    <w:p>
      <w:pPr>
        <w:spacing w:after="0" w:line="12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Schlumberger is exposed to market risks related to fluctuations in foreign currency exchange rates and interest rates. To mitigate these risks, Schlumberger utilizes derivative instruments. Schlumberger does not enter into derivative transactions for speculative purposes.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Schlumberger is subject to interest rate risk on its debt and its investment portfolio. Schlumberger maintains an interest rate risk management strategy that uses a mix of variable and fixed rate debt combined with its investment portfolio and occasionally interest rate swaps to mitigate the exposure to changes in interest rates.</w:t>
      </w:r>
    </w:p>
    <w:p>
      <w:pPr>
        <w:spacing w:after="0" w:line="18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2013, Schlumberger entered into a cross currency swap for a notional amount of €0.5 billion in order to hedge changes in the fair value of Schlumberger’s €0.5 billion 1.50% Guaranteed Notes due 2019. Under the terms of this swap, Schlumberger receives interest at a fixed rate of 1.50% on the euro notional amount and pays interest at a floating rate of three-month LIBOR plus approximately 64 basis points on the US dollar notional amount.</w:t>
      </w:r>
    </w:p>
    <w:p>
      <w:pPr>
        <w:spacing w:after="0" w:line="18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cross currency swap is designated as a fair value hedge of the underlying debt. This derivative instrument is marked to market with gains and losses recognized in income to largely offset the respective gains and losses recognized on changes in the fair value of the hedged debt.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At June 30, 2016, Schlumberger had fixed rate debt of $15.5 billion and variable rate debt of $6.1 billion after taking into account the effect of the swap.</w:t>
      </w:r>
    </w:p>
    <w:p>
      <w:pPr>
        <w:spacing w:after="0" w:line="2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Short-term investments </w:t>
      </w:r>
      <w:r>
        <w:rPr>
          <w:rFonts w:ascii="Arial" w:cs="Arial" w:eastAsia="Arial" w:hAnsi="Arial"/>
          <w:sz w:val="18"/>
          <w:szCs w:val="18"/>
          <w:color w:val="auto"/>
        </w:rPr>
        <w:t>and</w:t>
      </w:r>
      <w:r>
        <w:rPr>
          <w:rFonts w:ascii="Arial" w:cs="Arial" w:eastAsia="Arial" w:hAnsi="Arial"/>
          <w:sz w:val="18"/>
          <w:szCs w:val="18"/>
          <w:i w:val="1"/>
          <w:iCs w:val="1"/>
          <w:color w:val="auto"/>
        </w:rPr>
        <w:t xml:space="preserve"> Fixed income investments</w:t>
      </w:r>
      <w:r>
        <w:rPr>
          <w:rFonts w:ascii="Arial" w:cs="Arial" w:eastAsia="Arial" w:hAnsi="Arial"/>
          <w:sz w:val="18"/>
          <w:szCs w:val="18"/>
          <w:color w:val="auto"/>
        </w:rPr>
        <w:t>,</w:t>
      </w:r>
      <w:r>
        <w:rPr>
          <w:rFonts w:ascii="Arial" w:cs="Arial" w:eastAsia="Arial" w:hAnsi="Arial"/>
          <w:sz w:val="18"/>
          <w:szCs w:val="18"/>
          <w:i w:val="1"/>
          <w:iCs w:val="1"/>
          <w:color w:val="auto"/>
        </w:rPr>
        <w:t xml:space="preserve"> held to maturity </w:t>
      </w:r>
      <w:r>
        <w:rPr>
          <w:rFonts w:ascii="Arial" w:cs="Arial" w:eastAsia="Arial" w:hAnsi="Arial"/>
          <w:sz w:val="18"/>
          <w:szCs w:val="18"/>
          <w:color w:val="auto"/>
        </w:rPr>
        <w:t>totaled $8.6 billion at June 30, 2016. The carrying value of these investments</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approximated fair value, which was estimated using quoted market prices for those or similar investments.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multinational company, Schlumberger conducts its business in more than 85 countries. Schlumberger’s functional currency is primarily the US dollar. However, outside the United States, a significant portion of Schlumberger’s expenses is incurred in foreign currencies. Therefore, when the US dollar weakens (strengthens) in relation to the foreign currencies of the countries in which Schlumberger conducts business, the US dollar–reported expenses will increase (decrease).</w:t>
      </w:r>
    </w:p>
    <w:p>
      <w:pPr>
        <w:spacing w:after="0" w:line="18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Schlumberger is exposed to risks on future cash flows to the extent that the local currency is not the functional currency and expenses denominated in local currency are not equal to revenues denominated in local currency. Schlumberger is also exposed to risks on future cash flows relating to certain of its fixed rate debt that is denominated in currencies other than the functional currency. Schlumberger uses foreign currency forward contracts and foreign currency options to provide a hedge against a portion of these cash flow risks. These contracts are accounted for as cash flow hedges, with the effective portion of changes in the fair value of the hedge recorded on the </w:t>
      </w:r>
      <w:r>
        <w:rPr>
          <w:rFonts w:ascii="Arial" w:cs="Arial" w:eastAsia="Arial" w:hAnsi="Arial"/>
          <w:sz w:val="17"/>
          <w:szCs w:val="17"/>
          <w:i w:val="1"/>
          <w:iCs w:val="1"/>
          <w:color w:val="auto"/>
        </w:rPr>
        <w:t>Consolidated Balance Sheet</w:t>
      </w:r>
      <w:r>
        <w:rPr>
          <w:rFonts w:ascii="Arial" w:cs="Arial" w:eastAsia="Arial" w:hAnsi="Arial"/>
          <w:sz w:val="17"/>
          <w:szCs w:val="17"/>
          <w:color w:val="auto"/>
        </w:rPr>
        <w:t xml:space="preserve"> and in </w:t>
      </w:r>
      <w:r>
        <w:rPr>
          <w:rFonts w:ascii="Arial" w:cs="Arial" w:eastAsia="Arial" w:hAnsi="Arial"/>
          <w:sz w:val="17"/>
          <w:szCs w:val="17"/>
          <w:i w:val="1"/>
          <w:iCs w:val="1"/>
          <w:color w:val="auto"/>
        </w:rPr>
        <w:t>Accumulated other comprehensive loss.</w:t>
      </w:r>
      <w:r>
        <w:rPr>
          <w:rFonts w:ascii="Arial" w:cs="Arial" w:eastAsia="Arial" w:hAnsi="Arial"/>
          <w:sz w:val="17"/>
          <w:szCs w:val="17"/>
          <w:color w:val="auto"/>
        </w:rPr>
        <w:t xml:space="preserve"> Amounts recorded in </w:t>
      </w:r>
      <w:r>
        <w:rPr>
          <w:rFonts w:ascii="Arial" w:cs="Arial" w:eastAsia="Arial" w:hAnsi="Arial"/>
          <w:sz w:val="17"/>
          <w:szCs w:val="17"/>
          <w:i w:val="1"/>
          <w:iCs w:val="1"/>
          <w:color w:val="auto"/>
        </w:rPr>
        <w:t xml:space="preserve">Accumulated other comprehensive loss </w:t>
      </w:r>
      <w:r>
        <w:rPr>
          <w:rFonts w:ascii="Arial" w:cs="Arial" w:eastAsia="Arial" w:hAnsi="Arial"/>
          <w:sz w:val="17"/>
          <w:szCs w:val="17"/>
          <w:color w:val="auto"/>
        </w:rPr>
        <w:t>are reclassified into earnings in the same period or periods that the hedged item is recognized in earnings. The</w:t>
      </w:r>
      <w:r>
        <w:rPr>
          <w:rFonts w:ascii="Arial" w:cs="Arial" w:eastAsia="Arial" w:hAnsi="Arial"/>
          <w:sz w:val="17"/>
          <w:szCs w:val="17"/>
          <w:i w:val="1"/>
          <w:iCs w:val="1"/>
          <w:color w:val="auto"/>
        </w:rPr>
        <w:t xml:space="preserve"> </w:t>
      </w:r>
      <w:r>
        <w:rPr>
          <w:rFonts w:ascii="Arial" w:cs="Arial" w:eastAsia="Arial" w:hAnsi="Arial"/>
          <w:sz w:val="17"/>
          <w:szCs w:val="17"/>
          <w:color w:val="auto"/>
        </w:rPr>
        <w:t>ineffective portion of changes in the fair value of hedging instruments, if any, is recorded directly to earnings.</w:t>
      </w:r>
    </w:p>
    <w:p>
      <w:pPr>
        <w:spacing w:after="0" w:line="17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At June 30, 2016, Schlumberger recognized a cumulative net $27 million loss in </w:t>
      </w:r>
      <w:r>
        <w:rPr>
          <w:rFonts w:ascii="Arial" w:cs="Arial" w:eastAsia="Arial" w:hAnsi="Arial"/>
          <w:sz w:val="18"/>
          <w:szCs w:val="18"/>
          <w:i w:val="1"/>
          <w:iCs w:val="1"/>
          <w:color w:val="auto"/>
        </w:rPr>
        <w:t>Accumulated other comprehensive loss</w:t>
      </w:r>
      <w:r>
        <w:rPr>
          <w:rFonts w:ascii="Arial" w:cs="Arial" w:eastAsia="Arial" w:hAnsi="Arial"/>
          <w:sz w:val="18"/>
          <w:szCs w:val="18"/>
          <w:color w:val="auto"/>
        </w:rPr>
        <w:t xml:space="preserve"> relating to revaluation of foreign currency forward contracts and foreign currency options designated as cash flow hedges, the majority of which is expected to be reclassified into earnings within the next 12 months.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29" w:right="239" w:bottom="1440" w:gutter="0" w:footer="0" w:header="0"/>
        </w:sectPr>
      </w:pPr>
    </w:p>
    <w:bookmarkStart w:id="15" w:name="page16"/>
    <w:bookmarkEnd w:id="15"/>
    <w:p>
      <w:pPr>
        <w:jc w:val="both"/>
        <w:ind w:right="20"/>
        <w:spacing w:after="0" w:line="301" w:lineRule="auto"/>
        <w:rPr>
          <w:sz w:val="20"/>
          <w:szCs w:val="20"/>
          <w:color w:val="auto"/>
        </w:rPr>
      </w:pPr>
      <w:r>
        <w:rPr>
          <w:rFonts w:ascii="Arial" w:cs="Arial" w:eastAsia="Arial" w:hAnsi="Arial"/>
          <w:sz w:val="16"/>
          <w:szCs w:val="16"/>
          <w:color w:val="auto"/>
        </w:rPr>
        <w:t xml:space="preserve">Schlumberger is exposed to changes in the fair value of assets and liabilities that are denominated in currencies other than the functional currency. While Schlumberger uses foreign currency forward contracts and foreign currency options to economically hedge this exposure as it relates to certain currencies, these contracts are not designated as hedges for accounting purposes. Instead, the fair value of the contracts is recorded on the </w:t>
      </w:r>
      <w:r>
        <w:rPr>
          <w:rFonts w:ascii="Arial" w:cs="Arial" w:eastAsia="Arial" w:hAnsi="Arial"/>
          <w:sz w:val="16"/>
          <w:szCs w:val="16"/>
          <w:i w:val="1"/>
          <w:iCs w:val="1"/>
          <w:color w:val="auto"/>
        </w:rPr>
        <w:t>Consolidated Balance Sheet,</w:t>
      </w:r>
      <w:r>
        <w:rPr>
          <w:rFonts w:ascii="Arial" w:cs="Arial" w:eastAsia="Arial" w:hAnsi="Arial"/>
          <w:sz w:val="16"/>
          <w:szCs w:val="16"/>
          <w:color w:val="auto"/>
        </w:rPr>
        <w:t xml:space="preserve"> and changes in the fair value are recognized in the </w:t>
      </w:r>
      <w:r>
        <w:rPr>
          <w:rFonts w:ascii="Arial" w:cs="Arial" w:eastAsia="Arial" w:hAnsi="Arial"/>
          <w:sz w:val="16"/>
          <w:szCs w:val="16"/>
          <w:i w:val="1"/>
          <w:iCs w:val="1"/>
          <w:color w:val="auto"/>
        </w:rPr>
        <w:t>Consolidated Statement of Income</w:t>
      </w:r>
      <w:r>
        <w:rPr>
          <w:rFonts w:ascii="Arial" w:cs="Arial" w:eastAsia="Arial" w:hAnsi="Arial"/>
          <w:sz w:val="16"/>
          <w:szCs w:val="16"/>
          <w:color w:val="auto"/>
        </w:rPr>
        <w:t xml:space="preserve"> as are changes in fair value of the hedged item.</w:t>
      </w:r>
    </w:p>
    <w:p>
      <w:pPr>
        <w:spacing w:after="0" w:line="156"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At June 30, 2016, contracts were outstanding for the US dollar equivalent of $5.8 billion in various foreign currencies, of which $0.7 billion related to hedges of debt denominated in currencies other than the functional currency.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fair values of outstanding derivative instruments were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i w:val="1"/>
                <w:iCs w:val="1"/>
                <w:color w:val="auto"/>
              </w:rPr>
              <w:t>(Stated in millions)</w:t>
            </w:r>
          </w:p>
        </w:tc>
        <w:tc>
          <w:tcPr>
            <w:tcW w:w="260" w:type="dxa"/>
            <w:vAlign w:val="bottom"/>
          </w:tcPr>
          <w:p>
            <w:pPr>
              <w:spacing w:after="0"/>
              <w:rPr>
                <w:sz w:val="15"/>
                <w:szCs w:val="15"/>
                <w:color w:val="auto"/>
              </w:rPr>
            </w:pPr>
          </w:p>
        </w:tc>
        <w:tc>
          <w:tcPr>
            <w:tcW w:w="3380" w:type="dxa"/>
            <w:vAlign w:val="bottom"/>
          </w:tcPr>
          <w:p>
            <w:pPr>
              <w:spacing w:after="0"/>
              <w:rPr>
                <w:sz w:val="15"/>
                <w:szCs w:val="15"/>
                <w:color w:val="auto"/>
              </w:rPr>
            </w:pPr>
          </w:p>
        </w:tc>
      </w:tr>
      <w:tr>
        <w:trPr>
          <w:trHeight w:val="360"/>
        </w:trPr>
        <w:tc>
          <w:tcPr>
            <w:tcW w:w="4820" w:type="dxa"/>
            <w:vAlign w:val="bottom"/>
          </w:tcPr>
          <w:p>
            <w:pPr>
              <w:spacing w:after="0"/>
              <w:rPr>
                <w:sz w:val="24"/>
                <w:szCs w:val="24"/>
                <w:color w:val="auto"/>
              </w:rPr>
            </w:pPr>
          </w:p>
        </w:tc>
        <w:tc>
          <w:tcPr>
            <w:tcW w:w="2660" w:type="dxa"/>
            <w:vAlign w:val="bottom"/>
            <w:gridSpan w:val="4"/>
          </w:tcPr>
          <w:p>
            <w:pPr>
              <w:jc w:val="right"/>
              <w:ind w:right="266"/>
              <w:spacing w:after="0"/>
              <w:rPr>
                <w:sz w:val="20"/>
                <w:szCs w:val="20"/>
                <w:color w:val="auto"/>
              </w:rPr>
            </w:pPr>
            <w:r>
              <w:rPr>
                <w:rFonts w:ascii="Arial" w:cs="Arial" w:eastAsia="Arial" w:hAnsi="Arial"/>
                <w:sz w:val="16"/>
                <w:szCs w:val="16"/>
                <w:b w:val="1"/>
                <w:bCs w:val="1"/>
                <w:color w:val="auto"/>
              </w:rPr>
              <w:t>Fair Value of Derivatives</w:t>
            </w:r>
          </w:p>
        </w:tc>
        <w:tc>
          <w:tcPr>
            <w:tcW w:w="300" w:type="dxa"/>
            <w:vAlign w:val="bottom"/>
          </w:tcPr>
          <w:p>
            <w:pPr>
              <w:spacing w:after="0"/>
              <w:rPr>
                <w:sz w:val="24"/>
                <w:szCs w:val="24"/>
                <w:color w:val="auto"/>
              </w:rPr>
            </w:pPr>
          </w:p>
        </w:tc>
        <w:tc>
          <w:tcPr>
            <w:tcW w:w="3640" w:type="dxa"/>
            <w:vAlign w:val="bottom"/>
            <w:gridSpan w:val="2"/>
          </w:tcPr>
          <w:p>
            <w:pPr>
              <w:ind w:left="260"/>
              <w:spacing w:after="0"/>
              <w:rPr>
                <w:sz w:val="20"/>
                <w:szCs w:val="20"/>
                <w:color w:val="auto"/>
              </w:rPr>
            </w:pPr>
            <w:r>
              <w:rPr>
                <w:rFonts w:ascii="Arial" w:cs="Arial" w:eastAsia="Arial" w:hAnsi="Arial"/>
                <w:sz w:val="16"/>
                <w:szCs w:val="16"/>
                <w:color w:val="auto"/>
              </w:rPr>
              <w:t>Consolidated Balance Sheet Classification</w:t>
            </w:r>
          </w:p>
        </w:tc>
      </w:tr>
      <w:tr>
        <w:trPr>
          <w:trHeight w:val="207"/>
        </w:trPr>
        <w:tc>
          <w:tcPr>
            <w:tcW w:w="4820" w:type="dxa"/>
            <w:vAlign w:val="bottom"/>
          </w:tcPr>
          <w:p>
            <w:pPr>
              <w:spacing w:after="0"/>
              <w:rPr>
                <w:sz w:val="17"/>
                <w:szCs w:val="17"/>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6"/>
                <w:szCs w:val="16"/>
                <w:b w:val="1"/>
                <w:bCs w:val="1"/>
                <w:color w:val="auto"/>
              </w:rPr>
              <w:t>Jun. 30,</w:t>
            </w:r>
          </w:p>
        </w:tc>
        <w:tc>
          <w:tcPr>
            <w:tcW w:w="340" w:type="dxa"/>
            <w:vAlign w:val="bottom"/>
            <w:tcBorders>
              <w:top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jc w:val="right"/>
              <w:ind w:right="46"/>
              <w:spacing w:after="0"/>
              <w:rPr>
                <w:sz w:val="20"/>
                <w:szCs w:val="20"/>
                <w:color w:val="auto"/>
              </w:rPr>
            </w:pPr>
            <w:r>
              <w:rPr>
                <w:rFonts w:ascii="Arial" w:cs="Arial" w:eastAsia="Arial" w:hAnsi="Arial"/>
                <w:sz w:val="16"/>
                <w:szCs w:val="16"/>
                <w:color w:val="auto"/>
              </w:rPr>
              <w:t>Dec. 31,</w:t>
            </w:r>
          </w:p>
        </w:tc>
        <w:tc>
          <w:tcPr>
            <w:tcW w:w="300" w:type="dxa"/>
            <w:vAlign w:val="bottom"/>
            <w:tcBorders>
              <w:top w:val="single" w:sz="8" w:color="auto"/>
            </w:tcBorders>
          </w:tcPr>
          <w:p>
            <w:pPr>
              <w:spacing w:after="0"/>
              <w:rPr>
                <w:sz w:val="17"/>
                <w:szCs w:val="17"/>
                <w:color w:val="auto"/>
              </w:rPr>
            </w:pPr>
          </w:p>
        </w:tc>
        <w:tc>
          <w:tcPr>
            <w:tcW w:w="260" w:type="dxa"/>
            <w:vAlign w:val="bottom"/>
          </w:tcPr>
          <w:p>
            <w:pPr>
              <w:spacing w:after="0"/>
              <w:rPr>
                <w:sz w:val="17"/>
                <w:szCs w:val="17"/>
                <w:color w:val="auto"/>
              </w:rPr>
            </w:pPr>
          </w:p>
        </w:tc>
        <w:tc>
          <w:tcPr>
            <w:tcW w:w="3380" w:type="dxa"/>
            <w:vAlign w:val="bottom"/>
            <w:tcBorders>
              <w:top w:val="single" w:sz="8" w:color="auto"/>
            </w:tcBorders>
          </w:tcPr>
          <w:p>
            <w:pPr>
              <w:spacing w:after="0"/>
              <w:rPr>
                <w:sz w:val="17"/>
                <w:szCs w:val="17"/>
                <w:color w:val="auto"/>
              </w:rPr>
            </w:pPr>
          </w:p>
        </w:tc>
      </w:tr>
      <w:tr>
        <w:trPr>
          <w:trHeight w:val="218"/>
        </w:trPr>
        <w:tc>
          <w:tcPr>
            <w:tcW w:w="4820" w:type="dxa"/>
            <w:vAlign w:val="bottom"/>
          </w:tcPr>
          <w:p>
            <w:pPr>
              <w:spacing w:after="0"/>
              <w:rPr>
                <w:sz w:val="18"/>
                <w:szCs w:val="18"/>
                <w:color w:val="auto"/>
              </w:rPr>
            </w:pPr>
          </w:p>
        </w:tc>
        <w:tc>
          <w:tcPr>
            <w:tcW w:w="1000" w:type="dxa"/>
            <w:vAlign w:val="bottom"/>
          </w:tcPr>
          <w:p>
            <w:pPr>
              <w:jc w:val="right"/>
              <w:ind w:right="105"/>
              <w:spacing w:after="0"/>
              <w:rPr>
                <w:sz w:val="20"/>
                <w:szCs w:val="20"/>
                <w:color w:val="auto"/>
              </w:rPr>
            </w:pPr>
            <w:r>
              <w:rPr>
                <w:rFonts w:ascii="Arial" w:cs="Arial" w:eastAsia="Arial" w:hAnsi="Arial"/>
                <w:sz w:val="16"/>
                <w:szCs w:val="16"/>
                <w:b w:val="1"/>
                <w:bCs w:val="1"/>
                <w:color w:val="auto"/>
              </w:rPr>
              <w:t>2016</w:t>
            </w:r>
          </w:p>
        </w:tc>
        <w:tc>
          <w:tcPr>
            <w:tcW w:w="340" w:type="dxa"/>
            <w:vAlign w:val="bottom"/>
          </w:tcPr>
          <w:p>
            <w:pPr>
              <w:spacing w:after="0"/>
              <w:rPr>
                <w:sz w:val="18"/>
                <w:szCs w:val="18"/>
                <w:color w:val="auto"/>
              </w:rPr>
            </w:pPr>
          </w:p>
        </w:tc>
        <w:tc>
          <w:tcPr>
            <w:tcW w:w="1320" w:type="dxa"/>
            <w:vAlign w:val="bottom"/>
            <w:gridSpan w:val="2"/>
          </w:tcPr>
          <w:p>
            <w:pPr>
              <w:jc w:val="right"/>
              <w:ind w:right="146"/>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380" w:type="dxa"/>
            <w:vAlign w:val="bottom"/>
          </w:tcPr>
          <w:p>
            <w:pPr>
              <w:spacing w:after="0"/>
              <w:rPr>
                <w:sz w:val="18"/>
                <w:szCs w:val="18"/>
                <w:color w:val="auto"/>
              </w:rPr>
            </w:pPr>
          </w:p>
        </w:tc>
      </w:tr>
      <w:tr>
        <w:trPr>
          <w:trHeight w:val="226"/>
        </w:trPr>
        <w:tc>
          <w:tcPr>
            <w:tcW w:w="4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Derivative Assets</w:t>
            </w:r>
          </w:p>
        </w:tc>
        <w:tc>
          <w:tcPr>
            <w:tcW w:w="1000" w:type="dxa"/>
            <w:vAlign w:val="bottom"/>
            <w:tcBorders>
              <w:top w:val="single" w:sz="8" w:color="auto"/>
            </w:tcBorders>
            <w:shd w:val="clear" w:color="auto" w:fill="CFF0FC"/>
          </w:tcPr>
          <w:p>
            <w:pPr>
              <w:spacing w:after="0"/>
              <w:rPr>
                <w:sz w:val="19"/>
                <w:szCs w:val="19"/>
                <w:color w:val="auto"/>
              </w:rPr>
            </w:pPr>
          </w:p>
        </w:tc>
        <w:tc>
          <w:tcPr>
            <w:tcW w:w="34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106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60" w:type="dxa"/>
            <w:vAlign w:val="bottom"/>
            <w:tcBorders>
              <w:top w:val="single" w:sz="8" w:color="CFF0FC"/>
            </w:tcBorders>
            <w:shd w:val="clear" w:color="auto" w:fill="CFF0FC"/>
          </w:tcPr>
          <w:p>
            <w:pPr>
              <w:spacing w:after="0"/>
              <w:rPr>
                <w:sz w:val="19"/>
                <w:szCs w:val="19"/>
                <w:color w:val="auto"/>
              </w:rPr>
            </w:pPr>
          </w:p>
        </w:tc>
        <w:tc>
          <w:tcPr>
            <w:tcW w:w="3380" w:type="dxa"/>
            <w:vAlign w:val="bottom"/>
            <w:tcBorders>
              <w:top w:val="single" w:sz="8" w:color="CFF0FC"/>
            </w:tcBorders>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132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2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23"/>
        </w:trPr>
        <w:tc>
          <w:tcPr>
            <w:tcW w:w="482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3"/>
        </w:trPr>
        <w:tc>
          <w:tcPr>
            <w:tcW w:w="4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50</w:t>
            </w:r>
          </w:p>
        </w:tc>
        <w:tc>
          <w:tcPr>
            <w:tcW w:w="1320" w:type="dxa"/>
            <w:vAlign w:val="bottom"/>
            <w:gridSpan w:val="2"/>
          </w:tcPr>
          <w:p>
            <w:pPr>
              <w:jc w:val="right"/>
              <w:ind w:right="906"/>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Other current assets</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Assets</w:t>
            </w:r>
          </w:p>
        </w:tc>
      </w:tr>
      <w:tr>
        <w:trPr>
          <w:trHeight w:val="263"/>
        </w:trPr>
        <w:tc>
          <w:tcPr>
            <w:tcW w:w="482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67</w:t>
            </w:r>
          </w:p>
        </w:tc>
        <w:tc>
          <w:tcPr>
            <w:tcW w:w="260" w:type="dxa"/>
            <w:vAlign w:val="bottom"/>
            <w:tcBorders>
              <w:bottom w:val="single" w:sz="8" w:color="CFF0FC"/>
            </w:tcBorders>
          </w:tcPr>
          <w:p>
            <w:pPr>
              <w:spacing w:after="0"/>
              <w:rPr>
                <w:sz w:val="22"/>
                <w:szCs w:val="22"/>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260" w:type="dxa"/>
            <w:vAlign w:val="bottom"/>
            <w:tcBorders>
              <w:bottom w:val="single" w:sz="8" w:color="CFF0FC"/>
            </w:tcBorders>
          </w:tcPr>
          <w:p>
            <w:pPr>
              <w:spacing w:after="0"/>
              <w:rPr>
                <w:sz w:val="22"/>
                <w:szCs w:val="22"/>
                <w:color w:val="auto"/>
              </w:rPr>
            </w:pPr>
          </w:p>
        </w:tc>
        <w:tc>
          <w:tcPr>
            <w:tcW w:w="3380" w:type="dxa"/>
            <w:vAlign w:val="bottom"/>
            <w:tcBorders>
              <w:bottom w:val="single" w:sz="8" w:color="CFF0FC"/>
            </w:tcBorders>
          </w:tcPr>
          <w:p>
            <w:pPr>
              <w:spacing w:after="0"/>
              <w:rPr>
                <w:sz w:val="22"/>
                <w:szCs w:val="22"/>
                <w:color w:val="auto"/>
              </w:rPr>
            </w:pPr>
          </w:p>
        </w:tc>
      </w:tr>
      <w:tr>
        <w:trPr>
          <w:trHeight w:val="210"/>
        </w:trPr>
        <w:tc>
          <w:tcPr>
            <w:tcW w:w="48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Derivative Liabilities</w:t>
            </w:r>
          </w:p>
        </w:tc>
        <w:tc>
          <w:tcPr>
            <w:tcW w:w="10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3380" w:type="dxa"/>
            <w:vAlign w:val="bottom"/>
            <w:shd w:val="clear" w:color="auto" w:fill="CFF0FC"/>
          </w:tcPr>
          <w:p>
            <w:pPr>
              <w:spacing w:after="0"/>
              <w:rPr>
                <w:sz w:val="18"/>
                <w:szCs w:val="18"/>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Derivatives designated as hedges: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w:t>
            </w:r>
          </w:p>
        </w:tc>
        <w:tc>
          <w:tcPr>
            <w:tcW w:w="132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w:t>
            </w:r>
          </w:p>
        </w:tc>
        <w:tc>
          <w:tcPr>
            <w:tcW w:w="3640" w:type="dxa"/>
            <w:vAlign w:val="bottom"/>
            <w:gridSpan w:val="2"/>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Cross currency swap</w:t>
            </w:r>
          </w:p>
        </w:tc>
        <w:tc>
          <w:tcPr>
            <w:tcW w:w="1000" w:type="dxa"/>
            <w:vAlign w:val="bottom"/>
            <w:tcBorders>
              <w:bottom w:val="single" w:sz="8" w:color="auto"/>
            </w:tcBorders>
            <w:shd w:val="clear" w:color="auto" w:fill="CFF0FC"/>
          </w:tcPr>
          <w:p>
            <w:pPr>
              <w:spacing w:after="0"/>
              <w:rPr>
                <w:sz w:val="19"/>
                <w:szCs w:val="19"/>
                <w:color w:val="auto"/>
              </w:rPr>
            </w:pP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35</w:t>
            </w:r>
          </w:p>
        </w:tc>
        <w:tc>
          <w:tcPr>
            <w:tcW w:w="260" w:type="dxa"/>
            <w:vAlign w:val="bottom"/>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23"/>
        </w:trPr>
        <w:tc>
          <w:tcPr>
            <w:tcW w:w="4820" w:type="dxa"/>
            <w:vAlign w:val="bottom"/>
            <w:tcBorders>
              <w:bottom w:val="single" w:sz="8" w:color="CFF0FC"/>
            </w:tcBorders>
          </w:tcPr>
          <w:p>
            <w:pPr>
              <w:spacing w:after="0"/>
              <w:rPr>
                <w:sz w:val="19"/>
                <w:szCs w:val="19"/>
                <w:color w:val="auto"/>
              </w:rPr>
            </w:pPr>
          </w:p>
        </w:tc>
        <w:tc>
          <w:tcPr>
            <w:tcW w:w="1000" w:type="dxa"/>
            <w:vAlign w:val="bottom"/>
            <w:tcBorders>
              <w:bottom w:val="single" w:sz="8" w:color="auto"/>
            </w:tcBorders>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81</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jc w:val="right"/>
              <w:ind w:right="9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260" w:type="dxa"/>
            <w:vAlign w:val="bottom"/>
            <w:tcBorders>
              <w:bottom w:val="single" w:sz="8" w:color="CFF0FC"/>
            </w:tcBorders>
          </w:tcPr>
          <w:p>
            <w:pPr>
              <w:spacing w:after="0"/>
              <w:rPr>
                <w:sz w:val="19"/>
                <w:szCs w:val="19"/>
                <w:color w:val="auto"/>
              </w:rPr>
            </w:pPr>
          </w:p>
        </w:tc>
        <w:tc>
          <w:tcPr>
            <w:tcW w:w="3380" w:type="dxa"/>
            <w:vAlign w:val="bottom"/>
            <w:tcBorders>
              <w:bottom w:val="single" w:sz="8" w:color="CFF0FC"/>
            </w:tcBorders>
          </w:tcPr>
          <w:p>
            <w:pPr>
              <w:spacing w:after="0"/>
              <w:rPr>
                <w:sz w:val="19"/>
                <w:szCs w:val="19"/>
                <w:color w:val="auto"/>
              </w:rPr>
            </w:pPr>
          </w:p>
        </w:tc>
      </w:tr>
      <w:tr>
        <w:trPr>
          <w:trHeight w:val="223"/>
        </w:trPr>
        <w:tc>
          <w:tcPr>
            <w:tcW w:w="48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380" w:type="dxa"/>
            <w:vAlign w:val="bottom"/>
            <w:shd w:val="clear" w:color="auto" w:fill="CFF0FC"/>
          </w:tcPr>
          <w:p>
            <w:pPr>
              <w:spacing w:after="0"/>
              <w:rPr>
                <w:sz w:val="19"/>
                <w:szCs w:val="19"/>
                <w:color w:val="auto"/>
              </w:rPr>
            </w:pPr>
          </w:p>
        </w:tc>
      </w:tr>
      <w:tr>
        <w:trPr>
          <w:trHeight w:val="229"/>
        </w:trPr>
        <w:tc>
          <w:tcPr>
            <w:tcW w:w="4820" w:type="dxa"/>
            <w:vAlign w:val="bottom"/>
          </w:tcPr>
          <w:p>
            <w:pPr>
              <w:spacing w:after="0"/>
              <w:rPr>
                <w:sz w:val="20"/>
                <w:szCs w:val="20"/>
                <w:color w:val="auto"/>
              </w:rPr>
            </w:pPr>
            <w:r>
              <w:rPr>
                <w:rFonts w:ascii="Arial" w:cs="Arial" w:eastAsia="Arial" w:hAnsi="Arial"/>
                <w:sz w:val="18"/>
                <w:szCs w:val="18"/>
                <w:color w:val="auto"/>
              </w:rPr>
              <w:t>Derivatives not designated as hedges:</w:t>
            </w:r>
          </w:p>
        </w:tc>
        <w:tc>
          <w:tcPr>
            <w:tcW w:w="10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380" w:type="dxa"/>
            <w:vAlign w:val="bottom"/>
          </w:tcPr>
          <w:p>
            <w:pPr>
              <w:spacing w:after="0"/>
              <w:rPr>
                <w:sz w:val="19"/>
                <w:szCs w:val="19"/>
                <w:color w:val="auto"/>
              </w:rPr>
            </w:pPr>
          </w:p>
        </w:tc>
      </w:tr>
      <w:tr>
        <w:trPr>
          <w:trHeight w:val="229"/>
        </w:trPr>
        <w:tc>
          <w:tcPr>
            <w:tcW w:w="4820" w:type="dxa"/>
            <w:vAlign w:val="bottom"/>
            <w:shd w:val="clear" w:color="auto" w:fill="CFF0FC"/>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95</w:t>
            </w:r>
          </w:p>
        </w:tc>
        <w:tc>
          <w:tcPr>
            <w:tcW w:w="1320" w:type="dxa"/>
            <w:vAlign w:val="bottom"/>
            <w:gridSpan w:val="2"/>
            <w:shd w:val="clear" w:color="auto" w:fill="CFF0FC"/>
          </w:tcPr>
          <w:p>
            <w:pPr>
              <w:jc w:val="right"/>
              <w:ind w:right="906"/>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640" w:type="dxa"/>
            <w:vAlign w:val="bottom"/>
            <w:gridSpan w:val="2"/>
            <w:shd w:val="clear" w:color="auto" w:fill="CFF0FC"/>
          </w:tcPr>
          <w:p>
            <w:pPr>
              <w:ind w:left="260"/>
              <w:spacing w:after="0"/>
              <w:rPr>
                <w:sz w:val="20"/>
                <w:szCs w:val="20"/>
                <w:color w:val="auto"/>
              </w:rPr>
            </w:pPr>
            <w:r>
              <w:rPr>
                <w:rFonts w:ascii="Arial" w:cs="Arial" w:eastAsia="Arial" w:hAnsi="Arial"/>
                <w:sz w:val="18"/>
                <w:szCs w:val="18"/>
                <w:i w:val="1"/>
                <w:iCs w:val="1"/>
                <w:color w:val="auto"/>
              </w:rPr>
              <w:t>Accounts payable and accrued liabilities</w:t>
            </w:r>
          </w:p>
        </w:tc>
      </w:tr>
      <w:tr>
        <w:trPr>
          <w:trHeight w:val="229"/>
        </w:trPr>
        <w:tc>
          <w:tcPr>
            <w:tcW w:w="48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Foreign exchange contracts</w:t>
            </w:r>
          </w:p>
        </w:tc>
        <w:tc>
          <w:tcPr>
            <w:tcW w:w="10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w:t>
            </w:r>
          </w:p>
        </w:tc>
        <w:tc>
          <w:tcPr>
            <w:tcW w:w="2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40" w:type="dxa"/>
            <w:vAlign w:val="bottom"/>
            <w:tcBorders>
              <w:bottom w:val="single" w:sz="8" w:color="CFF0FC"/>
            </w:tcBorders>
            <w:gridSpan w:val="2"/>
          </w:tcPr>
          <w:p>
            <w:pPr>
              <w:ind w:left="260"/>
              <w:spacing w:after="0"/>
              <w:rPr>
                <w:sz w:val="20"/>
                <w:szCs w:val="20"/>
                <w:color w:val="auto"/>
              </w:rPr>
            </w:pPr>
            <w:r>
              <w:rPr>
                <w:rFonts w:ascii="Arial" w:cs="Arial" w:eastAsia="Arial" w:hAnsi="Arial"/>
                <w:sz w:val="18"/>
                <w:szCs w:val="18"/>
                <w:i w:val="1"/>
                <w:iCs w:val="1"/>
                <w:color w:val="auto"/>
              </w:rPr>
              <w:t>Other Liabilities</w:t>
            </w:r>
          </w:p>
        </w:tc>
      </w:tr>
      <w:tr>
        <w:trPr>
          <w:trHeight w:val="223"/>
        </w:trPr>
        <w:tc>
          <w:tcPr>
            <w:tcW w:w="4820" w:type="dxa"/>
            <w:vAlign w:val="bottom"/>
            <w:tcBorders>
              <w:bottom w:val="single" w:sz="8" w:color="CFF0FC"/>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ind w:right="845"/>
              <w:spacing w:after="0"/>
              <w:rPr>
                <w:sz w:val="20"/>
                <w:szCs w:val="20"/>
                <w:color w:val="auto"/>
              </w:rPr>
            </w:pPr>
            <w:r>
              <w:rPr>
                <w:rFonts w:ascii="Arial" w:cs="Arial" w:eastAsia="Arial" w:hAnsi="Arial"/>
                <w:sz w:val="15"/>
                <w:szCs w:val="15"/>
                <w:b w:val="1"/>
                <w:bCs w:val="1"/>
                <w:color w:val="auto"/>
                <w:w w:val="71"/>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99"/>
              </w:rPr>
              <w:t>178</w:t>
            </w:r>
          </w:p>
        </w:tc>
        <w:tc>
          <w:tcPr>
            <w:tcW w:w="2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6"/>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260" w:type="dxa"/>
            <w:vAlign w:val="bottom"/>
            <w:tcBorders>
              <w:bottom w:val="single" w:sz="8" w:color="CFF0FC"/>
            </w:tcBorders>
            <w:shd w:val="clear" w:color="auto" w:fill="CFF0FC"/>
          </w:tcPr>
          <w:p>
            <w:pPr>
              <w:spacing w:after="0"/>
              <w:rPr>
                <w:sz w:val="19"/>
                <w:szCs w:val="19"/>
                <w:color w:val="auto"/>
              </w:rPr>
            </w:pPr>
          </w:p>
        </w:tc>
        <w:tc>
          <w:tcPr>
            <w:tcW w:w="3380" w:type="dxa"/>
            <w:vAlign w:val="bottom"/>
            <w:tcBorders>
              <w:bottom w:val="single" w:sz="8" w:color="CFF0FC"/>
            </w:tcBorders>
            <w:shd w:val="clear" w:color="auto" w:fill="CFF0FC"/>
          </w:tcPr>
          <w:p>
            <w:pPr>
              <w:spacing w:after="0"/>
              <w:rPr>
                <w:sz w:val="19"/>
                <w:szCs w:val="19"/>
                <w:color w:val="auto"/>
              </w:rPr>
            </w:pPr>
          </w:p>
        </w:tc>
      </w:tr>
      <w:tr>
        <w:trPr>
          <w:trHeight w:val="20"/>
        </w:trPr>
        <w:tc>
          <w:tcPr>
            <w:tcW w:w="48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fair value of all outstanding derivatives was determined using a model with inputs that are observable in the market or that can be derived from, or corroborated by, observable data.</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 xml:space="preserve">The effect of derivative instruments designated as fair value hedges and those not designated as hedges on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was as follows: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20" w:type="dxa"/>
            <w:vAlign w:val="bottom"/>
            <w:gridSpan w:val="4"/>
          </w:tcPr>
          <w:p>
            <w:pPr>
              <w:jc w:val="right"/>
              <w:ind w:right="240"/>
              <w:spacing w:after="0"/>
              <w:rPr>
                <w:sz w:val="20"/>
                <w:szCs w:val="20"/>
                <w:color w:val="auto"/>
              </w:rPr>
            </w:pPr>
            <w:r>
              <w:rPr>
                <w:rFonts w:ascii="Arial" w:cs="Arial" w:eastAsia="Arial" w:hAnsi="Arial"/>
                <w:sz w:val="14"/>
                <w:szCs w:val="14"/>
                <w:i w:val="1"/>
                <w:iCs w:val="1"/>
                <w:color w:val="auto"/>
              </w:rPr>
              <w:t>(Stated in millions)</w:t>
            </w: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7"/>
        </w:trPr>
        <w:tc>
          <w:tcPr>
            <w:tcW w:w="4600" w:type="dxa"/>
            <w:vAlign w:val="bottom"/>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7"/>
          </w:tcPr>
          <w:p>
            <w:pPr>
              <w:ind w:left="40"/>
              <w:spacing w:after="0"/>
              <w:rPr>
                <w:sz w:val="20"/>
                <w:szCs w:val="20"/>
                <w:color w:val="auto"/>
              </w:rPr>
            </w:pPr>
            <w:r>
              <w:rPr>
                <w:rFonts w:ascii="Arial" w:cs="Arial" w:eastAsia="Arial" w:hAnsi="Arial"/>
                <w:sz w:val="16"/>
                <w:szCs w:val="16"/>
                <w:b w:val="1"/>
                <w:bCs w:val="1"/>
                <w:color w:val="auto"/>
                <w:w w:val="94"/>
              </w:rPr>
              <w:t>Gain (Loss) Recognized in Income</w:t>
            </w:r>
          </w:p>
        </w:tc>
        <w:tc>
          <w:tcPr>
            <w:tcW w:w="1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4600" w:type="dxa"/>
            <w:vAlign w:val="bottom"/>
          </w:tcPr>
          <w:p>
            <w:pPr>
              <w:spacing w:after="0"/>
              <w:rPr>
                <w:sz w:val="17"/>
                <w:szCs w:val="17"/>
                <w:color w:val="auto"/>
              </w:rPr>
            </w:pPr>
          </w:p>
        </w:tc>
        <w:tc>
          <w:tcPr>
            <w:tcW w:w="2060" w:type="dxa"/>
            <w:vAlign w:val="bottom"/>
            <w:tcBorders>
              <w:bottom w:val="single" w:sz="8" w:color="auto"/>
            </w:tcBorders>
            <w:gridSpan w:val="5"/>
          </w:tcPr>
          <w:p>
            <w:pPr>
              <w:jc w:val="right"/>
              <w:ind w:right="340"/>
              <w:spacing w:after="0"/>
              <w:rPr>
                <w:sz w:val="20"/>
                <w:szCs w:val="20"/>
                <w:color w:val="auto"/>
              </w:rPr>
            </w:pPr>
            <w:r>
              <w:rPr>
                <w:rFonts w:ascii="Arial" w:cs="Arial" w:eastAsia="Arial" w:hAnsi="Arial"/>
                <w:sz w:val="16"/>
                <w:szCs w:val="16"/>
                <w:b w:val="1"/>
                <w:bCs w:val="1"/>
                <w:color w:val="auto"/>
              </w:rPr>
              <w:t>Second Quarter</w:t>
            </w:r>
          </w:p>
        </w:tc>
        <w:tc>
          <w:tcPr>
            <w:tcW w:w="3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6"/>
                <w:szCs w:val="16"/>
                <w:b w:val="1"/>
                <w:bCs w:val="1"/>
                <w:color w:val="auto"/>
              </w:rPr>
              <w:t>Six Months</w:t>
            </w:r>
          </w:p>
        </w:tc>
        <w:tc>
          <w:tcPr>
            <w:tcW w:w="74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4600" w:type="dxa"/>
            <w:vAlign w:val="bottom"/>
          </w:tcPr>
          <w:p>
            <w:pPr>
              <w:spacing w:after="0"/>
              <w:rPr>
                <w:sz w:val="17"/>
                <w:szCs w:val="17"/>
                <w:color w:val="auto"/>
              </w:rPr>
            </w:pPr>
          </w:p>
        </w:tc>
        <w:tc>
          <w:tcPr>
            <w:tcW w:w="74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2016</w:t>
            </w: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40" w:type="dxa"/>
            <w:vAlign w:val="bottom"/>
            <w:vMerge w:val="restart"/>
          </w:tcPr>
          <w:p>
            <w:pPr>
              <w:jc w:val="right"/>
              <w:ind w:right="295"/>
              <w:spacing w:after="0"/>
              <w:rPr>
                <w:sz w:val="20"/>
                <w:szCs w:val="20"/>
                <w:color w:val="auto"/>
              </w:rPr>
            </w:pPr>
            <w:r>
              <w:rPr>
                <w:rFonts w:ascii="Arial" w:cs="Arial" w:eastAsia="Arial" w:hAnsi="Arial"/>
                <w:sz w:val="16"/>
                <w:szCs w:val="16"/>
                <w:b w:val="1"/>
                <w:bCs w:val="1"/>
                <w:color w:val="auto"/>
              </w:rPr>
              <w:t>2016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40" w:type="dxa"/>
            <w:vAlign w:val="bottom"/>
          </w:tcPr>
          <w:p>
            <w:pPr>
              <w:spacing w:after="0"/>
              <w:rPr>
                <w:sz w:val="20"/>
                <w:szCs w:val="20"/>
                <w:color w:val="auto"/>
              </w:rPr>
            </w:pPr>
            <w:r>
              <w:rPr>
                <w:rFonts w:ascii="Arial" w:cs="Arial" w:eastAsia="Arial" w:hAnsi="Arial"/>
                <w:sz w:val="16"/>
                <w:szCs w:val="16"/>
                <w:color w:val="auto"/>
                <w:w w:val="94"/>
              </w:rPr>
              <w:t>Consolidated Statement</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600" w:type="dxa"/>
            <w:vAlign w:val="bottom"/>
          </w:tcPr>
          <w:p>
            <w:pPr>
              <w:spacing w:after="0"/>
              <w:rPr>
                <w:sz w:val="18"/>
                <w:szCs w:val="18"/>
                <w:color w:val="auto"/>
              </w:rPr>
            </w:pPr>
          </w:p>
        </w:tc>
        <w:tc>
          <w:tcPr>
            <w:tcW w:w="740" w:type="dxa"/>
            <w:vAlign w:val="bottom"/>
            <w:vMerge w:val="continue"/>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6"/>
                <w:szCs w:val="16"/>
                <w:color w:val="auto"/>
              </w:rPr>
              <w:t>2015</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jc w:val="right"/>
              <w:ind w:right="293"/>
              <w:spacing w:after="0"/>
              <w:rPr>
                <w:sz w:val="20"/>
                <w:szCs w:val="20"/>
                <w:color w:val="auto"/>
              </w:rPr>
            </w:pPr>
            <w:r>
              <w:rPr>
                <w:rFonts w:ascii="Arial" w:cs="Arial" w:eastAsia="Arial" w:hAnsi="Arial"/>
                <w:sz w:val="16"/>
                <w:szCs w:val="16"/>
                <w:color w:val="auto"/>
                <w:w w:val="95"/>
              </w:rPr>
              <w:t>2015</w:t>
            </w:r>
          </w:p>
        </w:tc>
        <w:tc>
          <w:tcPr>
            <w:tcW w:w="240" w:type="dxa"/>
            <w:vAlign w:val="bottom"/>
          </w:tcPr>
          <w:p>
            <w:pPr>
              <w:spacing w:after="0"/>
              <w:rPr>
                <w:sz w:val="18"/>
                <w:szCs w:val="18"/>
                <w:color w:val="auto"/>
              </w:rPr>
            </w:pPr>
          </w:p>
        </w:tc>
        <w:tc>
          <w:tcPr>
            <w:tcW w:w="1640" w:type="dxa"/>
            <w:vAlign w:val="bottom"/>
          </w:tcPr>
          <w:p>
            <w:pPr>
              <w:ind w:left="40"/>
              <w:spacing w:after="0"/>
              <w:rPr>
                <w:sz w:val="20"/>
                <w:szCs w:val="20"/>
                <w:color w:val="auto"/>
              </w:rPr>
            </w:pPr>
            <w:r>
              <w:rPr>
                <w:rFonts w:ascii="Arial" w:cs="Arial" w:eastAsia="Arial" w:hAnsi="Arial"/>
                <w:sz w:val="16"/>
                <w:szCs w:val="16"/>
                <w:color w:val="auto"/>
                <w:w w:val="93"/>
              </w:rPr>
              <w:t>of Income Classification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6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Derivatives designated as fair value hedges:</w:t>
            </w:r>
          </w:p>
        </w:tc>
        <w:tc>
          <w:tcPr>
            <w:tcW w:w="740" w:type="dxa"/>
            <w:vAlign w:val="bottom"/>
            <w:tcBorders>
              <w:top w:val="single" w:sz="8" w:color="auto"/>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780" w:type="dxa"/>
            <w:vAlign w:val="bottom"/>
            <w:tcBorders>
              <w:top w:val="single" w:sz="8" w:color="auto"/>
            </w:tcBorders>
            <w:shd w:val="clear" w:color="auto" w:fill="CFF0FC"/>
          </w:tcPr>
          <w:p>
            <w:pPr>
              <w:spacing w:after="0"/>
              <w:rPr>
                <w:sz w:val="19"/>
                <w:szCs w:val="19"/>
                <w:color w:val="auto"/>
              </w:rPr>
            </w:pPr>
          </w:p>
        </w:tc>
        <w:tc>
          <w:tcPr>
            <w:tcW w:w="30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40" w:type="dxa"/>
            <w:vAlign w:val="bottom"/>
            <w:tcBorders>
              <w:top w:val="single" w:sz="8" w:color="auto"/>
            </w:tcBorders>
            <w:shd w:val="clear" w:color="auto" w:fill="CFF0FC"/>
          </w:tcPr>
          <w:p>
            <w:pPr>
              <w:spacing w:after="0"/>
              <w:rPr>
                <w:sz w:val="19"/>
                <w:szCs w:val="19"/>
                <w:color w:val="auto"/>
              </w:rPr>
            </w:pPr>
          </w:p>
        </w:tc>
        <w:tc>
          <w:tcPr>
            <w:tcW w:w="84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CFF0FC"/>
            </w:tcBorders>
            <w:shd w:val="clear" w:color="auto" w:fill="CFF0FC"/>
          </w:tcPr>
          <w:p>
            <w:pPr>
              <w:spacing w:after="0"/>
              <w:rPr>
                <w:sz w:val="19"/>
                <w:szCs w:val="19"/>
                <w:color w:val="auto"/>
              </w:rPr>
            </w:pPr>
          </w:p>
        </w:tc>
        <w:tc>
          <w:tcPr>
            <w:tcW w:w="320" w:type="dxa"/>
            <w:vAlign w:val="bottom"/>
            <w:tcBorders>
              <w:top w:val="single" w:sz="8" w:color="auto"/>
            </w:tcBorders>
            <w:shd w:val="clear" w:color="auto" w:fill="CFF0FC"/>
          </w:tcPr>
          <w:p>
            <w:pPr>
              <w:spacing w:after="0"/>
              <w:rPr>
                <w:sz w:val="19"/>
                <w:szCs w:val="19"/>
                <w:color w:val="auto"/>
              </w:rPr>
            </w:pPr>
          </w:p>
        </w:tc>
        <w:tc>
          <w:tcPr>
            <w:tcW w:w="740" w:type="dxa"/>
            <w:vAlign w:val="bottom"/>
            <w:tcBorders>
              <w:top w:val="single" w:sz="8" w:color="auto"/>
            </w:tcBorders>
            <w:shd w:val="clear" w:color="auto" w:fill="CFF0FC"/>
          </w:tcPr>
          <w:p>
            <w:pPr>
              <w:spacing w:after="0"/>
              <w:rPr>
                <w:sz w:val="19"/>
                <w:szCs w:val="19"/>
                <w:color w:val="auto"/>
              </w:rPr>
            </w:pPr>
          </w:p>
        </w:tc>
        <w:tc>
          <w:tcPr>
            <w:tcW w:w="240" w:type="dxa"/>
            <w:vAlign w:val="bottom"/>
            <w:tcBorders>
              <w:top w:val="single" w:sz="8" w:color="CFF0FC"/>
            </w:tcBorders>
            <w:shd w:val="clear" w:color="auto" w:fill="CFF0FC"/>
          </w:tcPr>
          <w:p>
            <w:pPr>
              <w:spacing w:after="0"/>
              <w:rPr>
                <w:sz w:val="19"/>
                <w:szCs w:val="19"/>
                <w:color w:val="auto"/>
              </w:rPr>
            </w:pPr>
          </w:p>
        </w:tc>
        <w:tc>
          <w:tcPr>
            <w:tcW w:w="1640" w:type="dxa"/>
            <w:vAlign w:val="bottom"/>
            <w:tcBorders>
              <w:top w:val="single" w:sz="8" w:color="auto"/>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Cross currency swap</w:t>
            </w:r>
          </w:p>
        </w:tc>
        <w:tc>
          <w:tcPr>
            <w:tcW w:w="740" w:type="dxa"/>
            <w:vAlign w:val="bottom"/>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(6)</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19</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00" w:type="dxa"/>
            <w:vAlign w:val="bottom"/>
          </w:tcPr>
          <w:p>
            <w:pPr>
              <w:spacing w:after="0"/>
              <w:rPr>
                <w:sz w:val="19"/>
                <w:szCs w:val="19"/>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(51)</w:t>
            </w:r>
          </w:p>
        </w:tc>
        <w:tc>
          <w:tcPr>
            <w:tcW w:w="1640" w:type="dxa"/>
            <w:vAlign w:val="bottom"/>
          </w:tcPr>
          <w:p>
            <w:pPr>
              <w:spacing w:after="0"/>
              <w:rPr>
                <w:sz w:val="20"/>
                <w:szCs w:val="20"/>
                <w:color w:val="auto"/>
              </w:rPr>
            </w:pPr>
            <w:r>
              <w:rPr>
                <w:rFonts w:ascii="Arial" w:cs="Arial" w:eastAsia="Arial" w:hAnsi="Arial"/>
                <w:sz w:val="18"/>
                <w:szCs w:val="18"/>
                <w:i w:val="1"/>
                <w:iCs w:val="1"/>
                <w:color w:val="auto"/>
              </w:rPr>
              <w:t>Interest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6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Derivatives not designated as hedges:</w:t>
            </w:r>
          </w:p>
        </w:tc>
        <w:tc>
          <w:tcPr>
            <w:tcW w:w="7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7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4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00" w:type="dxa"/>
            <w:vAlign w:val="bottom"/>
          </w:tcPr>
          <w:p>
            <w:pPr>
              <w:spacing w:after="0"/>
              <w:rPr>
                <w:sz w:val="20"/>
                <w:szCs w:val="20"/>
                <w:color w:val="auto"/>
              </w:rPr>
            </w:pPr>
            <w:r>
              <w:rPr>
                <w:rFonts w:ascii="Arial" w:cs="Arial" w:eastAsia="Arial" w:hAnsi="Arial"/>
                <w:sz w:val="18"/>
                <w:szCs w:val="18"/>
                <w:color w:val="auto"/>
              </w:rPr>
              <w:t>Foreign exchange contracts</w:t>
            </w:r>
          </w:p>
        </w:tc>
        <w:tc>
          <w:tcPr>
            <w:tcW w:w="740" w:type="dxa"/>
            <w:vAlign w:val="bottom"/>
          </w:tcPr>
          <w:p>
            <w:pPr>
              <w:jc w:val="right"/>
              <w:ind w:right="583"/>
              <w:spacing w:after="0"/>
              <w:rPr>
                <w:sz w:val="20"/>
                <w:szCs w:val="20"/>
                <w:color w:val="auto"/>
              </w:rPr>
            </w:pPr>
            <w:r>
              <w:rPr>
                <w:rFonts w:ascii="Arial" w:cs="Arial" w:eastAsia="Arial" w:hAnsi="Arial"/>
                <w:sz w:val="15"/>
                <w:szCs w:val="15"/>
                <w:b w:val="1"/>
                <w:bCs w:val="1"/>
                <w:color w:val="auto"/>
                <w:w w:val="71"/>
              </w:rPr>
              <w:t>$</w:t>
            </w:r>
          </w:p>
        </w:tc>
        <w:tc>
          <w:tcPr>
            <w:tcW w:w="50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(57)</w:t>
            </w: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c>
          <w:tcPr>
            <w:tcW w:w="2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(138)</w:t>
            </w: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(61)</w:t>
            </w:r>
          </w:p>
        </w:tc>
        <w:tc>
          <w:tcPr>
            <w:tcW w:w="1640" w:type="dxa"/>
            <w:vAlign w:val="bottom"/>
          </w:tcPr>
          <w:p>
            <w:pPr>
              <w:spacing w:after="0"/>
              <w:rPr>
                <w:sz w:val="20"/>
                <w:szCs w:val="20"/>
                <w:color w:val="auto"/>
              </w:rPr>
            </w:pPr>
            <w:r>
              <w:rPr>
                <w:rFonts w:ascii="Arial" w:cs="Arial" w:eastAsia="Arial" w:hAnsi="Arial"/>
                <w:sz w:val="18"/>
                <w:szCs w:val="18"/>
                <w:i w:val="1"/>
                <w:iCs w:val="1"/>
                <w:color w:val="auto"/>
                <w:w w:val="97"/>
              </w:rPr>
              <w:t>Cost of service/sales</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46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0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3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320" w:type="dxa"/>
            <w:vAlign w:val="bottom"/>
            <w:tcBorders>
              <w:bottom w:val="single" w:sz="8" w:color="9A9A9A"/>
            </w:tcBorders>
          </w:tcPr>
          <w:p>
            <w:pPr>
              <w:spacing w:after="0"/>
              <w:rPr>
                <w:sz w:val="9"/>
                <w:szCs w:val="9"/>
                <w:color w:val="auto"/>
              </w:rPr>
            </w:pPr>
          </w:p>
        </w:tc>
        <w:tc>
          <w:tcPr>
            <w:tcW w:w="7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6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16" w:name="page17"/>
    <w:bookmarkEnd w:id="16"/>
    <w:p>
      <w:pPr>
        <w:ind w:left="360" w:hanging="352"/>
        <w:spacing w:after="0"/>
        <w:tabs>
          <w:tab w:leader="none" w:pos="3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the US statutory federal tax rate (35%) to the consolidated effective income tax rate follows: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00" w:type="dxa"/>
            <w:vAlign w:val="bottom"/>
          </w:tcPr>
          <w:p>
            <w:pPr>
              <w:spacing w:after="0"/>
              <w:rPr>
                <w:sz w:val="20"/>
                <w:szCs w:val="20"/>
                <w:color w:val="auto"/>
              </w:rPr>
            </w:pPr>
          </w:p>
        </w:tc>
        <w:tc>
          <w:tcPr>
            <w:tcW w:w="222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Second Quarter</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480" w:type="dxa"/>
            <w:vAlign w:val="bottom"/>
            <w:gridSpan w:val="7"/>
          </w:tcPr>
          <w:p>
            <w:pPr>
              <w:jc w:val="right"/>
              <w:ind w:right="1180"/>
              <w:spacing w:after="0"/>
              <w:rPr>
                <w:sz w:val="20"/>
                <w:szCs w:val="20"/>
                <w:color w:val="auto"/>
              </w:rPr>
            </w:pPr>
            <w:r>
              <w:rPr>
                <w:rFonts w:ascii="Arial" w:cs="Arial" w:eastAsia="Arial" w:hAnsi="Arial"/>
                <w:sz w:val="18"/>
                <w:szCs w:val="18"/>
                <w:b w:val="1"/>
                <w:bCs w:val="1"/>
                <w:color w:val="auto"/>
              </w:rPr>
              <w:t>Six Months</w:t>
            </w:r>
          </w:p>
        </w:tc>
      </w:tr>
      <w:tr>
        <w:trPr>
          <w:trHeight w:val="223"/>
        </w:trPr>
        <w:tc>
          <w:tcPr>
            <w:tcW w:w="5600" w:type="dxa"/>
            <w:vAlign w:val="bottom"/>
            <w:tcBorders>
              <w:bottom w:val="single" w:sz="8" w:color="CFF0FC"/>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CFF0FC"/>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2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300" w:type="dxa"/>
            <w:vAlign w:val="bottom"/>
            <w:tcBorders>
              <w:bottom w:val="single" w:sz="8" w:color="CFF0FC"/>
            </w:tcBorders>
          </w:tcPr>
          <w:p>
            <w:pPr>
              <w:spacing w:after="0"/>
              <w:rPr>
                <w:sz w:val="19"/>
                <w:szCs w:val="19"/>
                <w:color w:val="auto"/>
              </w:rPr>
            </w:pPr>
          </w:p>
        </w:tc>
        <w:tc>
          <w:tcPr>
            <w:tcW w:w="920" w:type="dxa"/>
            <w:vAlign w:val="bottom"/>
            <w:tcBorders>
              <w:top w:val="single" w:sz="8" w:color="auto"/>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top w:val="single" w:sz="8" w:color="auto"/>
              <w:bottom w:val="single" w:sz="8" w:color="auto"/>
            </w:tcBorders>
          </w:tcPr>
          <w:p>
            <w:pPr>
              <w:spacing w:after="0"/>
              <w:rPr>
                <w:sz w:val="19"/>
                <w:szCs w:val="19"/>
                <w:color w:val="auto"/>
              </w:rPr>
            </w:pPr>
          </w:p>
        </w:tc>
        <w:tc>
          <w:tcPr>
            <w:tcW w:w="60" w:type="dxa"/>
            <w:vAlign w:val="bottom"/>
            <w:tcBorders>
              <w:top w:val="single" w:sz="8" w:color="auto"/>
              <w:bottom w:val="single" w:sz="8" w:color="CFF0FC"/>
            </w:tcBorders>
          </w:tcPr>
          <w:p>
            <w:pPr>
              <w:spacing w:after="0"/>
              <w:rPr>
                <w:sz w:val="19"/>
                <w:szCs w:val="19"/>
                <w:color w:val="auto"/>
              </w:rPr>
            </w:pPr>
          </w:p>
        </w:tc>
        <w:tc>
          <w:tcPr>
            <w:tcW w:w="280" w:type="dxa"/>
            <w:vAlign w:val="bottom"/>
            <w:tcBorders>
              <w:top w:val="single" w:sz="8" w:color="auto"/>
              <w:bottom w:val="single" w:sz="8" w:color="CFF0FC"/>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291"/>
              <w:spacing w:after="0"/>
              <w:rPr>
                <w:sz w:val="20"/>
                <w:szCs w:val="20"/>
                <w:color w:val="auto"/>
              </w:rPr>
            </w:pPr>
            <w:r>
              <w:rPr>
                <w:rFonts w:ascii="Arial" w:cs="Arial" w:eastAsia="Arial" w:hAnsi="Arial"/>
                <w:sz w:val="18"/>
                <w:szCs w:val="18"/>
                <w:color w:val="auto"/>
              </w:rPr>
              <w:t>2015</w:t>
            </w:r>
          </w:p>
        </w:tc>
        <w:tc>
          <w:tcPr>
            <w:tcW w:w="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US federal statutory rate</w:t>
            </w:r>
          </w:p>
        </w:tc>
        <w:tc>
          <w:tcPr>
            <w:tcW w:w="80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35%</w:t>
            </w:r>
          </w:p>
        </w:tc>
        <w:tc>
          <w:tcPr>
            <w:tcW w:w="7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70"/>
              <w:spacing w:after="0"/>
              <w:rPr>
                <w:sz w:val="20"/>
                <w:szCs w:val="20"/>
                <w:color w:val="auto"/>
              </w:rPr>
            </w:pPr>
            <w:r>
              <w:rPr>
                <w:rFonts w:ascii="Arial" w:cs="Arial" w:eastAsia="Arial" w:hAnsi="Arial"/>
                <w:sz w:val="18"/>
                <w:szCs w:val="18"/>
                <w:color w:val="auto"/>
              </w:rPr>
              <w:t>35%</w:t>
            </w:r>
          </w:p>
        </w:tc>
        <w:tc>
          <w:tcPr>
            <w:tcW w:w="440" w:type="dxa"/>
            <w:vAlign w:val="bottom"/>
            <w:shd w:val="clear" w:color="auto" w:fill="CFF0FC"/>
          </w:tcPr>
          <w:p>
            <w:pPr>
              <w:spacing w:after="0"/>
              <w:rPr>
                <w:sz w:val="19"/>
                <w:szCs w:val="19"/>
                <w:color w:val="auto"/>
              </w:rPr>
            </w:pPr>
          </w:p>
        </w:tc>
        <w:tc>
          <w:tcPr>
            <w:tcW w:w="1040" w:type="dxa"/>
            <w:vAlign w:val="bottom"/>
            <w:gridSpan w:val="4"/>
            <w:shd w:val="clear" w:color="auto" w:fill="CFF0FC"/>
          </w:tcPr>
          <w:p>
            <w:pPr>
              <w:jc w:val="right"/>
              <w:ind w:right="70"/>
              <w:spacing w:after="0"/>
              <w:rPr>
                <w:sz w:val="20"/>
                <w:szCs w:val="20"/>
                <w:color w:val="auto"/>
              </w:rPr>
            </w:pPr>
            <w:r>
              <w:rPr>
                <w:rFonts w:ascii="Arial" w:cs="Arial" w:eastAsia="Arial" w:hAnsi="Arial"/>
                <w:sz w:val="18"/>
                <w:szCs w:val="18"/>
                <w:b w:val="1"/>
                <w:bCs w:val="1"/>
                <w:color w:val="auto"/>
              </w:rPr>
              <w:t>35%</w:t>
            </w:r>
          </w:p>
        </w:tc>
        <w:tc>
          <w:tcPr>
            <w:tcW w:w="13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State tax</w:t>
            </w:r>
          </w:p>
        </w:tc>
        <w:tc>
          <w:tcPr>
            <w:tcW w:w="3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Non-US income taxed at different rates</w:t>
            </w:r>
          </w:p>
        </w:tc>
        <w:tc>
          <w:tcPr>
            <w:tcW w:w="6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b w:val="1"/>
                <w:bCs w:val="1"/>
                <w:color w:val="auto"/>
              </w:rPr>
              <w:t>(18)</w:t>
            </w:r>
          </w:p>
        </w:tc>
        <w:tc>
          <w:tcPr>
            <w:tcW w:w="7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(13)</w:t>
            </w:r>
          </w:p>
        </w:tc>
        <w:tc>
          <w:tcPr>
            <w:tcW w:w="440" w:type="dxa"/>
            <w:vAlign w:val="bottom"/>
            <w:shd w:val="clear" w:color="auto" w:fill="CFF0FC"/>
          </w:tcPr>
          <w:p>
            <w:pPr>
              <w:spacing w:after="0"/>
              <w:rPr>
                <w:sz w:val="19"/>
                <w:szCs w:val="19"/>
                <w:color w:val="auto"/>
              </w:rPr>
            </w:pPr>
          </w:p>
        </w:tc>
        <w:tc>
          <w:tcPr>
            <w:tcW w:w="760" w:type="dxa"/>
            <w:vAlign w:val="bottom"/>
            <w:gridSpan w:val="3"/>
            <w:shd w:val="clear" w:color="auto" w:fill="CFF0FC"/>
          </w:tcPr>
          <w:p>
            <w:pPr>
              <w:jc w:val="right"/>
              <w:spacing w:after="0"/>
              <w:rPr>
                <w:sz w:val="20"/>
                <w:szCs w:val="20"/>
                <w:color w:val="auto"/>
              </w:rPr>
            </w:pPr>
            <w:r>
              <w:rPr>
                <w:rFonts w:ascii="Arial" w:cs="Arial" w:eastAsia="Arial" w:hAnsi="Arial"/>
                <w:sz w:val="18"/>
                <w:szCs w:val="18"/>
                <w:b w:val="1"/>
                <w:bCs w:val="1"/>
                <w:color w:val="auto"/>
              </w:rPr>
              <w:t>(20)</w:t>
            </w: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Charges and credits (See Note 2)</w:t>
            </w:r>
          </w:p>
        </w:tc>
        <w:tc>
          <w:tcPr>
            <w:tcW w:w="6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w:t>
            </w:r>
          </w:p>
        </w:tc>
        <w:tc>
          <w:tcPr>
            <w:tcW w:w="7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w:t>
            </w:r>
          </w:p>
        </w:tc>
        <w:tc>
          <w:tcPr>
            <w:tcW w:w="2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560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80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680" w:type="dxa"/>
            <w:vAlign w:val="bottom"/>
            <w:gridSpan w:val="3"/>
            <w:shd w:val="clear" w:color="auto" w:fill="CFF0FC"/>
          </w:tcPr>
          <w:p>
            <w:pPr>
              <w:jc w:val="right"/>
              <w:ind w:right="150"/>
              <w:spacing w:after="0"/>
              <w:rPr>
                <w:sz w:val="20"/>
                <w:szCs w:val="20"/>
                <w:color w:val="auto"/>
              </w:rPr>
            </w:pPr>
            <w:r>
              <w:rPr>
                <w:rFonts w:ascii="Arial" w:cs="Arial" w:eastAsia="Arial" w:hAnsi="Arial"/>
                <w:sz w:val="18"/>
                <w:szCs w:val="18"/>
                <w:color w:val="auto"/>
              </w:rPr>
              <w:t>(1)</w:t>
            </w:r>
          </w:p>
        </w:tc>
        <w:tc>
          <w:tcPr>
            <w:tcW w:w="4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3"/>
        </w:trPr>
        <w:tc>
          <w:tcPr>
            <w:tcW w:w="56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w:t>
            </w:r>
          </w:p>
        </w:tc>
        <w:tc>
          <w:tcPr>
            <w:tcW w:w="760" w:type="dxa"/>
            <w:vAlign w:val="bottom"/>
          </w:tcPr>
          <w:p>
            <w:pPr>
              <w:spacing w:after="0"/>
              <w:rPr>
                <w:sz w:val="19"/>
                <w:szCs w:val="19"/>
                <w:color w:val="auto"/>
              </w:rPr>
            </w:pPr>
          </w:p>
        </w:tc>
        <w:tc>
          <w:tcPr>
            <w:tcW w:w="680" w:type="dxa"/>
            <w:vAlign w:val="bottom"/>
            <w:gridSpan w:val="3"/>
          </w:tcPr>
          <w:p>
            <w:pPr>
              <w:jc w:val="right"/>
              <w:ind w:right="70"/>
              <w:spacing w:after="0"/>
              <w:rPr>
                <w:sz w:val="20"/>
                <w:szCs w:val="20"/>
                <w:color w:val="auto"/>
              </w:rPr>
            </w:pPr>
            <w:r>
              <w:rPr>
                <w:rFonts w:ascii="Arial" w:cs="Arial" w:eastAsia="Arial" w:hAnsi="Arial"/>
                <w:sz w:val="18"/>
                <w:szCs w:val="18"/>
                <w:color w:val="auto"/>
              </w:rPr>
              <w:t>21%</w:t>
            </w:r>
          </w:p>
        </w:tc>
        <w:tc>
          <w:tcPr>
            <w:tcW w:w="440" w:type="dxa"/>
            <w:vAlign w:val="bottom"/>
          </w:tcPr>
          <w:p>
            <w:pPr>
              <w:spacing w:after="0"/>
              <w:rPr>
                <w:sz w:val="19"/>
                <w:szCs w:val="19"/>
                <w:color w:val="auto"/>
              </w:rPr>
            </w:pPr>
          </w:p>
        </w:tc>
        <w:tc>
          <w:tcPr>
            <w:tcW w:w="1040" w:type="dxa"/>
            <w:vAlign w:val="bottom"/>
            <w:gridSpan w:val="4"/>
          </w:tcPr>
          <w:p>
            <w:pPr>
              <w:jc w:val="right"/>
              <w:ind w:right="70"/>
              <w:spacing w:after="0"/>
              <w:rPr>
                <w:sz w:val="20"/>
                <w:szCs w:val="20"/>
                <w:color w:val="auto"/>
              </w:rPr>
            </w:pPr>
            <w:r>
              <w:rPr>
                <w:rFonts w:ascii="Arial" w:cs="Arial" w:eastAsia="Arial" w:hAnsi="Arial"/>
                <w:sz w:val="18"/>
                <w:szCs w:val="18"/>
                <w:b w:val="1"/>
                <w:bCs w:val="1"/>
                <w:color w:val="auto"/>
              </w:rPr>
              <w:t>14%</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2"/>
        </w:trPr>
        <w:tc>
          <w:tcPr>
            <w:tcW w:w="6400" w:type="dxa"/>
            <w:vAlign w:val="bottom"/>
            <w:gridSpan w:val="2"/>
          </w:tcPr>
          <w:p>
            <w:pPr>
              <w:spacing w:after="0"/>
              <w:rPr>
                <w:sz w:val="20"/>
                <w:szCs w:val="20"/>
                <w:color w:val="auto"/>
              </w:rPr>
            </w:pPr>
            <w:r>
              <w:rPr>
                <w:rFonts w:ascii="Arial" w:cs="Arial" w:eastAsia="Arial" w:hAnsi="Arial"/>
                <w:sz w:val="18"/>
                <w:szCs w:val="18"/>
                <w:color w:val="auto"/>
              </w:rPr>
              <w:t>The components of net deferred tax assets (liabilities) were as follows:</w:t>
            </w: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3"/>
        </w:trPr>
        <w:tc>
          <w:tcPr>
            <w:tcW w:w="5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5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40" w:type="dxa"/>
            <w:vAlign w:val="bottom"/>
            <w:gridSpan w:val="2"/>
          </w:tcPr>
          <w:p>
            <w:pPr>
              <w:jc w:val="center"/>
              <w:ind w:left="10"/>
              <w:spacing w:after="0"/>
              <w:rPr>
                <w:sz w:val="20"/>
                <w:szCs w:val="20"/>
                <w:color w:val="auto"/>
              </w:rPr>
            </w:pPr>
            <w:r>
              <w:rPr>
                <w:rFonts w:ascii="Arial" w:cs="Arial" w:eastAsia="Arial" w:hAnsi="Arial"/>
                <w:sz w:val="18"/>
                <w:szCs w:val="18"/>
                <w:b w:val="1"/>
                <w:bCs w:val="1"/>
                <w:color w:val="auto"/>
                <w:w w:val="89"/>
              </w:rPr>
              <w:t>Jun. 30,</w:t>
            </w: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ind w:left="220"/>
              <w:spacing w:after="0"/>
              <w:rPr>
                <w:sz w:val="20"/>
                <w:szCs w:val="20"/>
                <w:color w:val="auto"/>
              </w:rPr>
            </w:pPr>
            <w:r>
              <w:rPr>
                <w:rFonts w:ascii="Arial" w:cs="Arial" w:eastAsia="Arial" w:hAnsi="Arial"/>
                <w:sz w:val="18"/>
                <w:szCs w:val="18"/>
                <w:color w:val="auto"/>
              </w:rPr>
              <w:t>Dec. 31,</w:t>
            </w:r>
          </w:p>
        </w:tc>
      </w:tr>
      <w:tr>
        <w:trPr>
          <w:trHeight w:val="234"/>
        </w:trPr>
        <w:tc>
          <w:tcPr>
            <w:tcW w:w="56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120" w:type="dxa"/>
            <w:vAlign w:val="bottom"/>
            <w:gridSpan w:val="4"/>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jc w:val="right"/>
              <w:ind w:right="331"/>
              <w:spacing w:after="0"/>
              <w:rPr>
                <w:sz w:val="20"/>
                <w:szCs w:val="20"/>
                <w:color w:val="auto"/>
              </w:rPr>
            </w:pPr>
            <w:r>
              <w:rPr>
                <w:rFonts w:ascii="Arial" w:cs="Arial" w:eastAsia="Arial" w:hAnsi="Arial"/>
                <w:sz w:val="18"/>
                <w:szCs w:val="18"/>
                <w:color w:val="auto"/>
              </w:rPr>
              <w:t>2015</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400" w:type="dxa"/>
            <w:vAlign w:val="bottom"/>
            <w:tcBorders>
              <w:top w:val="single" w:sz="8" w:color="CFF0FC"/>
            </w:tcBorders>
            <w:gridSpan w:val="2"/>
            <w:shd w:val="clear" w:color="auto" w:fill="CFF0FC"/>
          </w:tcPr>
          <w:p>
            <w:pPr>
              <w:spacing w:after="0"/>
              <w:rPr>
                <w:sz w:val="20"/>
                <w:szCs w:val="20"/>
                <w:color w:val="auto"/>
              </w:rPr>
            </w:pPr>
            <w:r>
              <w:rPr>
                <w:rFonts w:ascii="Arial" w:cs="Arial" w:eastAsia="Arial" w:hAnsi="Arial"/>
                <w:sz w:val="18"/>
                <w:szCs w:val="18"/>
                <w:color w:val="auto"/>
              </w:rPr>
              <w:t>Postretirement benefits</w:t>
            </w:r>
          </w:p>
        </w:tc>
        <w:tc>
          <w:tcPr>
            <w:tcW w:w="320" w:type="dxa"/>
            <w:vAlign w:val="bottom"/>
            <w:tcBorders>
              <w:top w:val="single" w:sz="8" w:color="CFF0FC"/>
            </w:tcBorders>
            <w:shd w:val="clear" w:color="auto" w:fill="CFF0FC"/>
          </w:tcPr>
          <w:p>
            <w:pPr>
              <w:spacing w:after="0"/>
              <w:rPr>
                <w:sz w:val="19"/>
                <w:szCs w:val="19"/>
                <w:color w:val="auto"/>
              </w:rPr>
            </w:pPr>
          </w:p>
        </w:tc>
        <w:tc>
          <w:tcPr>
            <w:tcW w:w="340" w:type="dxa"/>
            <w:vAlign w:val="bottom"/>
            <w:tcBorders>
              <w:top w:val="single" w:sz="8" w:color="CFF0FC"/>
            </w:tcBorders>
            <w:shd w:val="clear" w:color="auto" w:fill="CFF0FC"/>
          </w:tcPr>
          <w:p>
            <w:pPr>
              <w:spacing w:after="0"/>
              <w:rPr>
                <w:sz w:val="19"/>
                <w:szCs w:val="19"/>
                <w:color w:val="auto"/>
              </w:rPr>
            </w:pPr>
          </w:p>
        </w:tc>
        <w:tc>
          <w:tcPr>
            <w:tcW w:w="7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top w:val="single" w:sz="8" w:color="auto"/>
            </w:tcBorders>
            <w:shd w:val="clear" w:color="auto" w:fill="CFF0FC"/>
          </w:tcPr>
          <w:p>
            <w:pPr>
              <w:spacing w:after="0"/>
              <w:rPr>
                <w:sz w:val="19"/>
                <w:szCs w:val="19"/>
                <w:color w:val="auto"/>
              </w:rPr>
            </w:pPr>
          </w:p>
        </w:tc>
        <w:tc>
          <w:tcPr>
            <w:tcW w:w="440" w:type="dxa"/>
            <w:vAlign w:val="bottom"/>
            <w:tcBorders>
              <w:top w:val="single" w:sz="8" w:color="auto"/>
            </w:tcBorders>
            <w:shd w:val="clear" w:color="auto" w:fill="CFF0FC"/>
          </w:tcPr>
          <w:p>
            <w:pPr>
              <w:spacing w:after="0"/>
              <w:rPr>
                <w:sz w:val="19"/>
                <w:szCs w:val="19"/>
                <w:color w:val="auto"/>
              </w:rPr>
            </w:pPr>
          </w:p>
        </w:tc>
        <w:tc>
          <w:tcPr>
            <w:tcW w:w="4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265</w:t>
            </w:r>
          </w:p>
        </w:tc>
        <w:tc>
          <w:tcPr>
            <w:tcW w:w="22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91"/>
              </w:rPr>
              <w:t>(3,203)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(1,418)</w:t>
            </w:r>
          </w:p>
        </w:tc>
      </w:tr>
      <w:tr>
        <w:trPr>
          <w:trHeight w:val="229"/>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Investments in non-US subsidiaries</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7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(149)</w:t>
            </w: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44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(152)</w:t>
            </w:r>
          </w:p>
        </w:tc>
      </w:tr>
      <w:tr>
        <w:trPr>
          <w:trHeight w:val="229"/>
        </w:trPr>
        <w:tc>
          <w:tcPr>
            <w:tcW w:w="6400" w:type="dxa"/>
            <w:vAlign w:val="bottom"/>
            <w:gridSpan w:val="2"/>
          </w:tcPr>
          <w:p>
            <w:pPr>
              <w:spacing w:after="0"/>
              <w:rPr>
                <w:sz w:val="20"/>
                <w:szCs w:val="20"/>
                <w:color w:val="auto"/>
              </w:rPr>
            </w:pPr>
            <w:r>
              <w:rPr>
                <w:rFonts w:ascii="Arial" w:cs="Arial" w:eastAsia="Arial" w:hAnsi="Arial"/>
                <w:sz w:val="18"/>
                <w:szCs w:val="18"/>
                <w:color w:val="auto"/>
              </w:rPr>
              <w:t>Fixed assets, net</w:t>
            </w: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(163)</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gridSpan w:val="3"/>
          </w:tcPr>
          <w:p>
            <w:pPr>
              <w:jc w:val="right"/>
              <w:ind w:right="40"/>
              <w:spacing w:after="0"/>
              <w:rPr>
                <w:sz w:val="20"/>
                <w:szCs w:val="20"/>
                <w:color w:val="auto"/>
              </w:rPr>
            </w:pPr>
            <w:r>
              <w:rPr>
                <w:rFonts w:ascii="Arial" w:cs="Arial" w:eastAsia="Arial" w:hAnsi="Arial"/>
                <w:sz w:val="18"/>
                <w:szCs w:val="18"/>
                <w:color w:val="auto"/>
              </w:rPr>
              <w:t>(176)</w:t>
            </w:r>
          </w:p>
        </w:tc>
      </w:tr>
      <w:tr>
        <w:trPr>
          <w:trHeight w:val="229"/>
        </w:trPr>
        <w:tc>
          <w:tcPr>
            <w:tcW w:w="640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Inventories</w:t>
            </w:r>
          </w:p>
        </w:tc>
        <w:tc>
          <w:tcPr>
            <w:tcW w:w="3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289</w:t>
            </w:r>
          </w:p>
        </w:tc>
        <w:tc>
          <w:tcPr>
            <w:tcW w:w="2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9"/>
                <w:szCs w:val="19"/>
                <w:color w:val="auto"/>
              </w:rPr>
            </w:pPr>
          </w:p>
        </w:tc>
      </w:tr>
      <w:tr>
        <w:trPr>
          <w:trHeight w:val="229"/>
        </w:trPr>
        <w:tc>
          <w:tcPr>
            <w:tcW w:w="6400" w:type="dxa"/>
            <w:vAlign w:val="bottom"/>
            <w:tcBorders>
              <w:bottom w:val="single" w:sz="8" w:color="CFF0FC"/>
            </w:tcBorders>
            <w:gridSpan w:val="2"/>
          </w:tcPr>
          <w:p>
            <w:pPr>
              <w:spacing w:after="0"/>
              <w:rPr>
                <w:sz w:val="20"/>
                <w:szCs w:val="20"/>
                <w:color w:val="auto"/>
              </w:rPr>
            </w:pPr>
            <w:r>
              <w:rPr>
                <w:rFonts w:ascii="Arial" w:cs="Arial" w:eastAsia="Arial" w:hAnsi="Arial"/>
                <w:sz w:val="18"/>
                <w:szCs w:val="18"/>
                <w:color w:val="auto"/>
              </w:rPr>
              <w:t>Other, net</w:t>
            </w:r>
          </w:p>
        </w:tc>
        <w:tc>
          <w:tcPr>
            <w:tcW w:w="320" w:type="dxa"/>
            <w:vAlign w:val="bottom"/>
            <w:tcBorders>
              <w:bottom w:val="single" w:sz="8" w:color="CFF0FC"/>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7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721</w:t>
            </w:r>
          </w:p>
        </w:tc>
        <w:tc>
          <w:tcPr>
            <w:tcW w:w="2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454</w:t>
            </w:r>
          </w:p>
        </w:tc>
        <w:tc>
          <w:tcPr>
            <w:tcW w:w="100" w:type="dxa"/>
            <w:vAlign w:val="bottom"/>
            <w:tcBorders>
              <w:bottom w:val="single" w:sz="8" w:color="CFF0FC"/>
            </w:tcBorders>
          </w:tcPr>
          <w:p>
            <w:pPr>
              <w:spacing w:after="0"/>
              <w:rPr>
                <w:sz w:val="19"/>
                <w:szCs w:val="19"/>
                <w:color w:val="auto"/>
              </w:rPr>
            </w:pPr>
          </w:p>
        </w:tc>
      </w:tr>
      <w:tr>
        <w:trPr>
          <w:trHeight w:val="223"/>
        </w:trPr>
        <w:tc>
          <w:tcPr>
            <w:tcW w:w="5600" w:type="dxa"/>
            <w:vAlign w:val="bottom"/>
            <w:tcBorders>
              <w:bottom w:val="single" w:sz="8" w:color="CFF0FC"/>
            </w:tcBorders>
            <w:shd w:val="clear" w:color="auto" w:fill="CFF0FC"/>
          </w:tcPr>
          <w:p>
            <w:pPr>
              <w:spacing w:after="0"/>
              <w:rPr>
                <w:sz w:val="19"/>
                <w:szCs w:val="19"/>
                <w:color w:val="auto"/>
              </w:rPr>
            </w:pPr>
          </w:p>
        </w:tc>
        <w:tc>
          <w:tcPr>
            <w:tcW w:w="80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CFF0FC"/>
            </w:tcBorders>
            <w:shd w:val="clear" w:color="auto" w:fill="CFF0FC"/>
          </w:tcPr>
          <w:p>
            <w:pPr>
              <w:spacing w:after="0"/>
              <w:rPr>
                <w:sz w:val="19"/>
                <w:szCs w:val="19"/>
                <w:color w:val="auto"/>
              </w:rPr>
            </w:pPr>
          </w:p>
        </w:tc>
        <w:tc>
          <w:tcPr>
            <w:tcW w:w="340" w:type="dxa"/>
            <w:vAlign w:val="bottom"/>
            <w:tcBorders>
              <w:bottom w:val="single" w:sz="8" w:color="CFF0FC"/>
            </w:tcBorders>
            <w:shd w:val="clear" w:color="auto" w:fill="CFF0FC"/>
          </w:tcPr>
          <w:p>
            <w:pPr>
              <w:spacing w:after="0"/>
              <w:rPr>
                <w:sz w:val="19"/>
                <w:szCs w:val="19"/>
                <w:color w:val="auto"/>
              </w:rPr>
            </w:pPr>
          </w:p>
        </w:tc>
        <w:tc>
          <w:tcPr>
            <w:tcW w:w="760" w:type="dxa"/>
            <w:vAlign w:val="bottom"/>
            <w:tcBorders>
              <w:bottom w:val="single" w:sz="8" w:color="CFF0FC"/>
            </w:tcBorders>
            <w:shd w:val="clear" w:color="auto" w:fill="CFF0FC"/>
          </w:tcPr>
          <w:p>
            <w:pPr>
              <w:spacing w:after="0"/>
              <w:rPr>
                <w:sz w:val="19"/>
                <w:szCs w:val="19"/>
                <w:color w:val="auto"/>
              </w:rPr>
            </w:pPr>
          </w:p>
        </w:tc>
        <w:tc>
          <w:tcPr>
            <w:tcW w:w="2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207"/>
              <w:spacing w:after="0"/>
              <w:rPr>
                <w:sz w:val="20"/>
                <w:szCs w:val="20"/>
                <w:color w:val="auto"/>
              </w:rPr>
            </w:pPr>
            <w:r>
              <w:rPr>
                <w:rFonts w:ascii="Arial" w:cs="Arial" w:eastAsia="Arial" w:hAnsi="Arial"/>
                <w:sz w:val="15"/>
                <w:szCs w:val="15"/>
                <w:b w:val="1"/>
                <w:bCs w:val="1"/>
                <w:color w:val="auto"/>
                <w:w w:val="71"/>
              </w:rPr>
              <w:t>$</w:t>
            </w:r>
          </w:p>
        </w:tc>
        <w:tc>
          <w:tcPr>
            <w:tcW w:w="30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80"/>
              </w:rPr>
              <w:t>(2,240)</w:t>
            </w:r>
          </w:p>
        </w:tc>
        <w:tc>
          <w:tcPr>
            <w:tcW w:w="220" w:type="dxa"/>
            <w:vAlign w:val="bottom"/>
            <w:tcBorders>
              <w:bottom w:val="single" w:sz="8" w:color="CFF0FC"/>
            </w:tcBorders>
            <w:shd w:val="clear" w:color="auto" w:fill="CFF0FC"/>
          </w:tcPr>
          <w:p>
            <w:pPr>
              <w:spacing w:after="0"/>
              <w:rPr>
                <w:sz w:val="19"/>
                <w:szCs w:val="19"/>
                <w:color w:val="auto"/>
              </w:rPr>
            </w:pPr>
          </w:p>
        </w:tc>
        <w:tc>
          <w:tcPr>
            <w:tcW w:w="60" w:type="dxa"/>
            <w:vAlign w:val="bottom"/>
            <w:tcBorders>
              <w:bottom w:val="single" w:sz="8" w:color="CFF0FC"/>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(867)</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6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The above deferred tax balances at June 30, 2016 and December 31, 2015 were net of valuation allowances relating to net operating losses in certain countries of $151 million and $162 million, respectively.</w:t>
      </w:r>
    </w:p>
    <w:p>
      <w:pPr>
        <w:spacing w:after="0" w:line="314" w:lineRule="exact"/>
        <w:rPr>
          <w:sz w:val="20"/>
          <w:szCs w:val="20"/>
          <w:color w:val="auto"/>
        </w:rPr>
      </w:pPr>
    </w:p>
    <w:p>
      <w:pPr>
        <w:ind w:left="360" w:hanging="352"/>
        <w:spacing w:after="0"/>
        <w:tabs>
          <w:tab w:leader="none" w:pos="360"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Contingencies</w:t>
      </w:r>
    </w:p>
    <w:p>
      <w:pPr>
        <w:spacing w:after="0" w:line="121"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Schlumberger and its subsidiaries are party to various legal proceedings from time to time. A liability is accrued when a loss is both probable and can be reasonably estimated. Management believes that the probability of a material loss with respect to any currently pending legal proceedings is remote. However, litigation is inherently uncertain and it is not possible to predict the ultimate disposition of any of these proceedings.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14.  </w:t>
      </w:r>
      <w:r>
        <w:rPr>
          <w:rFonts w:ascii="Arial" w:cs="Arial" w:eastAsia="Arial" w:hAnsi="Arial"/>
          <w:sz w:val="18"/>
          <w:szCs w:val="18"/>
          <w:b w:val="1"/>
          <w:bCs w:val="1"/>
          <w:u w:val="single" w:color="auto"/>
          <w:color w:val="auto"/>
        </w:rPr>
        <w:t>Segment Information</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382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Second Quarter 2016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2015</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38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38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206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Drilling</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Cameron</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20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82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2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820" w:type="dxa"/>
            <w:vAlign w:val="bottom"/>
            <w:tcBorders>
              <w:top w:val="single" w:sz="8" w:color="CFF0FC"/>
              <w:bottom w:val="single" w:sz="8" w:color="CFF0FC"/>
            </w:tcBorders>
            <w:shd w:val="clear" w:color="auto" w:fill="CFF0FC"/>
          </w:tcPr>
          <w:p>
            <w:pPr>
              <w:spacing w:after="0"/>
              <w:rPr>
                <w:sz w:val="19"/>
                <w:szCs w:val="19"/>
                <w:color w:val="auto"/>
              </w:rPr>
            </w:pPr>
          </w:p>
        </w:tc>
        <w:tc>
          <w:tcPr>
            <w:tcW w:w="206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2060" w:type="dxa"/>
            <w:vAlign w:val="bottom"/>
            <w:vMerge w:val="restart"/>
          </w:tcPr>
          <w:p>
            <w:pPr>
              <w:jc w:val="right"/>
              <w:spacing w:after="0"/>
              <w:rPr>
                <w:sz w:val="20"/>
                <w:szCs w:val="20"/>
                <w:color w:val="auto"/>
              </w:rPr>
            </w:pPr>
            <w:r>
              <w:rPr>
                <w:rFonts w:ascii="Arial" w:cs="Arial" w:eastAsia="Arial" w:hAnsi="Arial"/>
                <w:sz w:val="18"/>
                <w:szCs w:val="18"/>
                <w:color w:val="auto"/>
              </w:rPr>
              <w:t>17</w:t>
            </w: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3820" w:type="dxa"/>
            <w:vAlign w:val="bottom"/>
          </w:tcPr>
          <w:p>
            <w:pPr>
              <w:spacing w:after="0"/>
              <w:rPr>
                <w:sz w:val="24"/>
                <w:szCs w:val="24"/>
                <w:color w:val="auto"/>
              </w:rPr>
            </w:pPr>
          </w:p>
        </w:tc>
        <w:tc>
          <w:tcPr>
            <w:tcW w:w="206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820" w:type="dxa"/>
            <w:vAlign w:val="bottom"/>
            <w:tcBorders>
              <w:bottom w:val="single" w:sz="8" w:color="9A9A9A"/>
            </w:tcBorders>
          </w:tcPr>
          <w:p>
            <w:pPr>
              <w:spacing w:after="0"/>
              <w:rPr>
                <w:sz w:val="9"/>
                <w:szCs w:val="9"/>
                <w:color w:val="auto"/>
              </w:rPr>
            </w:pPr>
          </w:p>
        </w:tc>
        <w:tc>
          <w:tcPr>
            <w:tcW w:w="206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17" w:name="page18"/>
    <w:bookmarkEnd w:id="17"/>
    <w:p>
      <w:pPr>
        <w:ind w:left="300" w:right="40" w:hanging="285"/>
        <w:spacing w:after="0" w:line="369" w:lineRule="auto"/>
        <w:tabs>
          <w:tab w:leader="none" w:pos="245" w:val="left"/>
        </w:tabs>
        <w:numPr>
          <w:ilvl w:val="0"/>
          <w:numId w:val="21"/>
        </w:numPr>
        <w:rPr>
          <w:rFonts w:ascii="Arial" w:cs="Arial" w:eastAsia="Arial" w:hAnsi="Arial"/>
          <w:sz w:val="13"/>
          <w:szCs w:val="13"/>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acquisition of Cameron), certain centrally managed initiatives and other nonoperating items.</w:t>
      </w:r>
    </w:p>
    <w:p>
      <w:pPr>
        <w:spacing w:after="0" w:line="31" w:lineRule="exact"/>
        <w:rPr>
          <w:rFonts w:ascii="Arial" w:cs="Arial" w:eastAsia="Arial" w:hAnsi="Arial"/>
          <w:sz w:val="13"/>
          <w:szCs w:val="13"/>
          <w:color w:val="auto"/>
        </w:rPr>
      </w:pPr>
    </w:p>
    <w:p>
      <w:pPr>
        <w:ind w:left="300" w:hanging="273"/>
        <w:spacing w:after="0"/>
        <w:tabs>
          <w:tab w:leader="none" w:pos="300" w:val="left"/>
        </w:tabs>
        <w:numPr>
          <w:ilvl w:val="2"/>
          <w:numId w:val="21"/>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2016; $6 million in 2015).</w:t>
      </w:r>
    </w:p>
    <w:p>
      <w:pPr>
        <w:spacing w:after="0" w:line="139" w:lineRule="exact"/>
        <w:rPr>
          <w:rFonts w:ascii="Arial" w:cs="Arial" w:eastAsia="Arial" w:hAnsi="Arial"/>
          <w:sz w:val="15"/>
          <w:szCs w:val="15"/>
          <w:color w:val="auto"/>
        </w:rPr>
      </w:pPr>
    </w:p>
    <w:p>
      <w:pPr>
        <w:ind w:left="300" w:hanging="292"/>
        <w:spacing w:after="0"/>
        <w:tabs>
          <w:tab w:leader="none" w:pos="300" w:val="left"/>
        </w:tabs>
        <w:numPr>
          <w:ilvl w:val="1"/>
          <w:numId w:val="21"/>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($13 million in 2016; $7 million in 2015).</w:t>
      </w:r>
    </w:p>
    <w:p>
      <w:pPr>
        <w:spacing w:after="0" w:line="139" w:lineRule="exact"/>
        <w:rPr>
          <w:rFonts w:ascii="Arial" w:cs="Arial" w:eastAsia="Arial" w:hAnsi="Arial"/>
          <w:sz w:val="15"/>
          <w:szCs w:val="15"/>
          <w:color w:val="auto"/>
        </w:rPr>
      </w:pPr>
    </w:p>
    <w:p>
      <w:pPr>
        <w:ind w:left="300" w:hanging="292"/>
        <w:spacing w:after="0"/>
        <w:tabs>
          <w:tab w:leader="none" w:pos="300" w:val="left"/>
        </w:tabs>
        <w:numPr>
          <w:ilvl w:val="1"/>
          <w:numId w:val="21"/>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2016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2015</w:t>
            </w:r>
          </w:p>
        </w:tc>
      </w:tr>
      <w:tr>
        <w:trPr>
          <w:trHeight w:val="218"/>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29"/>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23"/>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6" w:lineRule="exact"/>
        <w:rPr>
          <w:sz w:val="20"/>
          <w:szCs w:val="20"/>
          <w:color w:val="auto"/>
        </w:rPr>
      </w:pPr>
    </w:p>
    <w:p>
      <w:pPr>
        <w:ind w:left="300" w:right="40" w:hanging="285"/>
        <w:spacing w:after="0" w:line="369" w:lineRule="auto"/>
        <w:tabs>
          <w:tab w:leader="none" w:pos="245" w:val="left"/>
        </w:tabs>
        <w:numPr>
          <w:ilvl w:val="0"/>
          <w:numId w:val="22"/>
        </w:numPr>
        <w:rPr>
          <w:rFonts w:ascii="Arial" w:cs="Arial" w:eastAsia="Arial" w:hAnsi="Arial"/>
          <w:sz w:val="13"/>
          <w:szCs w:val="13"/>
          <w:color w:val="auto"/>
        </w:rPr>
      </w:pPr>
      <w:r>
        <w:rPr>
          <w:rFonts w:ascii="Arial" w:cs="Arial" w:eastAsia="Arial" w:hAnsi="Arial"/>
          <w:sz w:val="14"/>
          <w:szCs w:val="14"/>
          <w:color w:val="auto"/>
        </w:rPr>
        <w:t>Comprised principally of certain corporate expenses not allocated to the segments, stock-based compensation costs, amortization expense associated with certain intangible assets (including intangible asset amortization expense resulting from the acquisition of Cameron), certain centrally managed initiatives and other nonoperating items.</w:t>
      </w:r>
    </w:p>
    <w:p>
      <w:pPr>
        <w:spacing w:after="0" w:line="31" w:lineRule="exact"/>
        <w:rPr>
          <w:rFonts w:ascii="Arial" w:cs="Arial" w:eastAsia="Arial" w:hAnsi="Arial"/>
          <w:sz w:val="13"/>
          <w:szCs w:val="13"/>
          <w:color w:val="auto"/>
        </w:rPr>
      </w:pPr>
    </w:p>
    <w:p>
      <w:pPr>
        <w:ind w:left="300" w:hanging="273"/>
        <w:spacing w:after="0"/>
        <w:tabs>
          <w:tab w:leader="none" w:pos="300" w:val="left"/>
        </w:tabs>
        <w:numPr>
          <w:ilvl w:val="2"/>
          <w:numId w:val="22"/>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($12 million in 2016; $11 million in 2015).</w:t>
      </w:r>
    </w:p>
    <w:p>
      <w:pPr>
        <w:spacing w:after="0" w:line="139" w:lineRule="exact"/>
        <w:rPr>
          <w:rFonts w:ascii="Arial" w:cs="Arial" w:eastAsia="Arial" w:hAnsi="Arial"/>
          <w:sz w:val="15"/>
          <w:szCs w:val="15"/>
          <w:color w:val="auto"/>
        </w:rPr>
      </w:pPr>
    </w:p>
    <w:p>
      <w:pPr>
        <w:ind w:left="300" w:hanging="292"/>
        <w:spacing w:after="0"/>
        <w:tabs>
          <w:tab w:leader="none" w:pos="300" w:val="left"/>
        </w:tabs>
        <w:numPr>
          <w:ilvl w:val="1"/>
          <w:numId w:val="22"/>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($26 million in 2016; $12 million in 2015).</w:t>
      </w:r>
    </w:p>
    <w:p>
      <w:pPr>
        <w:spacing w:after="0" w:line="139" w:lineRule="exact"/>
        <w:rPr>
          <w:rFonts w:ascii="Arial" w:cs="Arial" w:eastAsia="Arial" w:hAnsi="Arial"/>
          <w:sz w:val="15"/>
          <w:szCs w:val="15"/>
          <w:color w:val="auto"/>
        </w:rPr>
      </w:pPr>
    </w:p>
    <w:p>
      <w:pPr>
        <w:ind w:left="300" w:hanging="292"/>
        <w:spacing w:after="0"/>
        <w:tabs>
          <w:tab w:leader="none" w:pos="300" w:val="left"/>
        </w:tabs>
        <w:numPr>
          <w:ilvl w:val="1"/>
          <w:numId w:val="22"/>
        </w:numPr>
        <w:rPr>
          <w:rFonts w:ascii="Arial" w:cs="Arial" w:eastAsia="Arial" w:hAnsi="Arial"/>
          <w:sz w:val="15"/>
          <w:szCs w:val="15"/>
          <w:color w:val="auto"/>
        </w:rPr>
      </w:pPr>
      <w:r>
        <w:rPr>
          <w:rFonts w:ascii="Arial" w:cs="Arial" w:eastAsia="Arial" w:hAnsi="Arial"/>
          <w:sz w:val="16"/>
          <w:szCs w:val="16"/>
          <w:color w:val="auto"/>
        </w:rPr>
        <w:t xml:space="preserve">See Note 2 – </w:t>
      </w:r>
      <w:r>
        <w:rPr>
          <w:rFonts w:ascii="Arial" w:cs="Arial" w:eastAsia="Arial" w:hAnsi="Arial"/>
          <w:sz w:val="16"/>
          <w:szCs w:val="16"/>
          <w:i w:val="1"/>
          <w:iCs w:val="1"/>
          <w:color w:val="auto"/>
        </w:rPr>
        <w:t>Charges and Credits</w:t>
      </w:r>
      <w:r>
        <w:rPr>
          <w:rFonts w:ascii="Arial" w:cs="Arial" w:eastAsia="Arial" w:hAnsi="Arial"/>
          <w:sz w:val="16"/>
          <w:szCs w:val="16"/>
          <w:color w:val="auto"/>
        </w:rPr>
        <w:t>.</w:t>
      </w:r>
    </w:p>
    <w:p>
      <w:pPr>
        <w:spacing w:after="0" w:line="307" w:lineRule="exact"/>
        <w:rPr>
          <w:sz w:val="20"/>
          <w:szCs w:val="20"/>
          <w:color w:val="auto"/>
        </w:rPr>
      </w:pPr>
    </w:p>
    <w:p>
      <w:pPr>
        <w:ind w:left="360" w:hanging="352"/>
        <w:spacing w:after="0"/>
        <w:tabs>
          <w:tab w:leader="none" w:pos="36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 Plans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Net pension cost for the Schlumberger pension plans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9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40" w:type="dxa"/>
            <w:vAlign w:val="bottom"/>
            <w:gridSpan w:val="6"/>
          </w:tcPr>
          <w:p>
            <w:pPr>
              <w:jc w:val="right"/>
              <w:ind w:right="2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r>
      <w:tr>
        <w:trPr>
          <w:trHeight w:val="457"/>
        </w:trPr>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8"/>
                <w:szCs w:val="18"/>
                <w:b w:val="1"/>
                <w:bCs w:val="1"/>
                <w:color w:val="auto"/>
                <w:w w:val="97"/>
              </w:rPr>
              <w:t>Second Quarter</w:t>
            </w: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760" w:type="dxa"/>
            <w:vAlign w:val="bottom"/>
            <w:tcBorders>
              <w:bottom w:val="single" w:sz="8" w:color="auto"/>
            </w:tcBorders>
            <w:gridSpan w:val="6"/>
          </w:tcPr>
          <w:p>
            <w:pPr>
              <w:jc w:val="right"/>
              <w:ind w:right="580"/>
              <w:spacing w:after="0"/>
              <w:rPr>
                <w:sz w:val="20"/>
                <w:szCs w:val="20"/>
                <w:color w:val="auto"/>
              </w:rPr>
            </w:pPr>
            <w:r>
              <w:rPr>
                <w:rFonts w:ascii="Arial" w:cs="Arial" w:eastAsia="Arial" w:hAnsi="Arial"/>
                <w:sz w:val="18"/>
                <w:szCs w:val="18"/>
                <w:b w:val="1"/>
                <w:bCs w:val="1"/>
                <w:color w:val="auto"/>
              </w:rPr>
              <w:t>Six Months</w:t>
            </w:r>
          </w:p>
        </w:tc>
        <w:tc>
          <w:tcPr>
            <w:tcW w:w="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2016</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color w:val="auto"/>
              </w:rPr>
              <w:t>2015</w:t>
            </w:r>
          </w:p>
        </w:tc>
        <w:tc>
          <w:tcPr>
            <w:tcW w:w="6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7"/>
              <w:spacing w:after="0"/>
              <w:rPr>
                <w:sz w:val="20"/>
                <w:szCs w:val="20"/>
                <w:color w:val="auto"/>
              </w:rPr>
            </w:pPr>
            <w:r>
              <w:rPr>
                <w:rFonts w:ascii="Arial" w:cs="Arial" w:eastAsia="Arial" w:hAnsi="Arial"/>
                <w:sz w:val="18"/>
                <w:szCs w:val="18"/>
                <w:b w:val="1"/>
                <w:bCs w:val="1"/>
                <w:color w:val="auto"/>
              </w:rPr>
              <w:t>2016</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7"/>
              <w:spacing w:after="0"/>
              <w:rPr>
                <w:sz w:val="20"/>
                <w:szCs w:val="20"/>
                <w:color w:val="auto"/>
              </w:rPr>
            </w:pPr>
            <w:r>
              <w:rPr>
                <w:rFonts w:ascii="Arial" w:cs="Arial" w:eastAsia="Arial" w:hAnsi="Arial"/>
                <w:sz w:val="18"/>
                <w:szCs w:val="18"/>
                <w:color w:val="auto"/>
              </w:rPr>
              <w:t>2015</w:t>
            </w:r>
          </w:p>
        </w:tc>
        <w:tc>
          <w:tcPr>
            <w:tcW w:w="64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3"/>
        </w:trPr>
        <w:tc>
          <w:tcPr>
            <w:tcW w:w="2980" w:type="dxa"/>
            <w:vAlign w:val="bottom"/>
            <w:tcBorders>
              <w:bottom w:val="single" w:sz="8" w:color="CFF0FC"/>
            </w:tcBorders>
          </w:tcPr>
          <w:p>
            <w:pPr>
              <w:spacing w:after="0"/>
              <w:rPr>
                <w:sz w:val="19"/>
                <w:szCs w:val="19"/>
                <w:color w:val="auto"/>
              </w:rPr>
            </w:pPr>
          </w:p>
        </w:tc>
        <w:tc>
          <w:tcPr>
            <w:tcW w:w="5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Int'l</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US</w:t>
            </w:r>
          </w:p>
        </w:tc>
        <w:tc>
          <w:tcPr>
            <w:tcW w:w="14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Int'l</w:t>
            </w:r>
          </w:p>
        </w:tc>
        <w:tc>
          <w:tcPr>
            <w:tcW w:w="20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US</w:t>
            </w:r>
          </w:p>
        </w:tc>
        <w:tc>
          <w:tcPr>
            <w:tcW w:w="2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Int'l</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ind w:right="212"/>
              <w:spacing w:after="0"/>
              <w:rPr>
                <w:sz w:val="20"/>
                <w:szCs w:val="20"/>
                <w:color w:val="auto"/>
              </w:rPr>
            </w:pPr>
            <w:r>
              <w:rPr>
                <w:rFonts w:ascii="Arial" w:cs="Arial" w:eastAsia="Arial" w:hAnsi="Arial"/>
                <w:sz w:val="18"/>
                <w:szCs w:val="18"/>
                <w:color w:val="auto"/>
              </w:rPr>
              <w:t>US</w:t>
            </w:r>
          </w:p>
        </w:tc>
        <w:tc>
          <w:tcPr>
            <w:tcW w:w="1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Int'l</w:t>
            </w:r>
          </w:p>
        </w:tc>
        <w:tc>
          <w:tcPr>
            <w:tcW w:w="22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r>
      <w:tr>
        <w:trPr>
          <w:trHeight w:val="236"/>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Service cost</w:t>
            </w:r>
          </w:p>
        </w:tc>
        <w:tc>
          <w:tcPr>
            <w:tcW w:w="72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b w:val="1"/>
                <w:bCs w:val="1"/>
                <w:color w:val="auto"/>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19</w:t>
            </w:r>
          </w:p>
        </w:tc>
        <w:tc>
          <w:tcPr>
            <w:tcW w:w="120" w:type="dxa"/>
            <w:vAlign w:val="bottom"/>
            <w:shd w:val="clear" w:color="auto" w:fill="CFF0FC"/>
          </w:tcPr>
          <w:p>
            <w:pPr>
              <w:spacing w:after="0"/>
              <w:rPr>
                <w:sz w:val="20"/>
                <w:szCs w:val="20"/>
                <w:color w:val="auto"/>
              </w:rPr>
            </w:pPr>
          </w:p>
        </w:tc>
        <w:tc>
          <w:tcPr>
            <w:tcW w:w="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FF0FC"/>
          </w:tcPr>
          <w:p>
            <w:pPr>
              <w:spacing w:after="0"/>
              <w:rPr>
                <w:sz w:val="20"/>
                <w:szCs w:val="20"/>
                <w:color w:val="auto"/>
              </w:rPr>
            </w:pPr>
          </w:p>
        </w:tc>
        <w:tc>
          <w:tcPr>
            <w:tcW w:w="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w:t>
            </w: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31</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56</w:t>
            </w:r>
          </w:p>
        </w:tc>
        <w:tc>
          <w:tcPr>
            <w:tcW w:w="120" w:type="dxa"/>
            <w:vAlign w:val="bottom"/>
            <w:shd w:val="clear" w:color="auto" w:fill="CFF0FC"/>
          </w:tcPr>
          <w:p>
            <w:pPr>
              <w:spacing w:after="0"/>
              <w:rPr>
                <w:sz w:val="20"/>
                <w:szCs w:val="20"/>
                <w:color w:val="auto"/>
              </w:rPr>
            </w:pPr>
          </w:p>
        </w:tc>
        <w:tc>
          <w:tcPr>
            <w:tcW w:w="260" w:type="dxa"/>
            <w:vAlign w:val="bottom"/>
            <w:gridSpan w:val="2"/>
            <w:shd w:val="clear" w:color="auto" w:fill="CFF0FC"/>
          </w:tcPr>
          <w:p>
            <w:pPr>
              <w:jc w:val="right"/>
              <w:ind w:right="27"/>
              <w:spacing w:after="0"/>
              <w:rPr>
                <w:sz w:val="20"/>
                <w:szCs w:val="20"/>
                <w:color w:val="auto"/>
              </w:rPr>
            </w:pPr>
            <w:r>
              <w:rPr>
                <w:rFonts w:ascii="Arial" w:cs="Arial" w:eastAsia="Arial" w:hAnsi="Arial"/>
                <w:sz w:val="18"/>
                <w:szCs w:val="18"/>
                <w:color w:val="auto"/>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FF0FC"/>
          </w:tcPr>
          <w:p>
            <w:pPr>
              <w:spacing w:after="0"/>
              <w:rPr>
                <w:sz w:val="20"/>
                <w:szCs w:val="20"/>
                <w:color w:val="auto"/>
              </w:rPr>
            </w:pPr>
          </w:p>
        </w:tc>
        <w:tc>
          <w:tcPr>
            <w:tcW w:w="240" w:type="dxa"/>
            <w:vAlign w:val="bottom"/>
            <w:gridSpan w:val="2"/>
            <w:shd w:val="clear" w:color="auto" w:fill="CFF0FC"/>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w:t>
            </w:r>
          </w:p>
        </w:tc>
        <w:tc>
          <w:tcPr>
            <w:tcW w:w="22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Interest cost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77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75</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89</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157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149</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54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b w:val="1"/>
                <w:bCs w:val="1"/>
                <w:color w:val="auto"/>
              </w:rPr>
              <w:t>(58)</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(129)</w:t>
            </w: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(129)</w:t>
            </w:r>
          </w:p>
        </w:tc>
        <w:tc>
          <w:tcPr>
            <w:tcW w:w="180" w:type="dxa"/>
            <w:vAlign w:val="bottom"/>
            <w:shd w:val="clear" w:color="auto" w:fill="CFF0FC"/>
          </w:tcPr>
          <w:p>
            <w:pPr>
              <w:spacing w:after="0"/>
              <w:rPr>
                <w:sz w:val="21"/>
                <w:szCs w:val="21"/>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(118)</w:t>
            </w:r>
          </w:p>
        </w:tc>
        <w:tc>
          <w:tcPr>
            <w:tcW w:w="14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b w:val="1"/>
                <w:bCs w:val="1"/>
                <w:color w:val="auto"/>
              </w:rPr>
              <w:t>(263)</w:t>
            </w:r>
          </w:p>
        </w:tc>
        <w:tc>
          <w:tcPr>
            <w:tcW w:w="8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(115)</w:t>
            </w:r>
          </w:p>
        </w:tc>
        <w:tc>
          <w:tcPr>
            <w:tcW w:w="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(257)</w:t>
            </w:r>
          </w:p>
        </w:tc>
        <w:tc>
          <w:tcPr>
            <w:tcW w:w="20" w:type="dxa"/>
            <w:vAlign w:val="bottom"/>
          </w:tcPr>
          <w:p>
            <w:pPr>
              <w:spacing w:after="0"/>
              <w:rPr>
                <w:sz w:val="21"/>
                <w:szCs w:val="21"/>
                <w:color w:val="auto"/>
              </w:rPr>
            </w:pPr>
          </w:p>
        </w:tc>
      </w:tr>
      <w:tr>
        <w:trPr>
          <w:trHeight w:val="243"/>
        </w:trPr>
        <w:tc>
          <w:tcPr>
            <w:tcW w:w="29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5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3</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b w:val="1"/>
                <w:bCs w:val="1"/>
                <w:color w:val="auto"/>
              </w:rPr>
              <w:t>31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31</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6</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61</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61</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54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17</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4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40</w:t>
            </w:r>
          </w:p>
        </w:tc>
        <w:tc>
          <w:tcPr>
            <w:tcW w:w="220" w:type="dxa"/>
            <w:vAlign w:val="bottom"/>
            <w:shd w:val="clear" w:color="auto" w:fill="CFF0FC"/>
          </w:tcPr>
          <w:p>
            <w:pPr>
              <w:spacing w:after="0"/>
              <w:rPr>
                <w:sz w:val="21"/>
                <w:szCs w:val="21"/>
                <w:color w:val="auto"/>
              </w:rPr>
            </w:pPr>
          </w:p>
        </w:tc>
        <w:tc>
          <w:tcPr>
            <w:tcW w:w="14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39</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spacing w:after="0"/>
              <w:rPr>
                <w:sz w:val="21"/>
                <w:szCs w:val="21"/>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1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6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220" w:type="dxa"/>
            <w:vAlign w:val="bottom"/>
            <w:shd w:val="clear" w:color="auto" w:fill="CFF0FC"/>
          </w:tcPr>
          <w:p>
            <w:pPr>
              <w:spacing w:after="0"/>
              <w:rPr>
                <w:sz w:val="21"/>
                <w:szCs w:val="21"/>
                <w:color w:val="auto"/>
              </w:rPr>
            </w:pPr>
          </w:p>
        </w:tc>
        <w:tc>
          <w:tcPr>
            <w:tcW w:w="20" w:type="dxa"/>
            <w:vAlign w:val="bottom"/>
          </w:tcPr>
          <w:p>
            <w:pPr>
              <w:spacing w:after="0"/>
              <w:rPr>
                <w:sz w:val="21"/>
                <w:szCs w:val="21"/>
                <w:color w:val="auto"/>
              </w:rPr>
            </w:pPr>
          </w:p>
        </w:tc>
      </w:tr>
      <w:tr>
        <w:trPr>
          <w:trHeight w:val="223"/>
        </w:trPr>
        <w:tc>
          <w:tcPr>
            <w:tcW w:w="29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w:t>
            </w:r>
          </w:p>
        </w:tc>
        <w:tc>
          <w:tcPr>
            <w:tcW w:w="2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0"/>
        </w:trPr>
        <w:tc>
          <w:tcPr>
            <w:tcW w:w="29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29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jc w:val="right"/>
              <w:ind w:right="350"/>
              <w:spacing w:after="0"/>
              <w:rPr>
                <w:sz w:val="20"/>
                <w:szCs w:val="20"/>
                <w:color w:val="auto"/>
              </w:rPr>
            </w:pPr>
            <w:r>
              <w:rPr>
                <w:rFonts w:ascii="Arial" w:cs="Arial" w:eastAsia="Arial" w:hAnsi="Arial"/>
                <w:sz w:val="18"/>
                <w:szCs w:val="18"/>
                <w:color w:val="auto"/>
                <w:w w:val="99"/>
              </w:rPr>
              <w:t>18</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15"/>
        </w:trPr>
        <w:tc>
          <w:tcPr>
            <w:tcW w:w="2980" w:type="dxa"/>
            <w:vAlign w:val="bottom"/>
            <w:tcBorders>
              <w:bottom w:val="single" w:sz="8" w:color="9A9A9A"/>
            </w:tcBorders>
          </w:tcPr>
          <w:p>
            <w:pPr>
              <w:spacing w:after="0"/>
              <w:rPr>
                <w:sz w:val="9"/>
                <w:szCs w:val="9"/>
                <w:color w:val="auto"/>
              </w:rPr>
            </w:pPr>
          </w:p>
        </w:tc>
        <w:tc>
          <w:tcPr>
            <w:tcW w:w="5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66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143" w:right="219" w:bottom="1440" w:gutter="0" w:footer="0" w:header="0"/>
        </w:sectPr>
      </w:pPr>
    </w:p>
    <w:bookmarkStart w:id="18" w:name="page19"/>
    <w:bookmarkEnd w:id="18"/>
    <w:p>
      <w:pPr>
        <w:spacing w:after="0"/>
        <w:rPr>
          <w:sz w:val="20"/>
          <w:szCs w:val="20"/>
          <w:color w:val="auto"/>
        </w:rPr>
      </w:pPr>
      <w:r>
        <w:rPr>
          <w:rFonts w:ascii="Arial" w:cs="Arial" w:eastAsia="Arial" w:hAnsi="Arial"/>
          <w:sz w:val="18"/>
          <w:szCs w:val="18"/>
          <w:color w:val="auto"/>
        </w:rPr>
        <w:t>The net periodic benefit cost for the Schlumberger US postretirement medical plan included the following components: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8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0"/>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40" w:type="dxa"/>
            <w:vAlign w:val="bottom"/>
            <w:gridSpan w:val="11"/>
          </w:tcPr>
          <w:p>
            <w:pPr>
              <w:jc w:val="right"/>
              <w:ind w:right="920"/>
              <w:spacing w:after="0"/>
              <w:rPr>
                <w:sz w:val="20"/>
                <w:szCs w:val="20"/>
                <w:color w:val="auto"/>
              </w:rPr>
            </w:pPr>
            <w:r>
              <w:rPr>
                <w:rFonts w:ascii="Arial" w:cs="Arial" w:eastAsia="Arial" w:hAnsi="Arial"/>
                <w:sz w:val="18"/>
                <w:szCs w:val="18"/>
                <w:b w:val="1"/>
                <w:bCs w:val="1"/>
                <w:color w:val="auto"/>
              </w:rPr>
              <w:t>Second Quarter</w:t>
            </w: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gridSpan w:val="8"/>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80" w:type="dxa"/>
            <w:vAlign w:val="bottom"/>
            <w:tcBorders>
              <w:bottom w:val="single" w:sz="8" w:color="CFF0FC"/>
            </w:tcBorders>
          </w:tcPr>
          <w:p>
            <w:pPr>
              <w:spacing w:after="0"/>
              <w:rPr>
                <w:sz w:val="19"/>
                <w:szCs w:val="19"/>
                <w:color w:val="auto"/>
              </w:rPr>
            </w:pPr>
          </w:p>
        </w:tc>
        <w:tc>
          <w:tcPr>
            <w:tcW w:w="3160" w:type="dxa"/>
            <w:vAlign w:val="bottom"/>
            <w:tcBorders>
              <w:bottom w:val="single" w:sz="8" w:color="CFF0FC"/>
            </w:tcBorders>
          </w:tcPr>
          <w:p>
            <w:pPr>
              <w:spacing w:after="0"/>
              <w:rPr>
                <w:sz w:val="19"/>
                <w:szCs w:val="19"/>
                <w:color w:val="auto"/>
              </w:rPr>
            </w:pPr>
          </w:p>
        </w:tc>
        <w:tc>
          <w:tcPr>
            <w:tcW w:w="1320" w:type="dxa"/>
            <w:vAlign w:val="bottom"/>
            <w:tcBorders>
              <w:bottom w:val="single" w:sz="8" w:color="CFF0FC"/>
            </w:tcBorders>
          </w:tcPr>
          <w:p>
            <w:pPr>
              <w:spacing w:after="0"/>
              <w:rPr>
                <w:sz w:val="19"/>
                <w:szCs w:val="19"/>
                <w:color w:val="auto"/>
              </w:rPr>
            </w:pPr>
          </w:p>
        </w:tc>
        <w:tc>
          <w:tcPr>
            <w:tcW w:w="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 w:type="dxa"/>
            <w:vAlign w:val="bottom"/>
            <w:tcBorders>
              <w:top w:val="single" w:sz="8" w:color="auto"/>
              <w:bottom w:val="single" w:sz="8" w:color="CFF0FC"/>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312"/>
              <w:spacing w:after="0"/>
              <w:rPr>
                <w:sz w:val="20"/>
                <w:szCs w:val="20"/>
                <w:color w:val="auto"/>
              </w:rPr>
            </w:pPr>
            <w:r>
              <w:rPr>
                <w:rFonts w:ascii="Arial" w:cs="Arial" w:eastAsia="Arial" w:hAnsi="Arial"/>
                <w:sz w:val="18"/>
                <w:szCs w:val="18"/>
                <w:color w:val="auto"/>
                <w:w w:val="99"/>
              </w:rPr>
              <w:t>2015</w:t>
            </w:r>
          </w:p>
        </w:tc>
        <w:tc>
          <w:tcPr>
            <w:tcW w:w="1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80" w:type="dxa"/>
            <w:vAlign w:val="bottom"/>
            <w:tcBorders>
              <w:bottom w:val="single" w:sz="8" w:color="CFF0FC"/>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40" w:type="dxa"/>
            <w:vAlign w:val="bottom"/>
            <w:tcBorders>
              <w:top w:val="single" w:sz="8" w:color="auto"/>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2"/>
              <w:spacing w:after="0"/>
              <w:rPr>
                <w:sz w:val="20"/>
                <w:szCs w:val="20"/>
                <w:color w:val="auto"/>
              </w:rPr>
            </w:pPr>
            <w:r>
              <w:rPr>
                <w:rFonts w:ascii="Arial" w:cs="Arial" w:eastAsia="Arial" w:hAnsi="Arial"/>
                <w:sz w:val="18"/>
                <w:szCs w:val="18"/>
                <w:b w:val="1"/>
                <w:bCs w:val="1"/>
                <w:color w:val="auto"/>
              </w:rPr>
              <w:t>2016</w:t>
            </w:r>
          </w:p>
        </w:tc>
        <w:tc>
          <w:tcPr>
            <w:tcW w:w="6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100" w:type="dxa"/>
            <w:vAlign w:val="bottom"/>
            <w:tcBorders>
              <w:top w:val="single" w:sz="8" w:color="auto"/>
              <w:bottom w:val="single" w:sz="8" w:color="CFF0FC"/>
            </w:tcBorders>
          </w:tcPr>
          <w:p>
            <w:pPr>
              <w:spacing w:after="0"/>
              <w:rPr>
                <w:sz w:val="19"/>
                <w:szCs w:val="19"/>
                <w:color w:val="auto"/>
              </w:rPr>
            </w:pPr>
          </w:p>
        </w:tc>
        <w:tc>
          <w:tcPr>
            <w:tcW w:w="40" w:type="dxa"/>
            <w:vAlign w:val="bottom"/>
            <w:tcBorders>
              <w:top w:val="single" w:sz="8" w:color="auto"/>
              <w:bottom w:val="single" w:sz="8" w:color="CFF0FC"/>
            </w:tcBorders>
          </w:tcPr>
          <w:p>
            <w:pPr>
              <w:spacing w:after="0"/>
              <w:rPr>
                <w:sz w:val="19"/>
                <w:szCs w:val="19"/>
                <w:color w:val="auto"/>
              </w:rPr>
            </w:pPr>
          </w:p>
        </w:tc>
        <w:tc>
          <w:tcPr>
            <w:tcW w:w="60" w:type="dxa"/>
            <w:vAlign w:val="bottom"/>
            <w:tcBorders>
              <w:top w:val="single" w:sz="8" w:color="auto"/>
              <w:bottom w:val="single" w:sz="8" w:color="auto"/>
            </w:tcBorders>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84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99"/>
              </w:rPr>
              <w:t>2015</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Service cost</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47"/>
              <w:spacing w:after="0"/>
              <w:rPr>
                <w:sz w:val="20"/>
                <w:szCs w:val="20"/>
                <w:color w:val="auto"/>
              </w:rPr>
            </w:pPr>
            <w:r>
              <w:rPr>
                <w:rFonts w:ascii="Arial" w:cs="Arial" w:eastAsia="Arial" w:hAnsi="Arial"/>
                <w:sz w:val="15"/>
                <w:szCs w:val="15"/>
                <w:color w:val="auto"/>
                <w:w w:val="71"/>
              </w:rPr>
              <w:t>$</w:t>
            </w: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360" w:type="dxa"/>
            <w:vAlign w:val="bottom"/>
            <w:gridSpan w:val="3"/>
            <w:shd w:val="clear" w:color="auto" w:fill="CFF0FC"/>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12</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Expected return on plan assets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(15)</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(13)</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(29)</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Amortization of prior service credit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(16)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Amortization of net loss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7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4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tcBorders>
              <w:bottom w:val="single" w:sz="8" w:color="auto"/>
            </w:tcBorders>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gridSpan w:val="2"/>
          </w:tcPr>
          <w:p>
            <w:pPr>
              <w:jc w:val="right"/>
              <w:ind w:right="160"/>
              <w:spacing w:after="0"/>
              <w:rPr>
                <w:sz w:val="20"/>
                <w:szCs w:val="20"/>
                <w:color w:val="auto"/>
              </w:rPr>
            </w:pPr>
            <w:r>
              <w:rPr>
                <w:rFonts w:ascii="Arial" w:cs="Arial" w:eastAsia="Arial" w:hAnsi="Arial"/>
                <w:sz w:val="15"/>
                <w:szCs w:val="15"/>
                <w:b w:val="1"/>
                <w:bCs w:val="1"/>
                <w:color w:val="auto"/>
                <w:w w:val="71"/>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jc w:val="right"/>
              <w:ind w:right="47"/>
              <w:spacing w:after="0"/>
              <w:rPr>
                <w:sz w:val="20"/>
                <w:szCs w:val="20"/>
                <w:color w:val="auto"/>
              </w:rPr>
            </w:pPr>
            <w:r>
              <w:rPr>
                <w:rFonts w:ascii="Arial" w:cs="Arial" w:eastAsia="Arial" w:hAnsi="Arial"/>
                <w:sz w:val="15"/>
                <w:szCs w:val="15"/>
                <w:color w:val="auto"/>
                <w:w w:val="71"/>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rPr>
              <w:t>(6)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gridSpan w:val="3"/>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6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16. Accumulated Other Comprehensive Loss</w:t>
            </w: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4760" w:type="dxa"/>
            <w:vAlign w:val="bottom"/>
            <w:gridSpan w:val="3"/>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4"/>
        </w:trPr>
        <w:tc>
          <w:tcPr>
            <w:tcW w:w="4760" w:type="dxa"/>
            <w:vAlign w:val="bottom"/>
            <w:gridSpan w:val="3"/>
          </w:tcPr>
          <w:p>
            <w:pPr>
              <w:spacing w:after="0"/>
              <w:rPr>
                <w:sz w:val="20"/>
                <w:szCs w:val="20"/>
                <w:color w:val="auto"/>
              </w:rPr>
            </w:pPr>
            <w:r>
              <w:rPr>
                <w:rFonts w:ascii="Arial" w:cs="Arial" w:eastAsia="Arial" w:hAnsi="Arial"/>
                <w:sz w:val="18"/>
                <w:szCs w:val="18"/>
                <w:i w:val="1"/>
                <w:iCs w:val="1"/>
                <w:color w:val="auto"/>
                <w:w w:val="92"/>
              </w:rPr>
              <w:t xml:space="preserve">Accumulated other comprehensive loss </w:t>
            </w:r>
            <w:r>
              <w:rPr>
                <w:rFonts w:ascii="Arial" w:cs="Arial" w:eastAsia="Arial" w:hAnsi="Arial"/>
                <w:sz w:val="18"/>
                <w:szCs w:val="18"/>
                <w:color w:val="auto"/>
                <w:w w:val="92"/>
              </w:rPr>
              <w:t>consists of the following:</w:t>
            </w: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0"/>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88"/>
              </w:rPr>
              <w:t>Pension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440"/>
              <w:spacing w:after="0"/>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3"/>
              </w:rPr>
              <w:t>Gain 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3"/>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32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8"/>
              </w:rPr>
              <w:t>Marketable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w w:val="92"/>
              </w:rPr>
              <w:t>Postretirement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20" w:type="dxa"/>
            <w:vAlign w:val="bottom"/>
            <w:gridSpan w:val="5"/>
          </w:tcPr>
          <w:p>
            <w:pPr>
              <w:jc w:val="center"/>
              <w:ind w:right="360"/>
              <w:spacing w:after="0"/>
              <w:rPr>
                <w:sz w:val="20"/>
                <w:szCs w:val="20"/>
                <w:color w:val="auto"/>
              </w:rPr>
            </w:pPr>
            <w:r>
              <w:rPr>
                <w:rFonts w:ascii="Arial" w:cs="Arial" w:eastAsia="Arial" w:hAnsi="Arial"/>
                <w:sz w:val="16"/>
                <w:szCs w:val="16"/>
                <w:b w:val="1"/>
                <w:bCs w:val="1"/>
                <w:color w:val="auto"/>
                <w:w w:val="90"/>
              </w:rPr>
              <w:t>Adjustments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88"/>
              </w:rPr>
              <w:t>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220"/>
              <w:spacing w:after="0"/>
              <w:rPr>
                <w:sz w:val="20"/>
                <w:szCs w:val="20"/>
                <w:color w:val="auto"/>
              </w:rPr>
            </w:pPr>
            <w:r>
              <w:rPr>
                <w:rFonts w:ascii="Arial" w:cs="Arial" w:eastAsia="Arial" w:hAnsi="Arial"/>
                <w:sz w:val="16"/>
                <w:szCs w:val="16"/>
                <w:b w:val="1"/>
                <w:bCs w:val="1"/>
                <w:color w:val="auto"/>
                <w:w w:val="89"/>
              </w:rPr>
              <w:t>Hedges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center"/>
              <w:ind w:right="200"/>
              <w:spacing w:after="0"/>
              <w:rPr>
                <w:sz w:val="20"/>
                <w:szCs w:val="20"/>
                <w:color w:val="auto"/>
              </w:rPr>
            </w:pPr>
            <w:r>
              <w:rPr>
                <w:rFonts w:ascii="Arial" w:cs="Arial" w:eastAsia="Arial" w:hAnsi="Arial"/>
                <w:sz w:val="16"/>
                <w:szCs w:val="16"/>
                <w:b w:val="1"/>
                <w:bCs w:val="1"/>
                <w:color w:val="auto"/>
                <w:w w:val="90"/>
              </w:rPr>
              <w:t>Benefit Plans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2016</w:t>
            </w:r>
          </w:p>
        </w:tc>
        <w:tc>
          <w:tcPr>
            <w:tcW w:w="1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(2,053)</w:t>
            </w:r>
          </w:p>
        </w:tc>
        <w:tc>
          <w:tcPr>
            <w:tcW w:w="4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FF0FC"/>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(2,466)</w:t>
            </w:r>
          </w:p>
        </w:tc>
        <w:tc>
          <w:tcPr>
            <w:tcW w:w="1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(4,558)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Other comprehensive gain (loss) before reclassifications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200"/>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20"/>
              <w:spacing w:after="0"/>
              <w:rPr>
                <w:sz w:val="20"/>
                <w:szCs w:val="20"/>
                <w:color w:val="auto"/>
              </w:rPr>
            </w:pPr>
            <w:r>
              <w:rPr>
                <w:rFonts w:ascii="Arial" w:cs="Arial" w:eastAsia="Arial" w:hAnsi="Arial"/>
                <w:sz w:val="18"/>
                <w:szCs w:val="18"/>
                <w:color w:val="auto"/>
              </w:rPr>
              <w:t>(68)</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7"/>
              </w:rPr>
              <w:t>Amounts reclassified from accumulated other comprehensive</w:t>
            </w:r>
          </w:p>
        </w:tc>
        <w:tc>
          <w:tcPr>
            <w:tcW w:w="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loss</w:t>
            </w:r>
          </w:p>
        </w:tc>
        <w:tc>
          <w:tcPr>
            <w:tcW w:w="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10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130</w:t>
            </w:r>
          </w:p>
        </w:tc>
        <w:tc>
          <w:tcPr>
            <w:tcW w:w="100" w:type="dxa"/>
            <w:vAlign w:val="bottom"/>
            <w:shd w:val="clear" w:color="auto" w:fill="CFF0FC"/>
          </w:tcPr>
          <w:p>
            <w:pPr>
              <w:spacing w:after="0"/>
              <w:rPr>
                <w:sz w:val="20"/>
                <w:szCs w:val="20"/>
                <w:color w:val="auto"/>
              </w:rPr>
            </w:pPr>
          </w:p>
        </w:tc>
        <w:tc>
          <w:tcPr>
            <w:tcW w:w="40" w:type="dxa"/>
            <w:vAlign w:val="bottom"/>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2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FF0FC"/>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right"/>
              <w:ind w:right="40"/>
              <w:spacing w:after="0"/>
              <w:rPr>
                <w:sz w:val="20"/>
                <w:szCs w:val="20"/>
                <w:color w:val="auto"/>
              </w:rPr>
            </w:pPr>
            <w:r>
              <w:rPr>
                <w:rFonts w:ascii="Arial" w:cs="Arial" w:eastAsia="Arial" w:hAnsi="Arial"/>
                <w:sz w:val="18"/>
                <w:szCs w:val="18"/>
                <w:color w:val="auto"/>
              </w:rPr>
              <w:t>(14)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6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40" w:type="dxa"/>
            <w:vAlign w:val="bottom"/>
            <w:tcBorders>
              <w:top w:val="single" w:sz="8" w:color="CFF0FC"/>
            </w:tcBorders>
            <w:gridSpan w:val="2"/>
            <w:shd w:val="clear" w:color="auto" w:fill="CFF0FC"/>
          </w:tcPr>
          <w:p>
            <w:pPr>
              <w:spacing w:after="0"/>
              <w:rPr>
                <w:sz w:val="19"/>
                <w:szCs w:val="19"/>
                <w:color w:val="auto"/>
              </w:rPr>
            </w:pP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116</w:t>
            </w: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3"/>
          </w:tcPr>
          <w:p>
            <w:pPr>
              <w:spacing w:after="0"/>
              <w:rPr>
                <w:sz w:val="20"/>
                <w:szCs w:val="20"/>
                <w:color w:val="auto"/>
              </w:rPr>
            </w:pPr>
            <w:r>
              <w:rPr>
                <w:rFonts w:ascii="Arial" w:cs="Arial" w:eastAsia="Arial" w:hAnsi="Arial"/>
                <w:sz w:val="18"/>
                <w:szCs w:val="18"/>
                <w:color w:val="auto"/>
              </w:rPr>
              <w:t>Balance, June 30, 2016</w:t>
            </w:r>
          </w:p>
        </w:tc>
        <w:tc>
          <w:tcPr>
            <w:tcW w:w="1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(2,104)</w:t>
            </w:r>
          </w:p>
        </w:tc>
        <w:tc>
          <w:tcPr>
            <w:tcW w:w="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9"/>
                <w:szCs w:val="19"/>
                <w:color w:val="auto"/>
              </w:rPr>
            </w:pPr>
          </w:p>
        </w:tc>
        <w:tc>
          <w:tcPr>
            <w:tcW w:w="220" w:type="dxa"/>
            <w:vAlign w:val="bottom"/>
            <w:gridSpan w:val="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(2,350)</w:t>
            </w:r>
          </w:p>
        </w:tc>
        <w:tc>
          <w:tcPr>
            <w:tcW w:w="100" w:type="dxa"/>
            <w:vAlign w:val="bottom"/>
          </w:tcPr>
          <w:p>
            <w:pPr>
              <w:spacing w:after="0"/>
              <w:rPr>
                <w:sz w:val="19"/>
                <w:szCs w:val="19"/>
                <w:color w:val="auto"/>
              </w:rPr>
            </w:pPr>
          </w:p>
        </w:tc>
        <w:tc>
          <w:tcPr>
            <w:tcW w:w="100" w:type="dxa"/>
            <w:vAlign w:val="bottom"/>
            <w:gridSpan w:val="2"/>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1"/>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gridSpan w:val="4"/>
          </w:tcPr>
          <w:p>
            <w:pPr>
              <w:ind w:left="2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4"/>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Unrealized</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gridSpan w:val="4"/>
          </w:tcPr>
          <w:p>
            <w:pPr>
              <w:jc w:val="center"/>
              <w:ind w:right="280"/>
              <w:spacing w:after="0"/>
              <w:rPr>
                <w:sz w:val="20"/>
                <w:szCs w:val="20"/>
                <w:color w:val="auto"/>
              </w:rPr>
            </w:pPr>
            <w:r>
              <w:rPr>
                <w:rFonts w:ascii="Arial" w:cs="Arial" w:eastAsia="Arial" w:hAnsi="Arial"/>
                <w:sz w:val="16"/>
                <w:szCs w:val="16"/>
                <w:b w:val="1"/>
                <w:bCs w:val="1"/>
                <w:color w:val="auto"/>
                <w:w w:val="88"/>
              </w:rPr>
              <w:t>Pension and</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3"/>
              </w:rPr>
              <w:t>Currency</w:t>
            </w:r>
          </w:p>
        </w:tc>
        <w:tc>
          <w:tcPr>
            <w:tcW w:w="20" w:type="dxa"/>
            <w:vAlign w:val="bottom"/>
          </w:tcPr>
          <w:p>
            <w:pPr>
              <w:spacing w:after="0"/>
              <w:rPr>
                <w:sz w:val="18"/>
                <w:szCs w:val="18"/>
                <w:color w:val="auto"/>
              </w:rPr>
            </w:pPr>
          </w:p>
        </w:tc>
        <w:tc>
          <w:tcPr>
            <w:tcW w:w="110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Gain/(Loss) on</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98"/>
              </w:rPr>
              <w:t>Other</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0"/>
              </w:rPr>
              <w:t>Translation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8"/>
              </w:rPr>
              <w:t>Marketable</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Cash Flow</w:t>
            </w:r>
          </w:p>
        </w:tc>
        <w:tc>
          <w:tcPr>
            <w:tcW w:w="140" w:type="dxa"/>
            <w:vAlign w:val="bottom"/>
          </w:tcPr>
          <w:p>
            <w:pPr>
              <w:spacing w:after="0"/>
              <w:rPr>
                <w:sz w:val="18"/>
                <w:szCs w:val="18"/>
                <w:color w:val="auto"/>
              </w:rPr>
            </w:pPr>
          </w:p>
        </w:tc>
        <w:tc>
          <w:tcPr>
            <w:tcW w:w="1240" w:type="dxa"/>
            <w:vAlign w:val="bottom"/>
            <w:gridSpan w:val="6"/>
          </w:tcPr>
          <w:p>
            <w:pPr>
              <w:jc w:val="center"/>
              <w:ind w:right="160"/>
              <w:spacing w:after="0"/>
              <w:rPr>
                <w:sz w:val="20"/>
                <w:szCs w:val="20"/>
                <w:color w:val="auto"/>
              </w:rPr>
            </w:pPr>
            <w:r>
              <w:rPr>
                <w:rFonts w:ascii="Arial" w:cs="Arial" w:eastAsia="Arial" w:hAnsi="Arial"/>
                <w:sz w:val="16"/>
                <w:szCs w:val="16"/>
                <w:b w:val="1"/>
                <w:bCs w:val="1"/>
                <w:color w:val="auto"/>
                <w:w w:val="92"/>
              </w:rPr>
              <w:t>Postretirement</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80" w:type="dxa"/>
            <w:vAlign w:val="bottom"/>
          </w:tcPr>
          <w:p>
            <w:pPr>
              <w:spacing w:after="0"/>
              <w:rPr>
                <w:sz w:val="19"/>
                <w:szCs w:val="19"/>
                <w:color w:val="auto"/>
              </w:rPr>
            </w:pPr>
          </w:p>
        </w:tc>
        <w:tc>
          <w:tcPr>
            <w:tcW w:w="31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center"/>
              <w:ind w:right="320"/>
              <w:spacing w:after="0"/>
              <w:rPr>
                <w:sz w:val="20"/>
                <w:szCs w:val="20"/>
                <w:color w:val="auto"/>
              </w:rPr>
            </w:pPr>
            <w:r>
              <w:rPr>
                <w:rFonts w:ascii="Arial" w:cs="Arial" w:eastAsia="Arial" w:hAnsi="Arial"/>
                <w:sz w:val="16"/>
                <w:szCs w:val="16"/>
                <w:b w:val="1"/>
                <w:bCs w:val="1"/>
                <w:color w:val="auto"/>
                <w:w w:val="92"/>
              </w:rPr>
              <w:t>Adjustments</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8"/>
              </w:rPr>
              <w:t>Securities</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center"/>
              <w:ind w:right="260"/>
              <w:spacing w:after="0"/>
              <w:rPr>
                <w:sz w:val="20"/>
                <w:szCs w:val="20"/>
                <w:color w:val="auto"/>
              </w:rPr>
            </w:pPr>
            <w:r>
              <w:rPr>
                <w:rFonts w:ascii="Arial" w:cs="Arial" w:eastAsia="Arial" w:hAnsi="Arial"/>
                <w:sz w:val="16"/>
                <w:szCs w:val="16"/>
                <w:b w:val="1"/>
                <w:bCs w:val="1"/>
                <w:color w:val="auto"/>
                <w:w w:val="89"/>
              </w:rPr>
              <w:t>Hedges</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0" w:type="dxa"/>
            <w:vAlign w:val="bottom"/>
            <w:gridSpan w:val="5"/>
          </w:tcPr>
          <w:p>
            <w:pPr>
              <w:jc w:val="center"/>
              <w:ind w:right="200"/>
              <w:spacing w:after="0"/>
              <w:rPr>
                <w:sz w:val="20"/>
                <w:szCs w:val="20"/>
                <w:color w:val="auto"/>
              </w:rPr>
            </w:pPr>
            <w:r>
              <w:rPr>
                <w:rFonts w:ascii="Arial" w:cs="Arial" w:eastAsia="Arial" w:hAnsi="Arial"/>
                <w:sz w:val="16"/>
                <w:szCs w:val="16"/>
                <w:b w:val="1"/>
                <w:bCs w:val="1"/>
                <w:color w:val="auto"/>
                <w:w w:val="90"/>
              </w:rPr>
              <w:t>Benefit Plans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Total</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Balance, January 1, 2015</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(1,531)</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0" w:type="dxa"/>
            <w:vAlign w:val="bottom"/>
            <w:tcBorders>
              <w:top w:val="single" w:sz="8" w:color="auto"/>
            </w:tcBorders>
            <w:shd w:val="clear" w:color="auto" w:fill="CFF0FC"/>
          </w:tcPr>
          <w:p>
            <w:pPr>
              <w:spacing w:after="0"/>
              <w:rPr>
                <w:sz w:val="19"/>
                <w:szCs w:val="19"/>
                <w:color w:val="auto"/>
              </w:rPr>
            </w:pPr>
          </w:p>
        </w:tc>
        <w:tc>
          <w:tcPr>
            <w:tcW w:w="22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top w:val="single" w:sz="8" w:color="CFF0FC"/>
            </w:tcBorders>
            <w:gridSpan w:val="2"/>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(2,589)</w:t>
            </w:r>
          </w:p>
        </w:tc>
        <w:tc>
          <w:tcPr>
            <w:tcW w:w="140" w:type="dxa"/>
            <w:vAlign w:val="bottom"/>
            <w:tcBorders>
              <w:top w:val="single" w:sz="8" w:color="CFF0FC"/>
            </w:tcBorders>
            <w:gridSpan w:val="2"/>
            <w:shd w:val="clear" w:color="auto" w:fill="CFF0FC"/>
          </w:tcPr>
          <w:p>
            <w:pPr>
              <w:spacing w:after="0"/>
              <w:rPr>
                <w:sz w:val="19"/>
                <w:szCs w:val="19"/>
                <w:color w:val="auto"/>
              </w:rPr>
            </w:pPr>
          </w:p>
        </w:tc>
        <w:tc>
          <w:tcPr>
            <w:tcW w:w="100" w:type="dxa"/>
            <w:vAlign w:val="bottom"/>
            <w:tcBorders>
              <w:top w:val="single" w:sz="8" w:color="CFF0FC"/>
            </w:tcBorders>
            <w:gridSpan w:val="2"/>
            <w:shd w:val="clear" w:color="auto" w:fill="CFF0FC"/>
          </w:tcPr>
          <w:p>
            <w:pPr>
              <w:spacing w:after="0"/>
              <w:rPr>
                <w:sz w:val="19"/>
                <w:szCs w:val="19"/>
                <w:color w:val="auto"/>
              </w:rPr>
            </w:pPr>
          </w:p>
        </w:tc>
        <w:tc>
          <w:tcPr>
            <w:tcW w:w="300" w:type="dxa"/>
            <w:vAlign w:val="bottom"/>
            <w:tcBorders>
              <w:top w:val="single" w:sz="8" w:color="auto"/>
            </w:tcBorders>
            <w:gridSpan w:val="2"/>
            <w:shd w:val="clear" w:color="auto" w:fill="CFF0FC"/>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(4,206)</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Other comprehensive loss before reclassifications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gridSpan w:val="4"/>
          </w:tcPr>
          <w:p>
            <w:pPr>
              <w:jc w:val="right"/>
              <w:ind w:right="160"/>
              <w:spacing w:after="0"/>
              <w:rPr>
                <w:sz w:val="20"/>
                <w:szCs w:val="20"/>
                <w:color w:val="auto"/>
              </w:rPr>
            </w:pPr>
            <w:r>
              <w:rPr>
                <w:rFonts w:ascii="Arial" w:cs="Arial" w:eastAsia="Arial" w:hAnsi="Arial"/>
                <w:sz w:val="18"/>
                <w:szCs w:val="18"/>
                <w:color w:val="auto"/>
              </w:rPr>
              <w:t>(94)</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gridSpan w:val="5"/>
          </w:tcPr>
          <w:p>
            <w:pPr>
              <w:jc w:val="right"/>
              <w:ind w:right="107"/>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4"/>
          </w:tcPr>
          <w:p>
            <w:pPr>
              <w:jc w:val="right"/>
              <w:ind w:right="40"/>
              <w:spacing w:after="0"/>
              <w:rPr>
                <w:sz w:val="20"/>
                <w:szCs w:val="20"/>
                <w:color w:val="auto"/>
              </w:rPr>
            </w:pPr>
            <w:r>
              <w:rPr>
                <w:rFonts w:ascii="Arial" w:cs="Arial" w:eastAsia="Arial" w:hAnsi="Arial"/>
                <w:sz w:val="18"/>
                <w:szCs w:val="18"/>
                <w:color w:val="auto"/>
              </w:rPr>
              <w:t>(110)</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shd w:val="clear" w:color="auto" w:fill="CFF0FC"/>
          </w:tcPr>
          <w:p>
            <w:pPr>
              <w:spacing w:after="0"/>
              <w:rPr>
                <w:sz w:val="20"/>
                <w:szCs w:val="20"/>
                <w:color w:val="auto"/>
              </w:rPr>
            </w:pPr>
            <w:r>
              <w:rPr>
                <w:rFonts w:ascii="Arial" w:cs="Arial" w:eastAsia="Arial" w:hAnsi="Arial"/>
                <w:sz w:val="18"/>
                <w:szCs w:val="18"/>
                <w:color w:val="auto"/>
                <w:w w:val="90"/>
              </w:rPr>
              <w:t>Amounts reclassified from accumulated other comprehensive loss</w:t>
            </w:r>
          </w:p>
        </w:tc>
        <w:tc>
          <w:tcPr>
            <w:tcW w:w="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9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140</w:t>
            </w: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9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194</w:t>
            </w:r>
          </w:p>
        </w:tc>
        <w:tc>
          <w:tcPr>
            <w:tcW w:w="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60" w:type="dxa"/>
            <w:vAlign w:val="bottom"/>
            <w:gridSpan w:val="3"/>
          </w:tcPr>
          <w:p>
            <w:pPr>
              <w:spacing w:after="0"/>
              <w:rPr>
                <w:sz w:val="20"/>
                <w:szCs w:val="20"/>
                <w:color w:val="auto"/>
              </w:rPr>
            </w:pPr>
            <w:r>
              <w:rPr>
                <w:rFonts w:ascii="Arial" w:cs="Arial" w:eastAsia="Arial" w:hAnsi="Arial"/>
                <w:sz w:val="18"/>
                <w:szCs w:val="18"/>
                <w:color w:val="auto"/>
              </w:rPr>
              <w:t>Income taxes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20" w:type="dxa"/>
            <w:vAlign w:val="bottom"/>
            <w:gridSpan w:val="4"/>
          </w:tcPr>
          <w:p>
            <w:pPr>
              <w:jc w:val="right"/>
              <w:ind w:right="80"/>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tcBorders>
              <w:top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Net other comprehensive (loss) income</w:t>
            </w:r>
          </w:p>
        </w:tc>
        <w:tc>
          <w:tcPr>
            <w:tcW w:w="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00" w:type="dxa"/>
            <w:vAlign w:val="bottom"/>
            <w:tcBorders>
              <w:top w:val="single" w:sz="8" w:color="auto"/>
              <w:bottom w:val="single" w:sz="8" w:color="auto"/>
            </w:tcBorders>
            <w:gridSpan w:val="3"/>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22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gridSpan w:val="2"/>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96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30</w:t>
            </w:r>
          </w:p>
        </w:tc>
        <w:tc>
          <w:tcPr>
            <w:tcW w:w="2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4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auto"/>
              <w:bottom w:val="single" w:sz="8" w:color="auto"/>
            </w:tcBorders>
            <w:shd w:val="clear" w:color="auto" w:fill="CFF0FC"/>
          </w:tcPr>
          <w:p>
            <w:pPr>
              <w:spacing w:after="0"/>
              <w:rPr>
                <w:sz w:val="19"/>
                <w:szCs w:val="19"/>
                <w:color w:val="auto"/>
              </w:rPr>
            </w:pPr>
          </w:p>
        </w:tc>
        <w:tc>
          <w:tcPr>
            <w:tcW w:w="80" w:type="dxa"/>
            <w:vAlign w:val="bottom"/>
            <w:tcBorders>
              <w:top w:val="single" w:sz="8" w:color="auto"/>
              <w:bottom w:val="single" w:sz="8" w:color="auto"/>
            </w:tcBorders>
            <w:shd w:val="clear" w:color="auto" w:fill="CFF0FC"/>
          </w:tcPr>
          <w:p>
            <w:pPr>
              <w:spacing w:after="0"/>
              <w:rPr>
                <w:sz w:val="19"/>
                <w:szCs w:val="19"/>
                <w:color w:val="auto"/>
              </w:rPr>
            </w:pPr>
          </w:p>
        </w:tc>
        <w:tc>
          <w:tcPr>
            <w:tcW w:w="9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172</w:t>
            </w:r>
          </w:p>
        </w:tc>
        <w:tc>
          <w:tcPr>
            <w:tcW w:w="4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40" w:type="dxa"/>
            <w:vAlign w:val="bottom"/>
            <w:tcBorders>
              <w:top w:val="single" w:sz="8" w:color="CFF0FC"/>
            </w:tcBorders>
            <w:shd w:val="clear" w:color="auto" w:fill="CFF0FC"/>
          </w:tcPr>
          <w:p>
            <w:pPr>
              <w:spacing w:after="0"/>
              <w:rPr>
                <w:sz w:val="19"/>
                <w:szCs w:val="19"/>
                <w:color w:val="auto"/>
              </w:rPr>
            </w:pPr>
          </w:p>
        </w:tc>
        <w:tc>
          <w:tcPr>
            <w:tcW w:w="60" w:type="dxa"/>
            <w:vAlign w:val="bottom"/>
            <w:tcBorders>
              <w:top w:val="single" w:sz="8" w:color="CFF0FC"/>
            </w:tcBorders>
            <w:shd w:val="clear" w:color="auto" w:fill="CFF0FC"/>
          </w:tcPr>
          <w:p>
            <w:pPr>
              <w:spacing w:after="0"/>
              <w:rPr>
                <w:sz w:val="19"/>
                <w:szCs w:val="19"/>
                <w:color w:val="auto"/>
              </w:rPr>
            </w:pPr>
          </w:p>
        </w:tc>
        <w:tc>
          <w:tcPr>
            <w:tcW w:w="20" w:type="dxa"/>
            <w:vAlign w:val="bottom"/>
            <w:tcBorders>
              <w:top w:val="single" w:sz="8" w:color="auto"/>
              <w:bottom w:val="single" w:sz="8" w:color="auto"/>
            </w:tcBorders>
            <w:shd w:val="clear" w:color="auto" w:fill="CFF0FC"/>
          </w:tcPr>
          <w:p>
            <w:pPr>
              <w:spacing w:after="0"/>
              <w:rPr>
                <w:sz w:val="19"/>
                <w:szCs w:val="19"/>
                <w:color w:val="auto"/>
              </w:rPr>
            </w:pPr>
          </w:p>
        </w:tc>
        <w:tc>
          <w:tcPr>
            <w:tcW w:w="280" w:type="dxa"/>
            <w:vAlign w:val="bottom"/>
            <w:tcBorders>
              <w:top w:val="single" w:sz="8" w:color="auto"/>
              <w:bottom w:val="single" w:sz="8" w:color="auto"/>
            </w:tcBorders>
            <w:shd w:val="clear" w:color="auto" w:fill="CFF0FC"/>
          </w:tcPr>
          <w:p>
            <w:pPr>
              <w:spacing w:after="0"/>
              <w:rPr>
                <w:sz w:val="19"/>
                <w:szCs w:val="19"/>
                <w:color w:val="auto"/>
              </w:rPr>
            </w:pPr>
          </w:p>
        </w:tc>
        <w:tc>
          <w:tcPr>
            <w:tcW w:w="8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60" w:type="dxa"/>
            <w:vAlign w:val="bottom"/>
            <w:gridSpan w:val="3"/>
          </w:tcPr>
          <w:p>
            <w:pPr>
              <w:spacing w:after="0"/>
              <w:rPr>
                <w:sz w:val="20"/>
                <w:szCs w:val="20"/>
                <w:color w:val="auto"/>
              </w:rPr>
            </w:pPr>
            <w:r>
              <w:rPr>
                <w:rFonts w:ascii="Arial" w:cs="Arial" w:eastAsia="Arial" w:hAnsi="Arial"/>
                <w:sz w:val="18"/>
                <w:szCs w:val="18"/>
                <w:color w:val="auto"/>
              </w:rPr>
              <w:t>Balance, June 30, 2015</w:t>
            </w:r>
          </w:p>
        </w:tc>
        <w:tc>
          <w:tcPr>
            <w:tcW w:w="6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(1,625)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220" w:type="dxa"/>
            <w:vAlign w:val="bottom"/>
            <w:gridSpan w:val="2"/>
          </w:tcPr>
          <w:p>
            <w:pPr>
              <w:spacing w:after="0"/>
              <w:rPr>
                <w:sz w:val="19"/>
                <w:szCs w:val="19"/>
                <w:color w:val="auto"/>
              </w:rPr>
            </w:pPr>
          </w:p>
        </w:tc>
        <w:tc>
          <w:tcPr>
            <w:tcW w:w="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(66)</w:t>
            </w:r>
          </w:p>
        </w:tc>
        <w:tc>
          <w:tcPr>
            <w:tcW w:w="10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(2,417)</w:t>
            </w:r>
          </w:p>
        </w:tc>
        <w:tc>
          <w:tcPr>
            <w:tcW w:w="140" w:type="dxa"/>
            <w:vAlign w:val="bottom"/>
            <w:gridSpan w:val="2"/>
          </w:tcPr>
          <w:p>
            <w:pPr>
              <w:spacing w:after="0"/>
              <w:rPr>
                <w:sz w:val="19"/>
                <w:szCs w:val="19"/>
                <w:color w:val="auto"/>
              </w:rPr>
            </w:pPr>
          </w:p>
        </w:tc>
        <w:tc>
          <w:tcPr>
            <w:tcW w:w="100" w:type="dxa"/>
            <w:vAlign w:val="bottom"/>
            <w:gridSpan w:val="2"/>
          </w:tcPr>
          <w:p>
            <w:pPr>
              <w:spacing w:after="0"/>
              <w:rPr>
                <w:sz w:val="19"/>
                <w:szCs w:val="19"/>
                <w:color w:val="auto"/>
              </w:rPr>
            </w:pPr>
          </w:p>
        </w:tc>
        <w:tc>
          <w:tcPr>
            <w:tcW w:w="3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(4,108)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9"/>
        </w:trPr>
        <w:tc>
          <w:tcPr>
            <w:tcW w:w="28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80" w:type="dxa"/>
            <w:vAlign w:val="bottom"/>
            <w:tcBorders>
              <w:bottom w:val="single" w:sz="8" w:color="9A9A9A"/>
            </w:tcBorders>
          </w:tcPr>
          <w:p>
            <w:pPr>
              <w:spacing w:after="0"/>
              <w:rPr>
                <w:sz w:val="9"/>
                <w:szCs w:val="9"/>
                <w:color w:val="auto"/>
              </w:rPr>
            </w:pPr>
          </w:p>
        </w:tc>
        <w:tc>
          <w:tcPr>
            <w:tcW w:w="3160" w:type="dxa"/>
            <w:vAlign w:val="bottom"/>
            <w:tcBorders>
              <w:bottom w:val="single" w:sz="8" w:color="9A9A9A"/>
            </w:tcBorders>
          </w:tcPr>
          <w:p>
            <w:pPr>
              <w:spacing w:after="0"/>
              <w:rPr>
                <w:sz w:val="9"/>
                <w:szCs w:val="9"/>
                <w:color w:val="auto"/>
              </w:rPr>
            </w:pPr>
          </w:p>
        </w:tc>
        <w:tc>
          <w:tcPr>
            <w:tcW w:w="13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9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9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8" w:right="219" w:bottom="1440" w:gutter="0" w:footer="0" w:header="0"/>
        </w:sectPr>
      </w:pPr>
    </w:p>
    <w:bookmarkStart w:id="19" w:name="page20"/>
    <w:bookmarkEnd w:id="19"/>
    <w:p>
      <w:pPr>
        <w:ind w:left="120"/>
        <w:spacing w:after="0"/>
        <w:rPr>
          <w:sz w:val="20"/>
          <w:szCs w:val="20"/>
          <w:color w:val="auto"/>
        </w:rPr>
      </w:pPr>
      <w:r>
        <w:rPr>
          <w:rFonts w:ascii="Arial" w:cs="Arial" w:eastAsia="Arial" w:hAnsi="Arial"/>
          <w:sz w:val="18"/>
          <w:szCs w:val="18"/>
          <w:b w:val="1"/>
          <w:bCs w:val="1"/>
          <w:u w:val="single" w:color="auto"/>
          <w:color w:val="auto"/>
        </w:rPr>
        <w:t>Item 2. Management’s Discussion and Analysis of Financial Condition and Results of Operations.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Second Quarter 2016 Compared to First Quarter 2016</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Second Quarter 2016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760"/>
              <w:spacing w:after="0"/>
              <w:rPr>
                <w:sz w:val="20"/>
                <w:szCs w:val="20"/>
                <w:color w:val="auto"/>
              </w:rPr>
            </w:pPr>
            <w:r>
              <w:rPr>
                <w:rFonts w:ascii="Arial" w:cs="Arial" w:eastAsia="Arial" w:hAnsi="Arial"/>
                <w:sz w:val="18"/>
                <w:szCs w:val="18"/>
                <w:color w:val="auto"/>
              </w:rPr>
              <w:t>First Quarter 2016</w:t>
            </w:r>
          </w:p>
        </w:tc>
      </w:tr>
      <w:tr>
        <w:trPr>
          <w:trHeight w:val="218"/>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29"/>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1,747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901</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(172)</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(120)</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6,520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622</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00" w:hanging="285"/>
        <w:spacing w:after="0" w:line="278" w:lineRule="auto"/>
        <w:tabs>
          <w:tab w:leader="none" w:pos="240" w:val="left"/>
        </w:tabs>
        <w:numPr>
          <w:ilvl w:val="0"/>
          <w:numId w:val="24"/>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second quarter of 2016 includes $63 million of amortization expense associated with intangible assets recorded as a result of the acquisition of Cameron, which was completed on April 1, 2016.</w:t>
      </w:r>
    </w:p>
    <w:p>
      <w:pPr>
        <w:spacing w:after="0" w:line="89" w:lineRule="exact"/>
        <w:rPr>
          <w:rFonts w:ascii="Arial" w:cs="Arial" w:eastAsia="Arial" w:hAnsi="Arial"/>
          <w:sz w:val="15"/>
          <w:szCs w:val="15"/>
          <w:color w:val="auto"/>
        </w:rPr>
      </w:pPr>
    </w:p>
    <w:p>
      <w:pPr>
        <w:ind w:left="240" w:hanging="225"/>
        <w:spacing w:after="0"/>
        <w:tabs>
          <w:tab w:leader="none" w:pos="240" w:val="left"/>
        </w:tabs>
        <w:numPr>
          <w:ilvl w:val="0"/>
          <w:numId w:val="24"/>
        </w:numPr>
        <w:rPr>
          <w:rFonts w:ascii="Arial" w:cs="Arial" w:eastAsia="Arial" w:hAnsi="Arial"/>
          <w:sz w:val="14"/>
          <w:szCs w:val="14"/>
          <w:color w:val="auto"/>
        </w:rPr>
      </w:pPr>
      <w:r>
        <w:rPr>
          <w:rFonts w:ascii="Arial" w:cs="Arial" w:eastAsia="Arial" w:hAnsi="Arial"/>
          <w:sz w:val="15"/>
          <w:szCs w:val="15"/>
          <w:color w:val="auto"/>
        </w:rPr>
        <w:t>Interest income excludes amounts which are included in the segments’ income ($6 million in the second quarter of 2016; $6 million in the first quarter of 2016).</w:t>
      </w:r>
    </w:p>
    <w:p>
      <w:pPr>
        <w:spacing w:after="0" w:line="151" w:lineRule="exact"/>
        <w:rPr>
          <w:rFonts w:ascii="Arial" w:cs="Arial" w:eastAsia="Arial" w:hAnsi="Arial"/>
          <w:sz w:val="14"/>
          <w:szCs w:val="14"/>
          <w:color w:val="auto"/>
        </w:rPr>
      </w:pPr>
    </w:p>
    <w:p>
      <w:pPr>
        <w:ind w:left="280" w:hanging="265"/>
        <w:spacing w:after="0"/>
        <w:tabs>
          <w:tab w:leader="none" w:pos="280" w:val="left"/>
        </w:tabs>
        <w:numPr>
          <w:ilvl w:val="0"/>
          <w:numId w:val="24"/>
        </w:numPr>
        <w:rPr>
          <w:rFonts w:ascii="Arial" w:cs="Arial" w:eastAsia="Arial" w:hAnsi="Arial"/>
          <w:sz w:val="14"/>
          <w:szCs w:val="14"/>
          <w:color w:val="auto"/>
        </w:rPr>
      </w:pPr>
      <w:r>
        <w:rPr>
          <w:rFonts w:ascii="Arial" w:cs="Arial" w:eastAsia="Arial" w:hAnsi="Arial"/>
          <w:sz w:val="15"/>
          <w:szCs w:val="15"/>
          <w:color w:val="auto"/>
        </w:rPr>
        <w:t>Interest expense excludes amounts which are included in the segments’ income ($13 million in the second quarter of 2016; $13 million in the first quarter of 2016).</w:t>
      </w:r>
    </w:p>
    <w:p>
      <w:pPr>
        <w:spacing w:after="0" w:line="151" w:lineRule="exact"/>
        <w:rPr>
          <w:rFonts w:ascii="Arial" w:cs="Arial" w:eastAsia="Arial" w:hAnsi="Arial"/>
          <w:sz w:val="14"/>
          <w:szCs w:val="14"/>
          <w:color w:val="auto"/>
        </w:rPr>
      </w:pPr>
    </w:p>
    <w:p>
      <w:pPr>
        <w:ind w:left="280" w:hanging="265"/>
        <w:spacing w:after="0"/>
        <w:tabs>
          <w:tab w:leader="none" w:pos="280" w:val="left"/>
        </w:tabs>
        <w:numPr>
          <w:ilvl w:val="0"/>
          <w:numId w:val="24"/>
        </w:numPr>
        <w:rPr>
          <w:rFonts w:ascii="Arial" w:cs="Arial" w:eastAsia="Arial" w:hAnsi="Arial"/>
          <w:sz w:val="15"/>
          <w:szCs w:val="15"/>
          <w:color w:val="auto"/>
        </w:rPr>
      </w:pPr>
      <w:r>
        <w:rPr>
          <w:rFonts w:ascii="Arial" w:cs="Arial" w:eastAsia="Arial" w:hAnsi="Arial"/>
          <w:sz w:val="16"/>
          <w:szCs w:val="16"/>
          <w:color w:val="auto"/>
        </w:rPr>
        <w:t xml:space="preserve">Charges and credits recorded during the second quarter of 2016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23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On April 1, 2016, Schlumberger acquired all of the outstanding shares of Cameron International Corporation (Cameron), a leading provider of flow equipment products, systems and services to the oil and gas industry worldwide. The acquisition is expected to create technology-driven growth by integrating Schlumberger reservoir and well technologies with Cameron wellhead and surface equipment, flow control and processing technology. The combination of the two complementary technology portfolios provides the industry’s most comprehensive range of products and services, from exploration to production and integrated pore-to-pipeline solutions that optimize hydrocarbon recovery to deliver reservoir performance.</w:t>
      </w:r>
    </w:p>
    <w:p>
      <w:pPr>
        <w:spacing w:after="0" w:line="17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Under the terms of the merger agreement, Cameron became a wholly-owned subsidiary of Schlumberger. Each share of Cameron common stock issued and outstanding immediately prior to the effective time of the merger was converted into the right to receive 0.716 shares of Schlumberger stock and $14.44 in cash. As a result, Schlumberger issued approximately 138 million shares of its common stock and paid cash of approximately $2.8 billion in connection with this transaction. Based on the closing price of Schlumberger’s common stock on April 1, 2016, the total fair value of the consideration transferred to effect the acquisition of Cameron was approximately $12.8 billion. Cameron’s revenue for the year ended December 31, 2015 was $8.8 billion.</w:t>
      </w:r>
    </w:p>
    <w:p>
      <w:pPr>
        <w:spacing w:after="0" w:line="16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2016 revenue of $7.2 billion increased 10% sequentially. This included a full quarter of activity from the acquired Cameron businesses, which contributed revenue of $1.5 billion. Excluding the impact of the Cameron acquisition, revenue declined 14% sequentially.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April 2016, Schlumberger announced that it would reduce its activity in Venezuela to align operations with cash collections as a result of insufficient payments received in recent quarters and a lack of progress in establishing new mechanisms that address past and future accounts receivable. The reduction in activity levels in Venezuela accounted for approximately 25% of the previously mentioned 14% sequential revenue decline (excluding the impact of Cameron). Venezuela represented less than 5% of Schlumberger’s consolidated revenue for the year ended December 31, 2015.</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0" w:name="page21"/>
    <w:bookmarkEnd w:id="20"/>
    <w:p>
      <w:pPr>
        <w:jc w:val="both"/>
        <w:spacing w:after="0" w:line="254" w:lineRule="auto"/>
        <w:rPr>
          <w:sz w:val="20"/>
          <w:szCs w:val="20"/>
          <w:color w:val="auto"/>
        </w:rPr>
      </w:pPr>
      <w:r>
        <w:rPr>
          <w:rFonts w:ascii="Arial" w:cs="Arial" w:eastAsia="Arial" w:hAnsi="Arial"/>
          <w:sz w:val="18"/>
          <w:szCs w:val="18"/>
          <w:color w:val="auto"/>
        </w:rPr>
        <w:t>North America second-quarter revenue of $1.7 billion increased 19% sequentially due to the addition of the Cameron businesses, which contributed $0.6 billion of second-quarter revenue. Excluding the impact of Cameron, North America revenue decreased 20% as a result of the Canadian spring break-up and the US land rig count decline of 25%. Excluding Cameron, North America land revenue fell 23% on lower Drilling Group activity and continuing pricing pressure in the Production Group. While fracturing stage counts and active pressure pumping fleets increased more than 15% sequentially, an unfavorable job and technology mix, combined with pricing pressure, more than offset the increase in volume. North America offshore revenue, excluding the impact of Cameron, decreased 15%, mainly due to lower Drilling Group activity, although this was partially offset by higher WesternGeco multiclient seismic license fees.</w:t>
      </w:r>
    </w:p>
    <w:p>
      <w:pPr>
        <w:spacing w:after="0" w:line="19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Revenue for the International Areas of $5.4 billion increased 8% sequentially, including the effect of the acquired Cameron businesses, which contributed $1.0 billion in second-quarter revenue. Excluding the impact of Cameron, international revenue declined 12% sequentially due to customer budget cuts, continued pricing pressure and the scaling back of operations in Venezuela.</w:t>
      </w:r>
    </w:p>
    <w:p>
      <w:pPr>
        <w:spacing w:after="0" w:line="18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From a segment perspective, second-quarter revenue from the Reservoir Characterization and Production Groups declined sequentially by 9% and 11%, respectively, on continued lower demand for exploration- and development-related products and services as E&amp;P budgets were further reduced. Drilling Group revenue fell by 18%, impacted by the steep drop in rig count, particularly in North America and Latin America.</w:t>
      </w:r>
    </w:p>
    <w:p>
      <w:pPr>
        <w:spacing w:after="0" w:line="18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Second-quarter 2016 pretax operating margin decreased 155 bps to 10% primarily from the overall decline in activity and pricing concessions. The margin decrease was the highest in the Drilling Group, which contracted by 649 bps to 8%. The Production Group pretax operating margin fell 459 bps to 4% while the Reservoir Characterization Group decreased 228 bps to 17%, and the Cameron Group posted a pretax operating margin of 16%.</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Second-quarter revenue of $1.6 billion was 9% lower sequentially, primarily due to the scaling back of operations in Venezuela and project cancellations that impacted Wireline activity internationally. Testing Services revenue and Software Integrated Solutions (SIS) software sales also declined, particularly in Latin America. These declines were partially offset by higher multiclient seismic license sales, including transfer fees, which increased $68 million.</w:t>
      </w:r>
    </w:p>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Pretax operating margin of 17% declined 228 basis points (bps) sequentially primarily due to reduced high-margin Wireline and Testing Services activities, particularly in Latin America.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Second-quarter revenue of $2.0 billion declined 18% sequentially. This was mainly the result of a sharp drop in drilling activity from a combination of the spring break-up in Canada, lower rig counts on land in the US and Latin America, and the scaling back of operations in Venezuela. In addition, continued and persistent pricing pressure negatively impacted Drilling &amp; Measurements and M-I SWACO results across all of the Areas.</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8% contracted 649 bps sequentially, driven by pricing pressure, lower rig counts in North America and the scaling back of operations in Venezuela.</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revenue of $2.1 billion decreased 11% sequentially with more than one-half of the revenue decrease attributable to a decline in North America from the Canadian spring break-up and increased pricing pressure.</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4% decreased 459 bps sequentially, primarily from lower activity and increased pricing weakness in pressure pumping services in North America 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Cameron Group contributed second-quarter revenue of $1.5 billion and pretax operating margin of 16%. Revenue was impacted by a declining project backlog as well as a further slowdown in activity on land in the US that mainly affected the short-cycle businesses of the Valves &amp; Measurement and Surface product lines.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16% was robust despite the market downturn. This was driven by strong project execution from the OneSubsea, Drilling, and Process Systems product lines.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u w:val="single" w:color="auto"/>
          <w:color w:val="auto"/>
        </w:rPr>
        <w:t>Second Quarter 2016 Compared to Second Quarter 2015</w:t>
      </w: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Second Quarter 2016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660"/>
              <w:spacing w:after="0"/>
              <w:rPr>
                <w:sz w:val="20"/>
                <w:szCs w:val="20"/>
                <w:color w:val="auto"/>
              </w:rPr>
            </w:pPr>
            <w:r>
              <w:rPr>
                <w:rFonts w:ascii="Arial" w:cs="Arial" w:eastAsia="Arial" w:hAnsi="Arial"/>
                <w:sz w:val="18"/>
                <w:szCs w:val="18"/>
                <w:color w:val="auto"/>
              </w:rPr>
              <w:t>Second Quarter 2015</w:t>
            </w:r>
          </w:p>
        </w:tc>
      </w:tr>
      <w:tr>
        <w:trPr>
          <w:trHeight w:val="218"/>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29"/>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1,593</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266</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2,510</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2,034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171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3,469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672</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2,099</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90</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3,059</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397</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(98)</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1,708</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(241)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(199)</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(136)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(79)</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7,164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(2,514)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9,010</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1,436</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60" w:lineRule="exact"/>
        <w:rPr>
          <w:sz w:val="20"/>
          <w:szCs w:val="20"/>
          <w:color w:val="auto"/>
        </w:rPr>
      </w:pPr>
    </w:p>
    <w:p>
      <w:pPr>
        <w:ind w:left="300" w:hanging="285"/>
        <w:spacing w:after="0" w:line="278" w:lineRule="auto"/>
        <w:tabs>
          <w:tab w:leader="none" w:pos="240" w:val="left"/>
        </w:tabs>
        <w:numPr>
          <w:ilvl w:val="0"/>
          <w:numId w:val="25"/>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second quarter of 2016 includes $63 million of amortization expense associated with intangible assets recorded as a result of the acquisition of Cameron, which was completed on April 1, 2016.</w:t>
      </w:r>
    </w:p>
    <w:p>
      <w:pPr>
        <w:spacing w:after="0" w:line="89" w:lineRule="exact"/>
        <w:rPr>
          <w:rFonts w:ascii="Arial" w:cs="Arial" w:eastAsia="Arial" w:hAnsi="Arial"/>
          <w:sz w:val="15"/>
          <w:szCs w:val="15"/>
          <w:color w:val="auto"/>
        </w:rPr>
      </w:pPr>
    </w:p>
    <w:p>
      <w:pPr>
        <w:ind w:left="280" w:hanging="221"/>
        <w:spacing w:after="0"/>
        <w:tabs>
          <w:tab w:leader="none" w:pos="280" w:val="left"/>
        </w:tabs>
        <w:numPr>
          <w:ilvl w:val="3"/>
          <w:numId w:val="25"/>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($6 million in 2016; $6 million in 2015).</w:t>
      </w:r>
    </w:p>
    <w:p>
      <w:pPr>
        <w:spacing w:after="0" w:line="139" w:lineRule="exact"/>
        <w:rPr>
          <w:rFonts w:ascii="Arial" w:cs="Arial" w:eastAsia="Arial" w:hAnsi="Arial"/>
          <w:sz w:val="15"/>
          <w:szCs w:val="15"/>
          <w:color w:val="auto"/>
        </w:rPr>
      </w:pPr>
    </w:p>
    <w:p>
      <w:pPr>
        <w:ind w:left="300" w:hanging="269"/>
        <w:spacing w:after="0"/>
        <w:tabs>
          <w:tab w:leader="none" w:pos="300" w:val="left"/>
        </w:tabs>
        <w:numPr>
          <w:ilvl w:val="2"/>
          <w:numId w:val="25"/>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($13 million in 2016; $7 million in 2015).</w:t>
      </w:r>
    </w:p>
    <w:p>
      <w:pPr>
        <w:spacing w:after="0" w:line="139" w:lineRule="exact"/>
        <w:rPr>
          <w:rFonts w:ascii="Arial" w:cs="Arial" w:eastAsia="Arial" w:hAnsi="Arial"/>
          <w:sz w:val="15"/>
          <w:szCs w:val="15"/>
          <w:color w:val="auto"/>
        </w:rPr>
      </w:pPr>
    </w:p>
    <w:p>
      <w:pPr>
        <w:ind w:left="280" w:hanging="265"/>
        <w:spacing w:after="0"/>
        <w:tabs>
          <w:tab w:leader="none" w:pos="280" w:val="left"/>
        </w:tabs>
        <w:numPr>
          <w:ilvl w:val="1"/>
          <w:numId w:val="25"/>
        </w:numPr>
        <w:rPr>
          <w:rFonts w:ascii="Arial" w:cs="Arial" w:eastAsia="Arial" w:hAnsi="Arial"/>
          <w:sz w:val="15"/>
          <w:szCs w:val="15"/>
          <w:color w:val="auto"/>
        </w:rPr>
      </w:pPr>
      <w:r>
        <w:rPr>
          <w:rFonts w:ascii="Arial" w:cs="Arial" w:eastAsia="Arial" w:hAnsi="Arial"/>
          <w:sz w:val="16"/>
          <w:szCs w:val="16"/>
          <w:color w:val="auto"/>
        </w:rPr>
        <w:t xml:space="preserve">Charges and credits recorded during the second quarter of 2016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2016 revenue of $7.2 billion decreased 21% year-on-year. This included a full quarter of activity from the acquired Cameron businesses, which contributed revenue of $1.5 billion. Excluding the impact of the Cameron acquisition, revenue declined 38% year-on-year.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Second-quarter 2016 revenue from the Reservoir Characterization and Production Groups declined year-on-year by 37% and 31%, respectively, on lower demand for exploration- and development-related products and services as E&amp;P budgets were further reduced. Drilling Group revenue fell by 41% due to the rig count decline in both North America and internationally.</w:t>
      </w:r>
    </w:p>
    <w:p>
      <w:pPr>
        <w:spacing w:after="0" w:line="18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Second-quarter 2016 pretax operating margin decreased 854 bps to 10%, as a result of the overall decline in activity and pervasive pricing concessions. The margin decrease was the highest in the Drilling Group, which contracted by 1,096 bps to 8%. Reservoir Characterization Group pretax operating margin fell 943 bps to 17%, while the Production Group decreased 871 bps to 4%, and the Cameron Group posted a pretax margin of 16%.</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Second-quarter 2016 revenue of $1.6 billion decreased 37% year-on-year primarily due to sustained cuts in exploration and discretionary spending that impacted Wireline, Testing Services and SIS software sales. Revenue also decreased due to lower WesternGeco marine vessel utilization and reduced multiclient sales.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943 bps to 17% due to reduced high-margin Wireline and Testing Services activities.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Second-quarter 2016 revenue of $2.0 billion decreased 41% year-on-year primarily due to the severe drop in rig count in both North America and internationally combined with pricing pressure that mainly affected the Drilling &amp; Measurements and M-I SWACO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1,096 bps to 8% primarily due to the significant decline in higher-margin activities of Drilling &amp; Measurements combined with pricing weakness.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Second-quarter 2016 revenue of $2.1 billion decreased 31% year-on-year with most of the revenue decrease attributable to a decline in North America, particularly on Well Services pressure pumping technologies driven by activity declines and pricing pressure as the land rig count declined dramatically.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871 bps to 4% as a result of lower activity and increasing pricing pressure, which continued in North America land.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Cameron Group</w:t>
      </w:r>
    </w:p>
    <w:p>
      <w:pPr>
        <w:spacing w:after="0" w:line="12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Cameron Group contributed second-quarter revenue of $1.5 billion and pretax operating margin of 16%. Revenue was impacted by a declining project backlog as well as a further slowdown in activity on land in the US that mainly affected the short-cycle businesses of the Valves &amp; Measurement and Surface product lines.</w:t>
      </w:r>
    </w:p>
    <w:p>
      <w:pPr>
        <w:spacing w:after="0" w:line="18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Pretax operating margin of 16% was robust despite the market downturn. This was driven by strong project execution from the OneSubsea, Drilling, and Process Systems product lines.</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Six Months 2016 Compared to Six Months 2015</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60" w:type="dxa"/>
            <w:vAlign w:val="bottom"/>
            <w:gridSpan w:val="6"/>
          </w:tcPr>
          <w:p>
            <w:pPr>
              <w:jc w:val="right"/>
              <w:ind w:right="800"/>
              <w:spacing w:after="0"/>
              <w:rPr>
                <w:sz w:val="20"/>
                <w:szCs w:val="20"/>
                <w:color w:val="auto"/>
              </w:rPr>
            </w:pPr>
            <w:r>
              <w:rPr>
                <w:rFonts w:ascii="Arial" w:cs="Arial" w:eastAsia="Arial" w:hAnsi="Arial"/>
                <w:sz w:val="18"/>
                <w:szCs w:val="18"/>
                <w:b w:val="1"/>
                <w:bCs w:val="1"/>
                <w:color w:val="auto"/>
              </w:rPr>
              <w:t>Six Months 2016</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540" w:type="dxa"/>
            <w:vAlign w:val="bottom"/>
            <w:gridSpan w:val="6"/>
          </w:tcPr>
          <w:p>
            <w:pPr>
              <w:jc w:val="right"/>
              <w:ind w:right="800"/>
              <w:spacing w:after="0"/>
              <w:rPr>
                <w:sz w:val="20"/>
                <w:szCs w:val="20"/>
                <w:color w:val="auto"/>
              </w:rPr>
            </w:pPr>
            <w:r>
              <w:rPr>
                <w:rFonts w:ascii="Arial" w:cs="Arial" w:eastAsia="Arial" w:hAnsi="Arial"/>
                <w:sz w:val="18"/>
                <w:szCs w:val="18"/>
                <w:color w:val="auto"/>
              </w:rPr>
              <w:t>Six Months 2015</w:t>
            </w:r>
          </w:p>
        </w:tc>
      </w:tr>
      <w:tr>
        <w:trPr>
          <w:trHeight w:val="218"/>
        </w:trPr>
        <w:tc>
          <w:tcPr>
            <w:tcW w:w="58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1"/>
              </w:rPr>
              <w:t>Income</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center"/>
              <w:ind w:right="130"/>
              <w:spacing w:after="0"/>
              <w:rPr>
                <w:sz w:val="20"/>
                <w:szCs w:val="20"/>
                <w:color w:val="auto"/>
              </w:rPr>
            </w:pPr>
            <w:r>
              <w:rPr>
                <w:rFonts w:ascii="Arial" w:cs="Arial" w:eastAsia="Arial" w:hAnsi="Arial"/>
                <w:sz w:val="18"/>
                <w:szCs w:val="18"/>
                <w:color w:val="auto"/>
                <w:w w:val="91"/>
              </w:rPr>
              <w:t>Income</w:t>
            </w:r>
          </w:p>
        </w:tc>
        <w:tc>
          <w:tcPr>
            <w:tcW w:w="100" w:type="dxa"/>
            <w:vAlign w:val="bottom"/>
          </w:tcPr>
          <w:p>
            <w:pPr>
              <w:spacing w:after="0"/>
              <w:rPr>
                <w:sz w:val="18"/>
                <w:szCs w:val="18"/>
                <w:color w:val="auto"/>
              </w:rPr>
            </w:pPr>
          </w:p>
        </w:tc>
      </w:tr>
      <w:tr>
        <w:trPr>
          <w:trHeight w:val="229"/>
        </w:trPr>
        <w:tc>
          <w:tcPr>
            <w:tcW w:w="58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7"/>
              </w:rPr>
              <w:t>Before</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94"/>
              </w:rPr>
              <w:t>Before</w:t>
            </w:r>
          </w:p>
        </w:tc>
      </w:tr>
      <w:tr>
        <w:trPr>
          <w:trHeight w:val="234"/>
        </w:trPr>
        <w:tc>
          <w:tcPr>
            <w:tcW w:w="58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Revenue</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2"/>
              </w:rPr>
              <w:t>Taxes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w w:val="97"/>
              </w:rPr>
              <w:t>Revenue</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8"/>
                <w:szCs w:val="18"/>
                <w:color w:val="auto"/>
                <w:w w:val="85"/>
              </w:rPr>
              <w:t>Taxes</w:t>
            </w: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Reservoir Characterization</w:t>
            </w: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3,339</w:t>
            </w:r>
          </w:p>
        </w:tc>
        <w:tc>
          <w:tcPr>
            <w:tcW w:w="1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597</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5,165</w:t>
            </w:r>
          </w:p>
        </w:tc>
        <w:tc>
          <w:tcPr>
            <w:tcW w:w="160" w:type="dxa"/>
            <w:vAlign w:val="bottom"/>
            <w:tcBorders>
              <w:top w:val="single" w:sz="8" w:color="CFF0FC"/>
            </w:tcBorders>
            <w:shd w:val="clear" w:color="auto" w:fill="CFF0FC"/>
          </w:tcPr>
          <w:p>
            <w:pPr>
              <w:spacing w:after="0"/>
              <w:rPr>
                <w:sz w:val="19"/>
                <w:szCs w:val="19"/>
                <w:color w:val="auto"/>
              </w:rPr>
            </w:pPr>
          </w:p>
        </w:tc>
        <w:tc>
          <w:tcPr>
            <w:tcW w:w="8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1,327</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Drilling</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4,527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7,391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Production</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4,447</w:t>
            </w: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298</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6,764</w:t>
            </w: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941</w:t>
            </w:r>
          </w:p>
        </w:tc>
        <w:tc>
          <w:tcPr>
            <w:tcW w:w="100" w:type="dxa"/>
            <w:vAlign w:val="bottom"/>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Cameron</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1,536</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243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Eliminations &amp; other</w:t>
            </w: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(165)</w:t>
            </w: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(32)</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w:t>
            </w:r>
          </w:p>
        </w:tc>
      </w:tr>
      <w:tr>
        <w:trPr>
          <w:trHeight w:val="223"/>
        </w:trPr>
        <w:tc>
          <w:tcPr>
            <w:tcW w:w="5880" w:type="dxa"/>
            <w:vAlign w:val="bottom"/>
          </w:tcPr>
          <w:p>
            <w:pPr>
              <w:ind w:left="260"/>
              <w:spacing w:after="0"/>
              <w:rPr>
                <w:sz w:val="20"/>
                <w:szCs w:val="20"/>
                <w:color w:val="auto"/>
              </w:rPr>
            </w:pPr>
            <w:r>
              <w:rPr>
                <w:rFonts w:ascii="Arial" w:cs="Arial" w:eastAsia="Arial" w:hAnsi="Arial"/>
                <w:sz w:val="18"/>
                <w:szCs w:val="18"/>
                <w:color w:val="auto"/>
              </w:rPr>
              <w:t>Pretax operating income</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1,648</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3,701</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Corporate &amp; other </w:t>
            </w:r>
            <w:r>
              <w:rPr>
                <w:rFonts w:ascii="Arial" w:cs="Arial" w:eastAsia="Arial" w:hAnsi="Arial"/>
                <w:sz w:val="15"/>
                <w:szCs w:val="15"/>
                <w:color w:val="auto"/>
              </w:rPr>
              <w:t>(1)</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(413)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(390)</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Interest income </w:t>
            </w:r>
            <w:r>
              <w:rPr>
                <w:rFonts w:ascii="Arial" w:cs="Arial" w:eastAsia="Arial" w:hAnsi="Arial"/>
                <w:sz w:val="15"/>
                <w:szCs w:val="15"/>
                <w:color w:val="auto"/>
              </w:rPr>
              <w:t>(2)</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(3)</w:t>
            </w:r>
          </w:p>
        </w:tc>
        <w:tc>
          <w:tcPr>
            <w:tcW w:w="1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(256)</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1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(156)</w:t>
            </w: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 xml:space="preserve">Charges and credits </w:t>
            </w:r>
            <w:r>
              <w:rPr>
                <w:rFonts w:ascii="Arial" w:cs="Arial" w:eastAsia="Arial" w:hAnsi="Arial"/>
                <w:sz w:val="15"/>
                <w:szCs w:val="15"/>
                <w:color w:val="auto"/>
              </w:rPr>
              <w:t>(4)</w:t>
            </w: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(2,908)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40"/>
              <w:spacing w:after="0"/>
              <w:rPr>
                <w:sz w:val="20"/>
                <w:szCs w:val="20"/>
                <w:color w:val="auto"/>
              </w:rPr>
            </w:pPr>
            <w:r>
              <w:rPr>
                <w:rFonts w:ascii="Arial" w:cs="Arial" w:eastAsia="Arial" w:hAnsi="Arial"/>
                <w:sz w:val="18"/>
                <w:szCs w:val="18"/>
                <w:color w:val="auto"/>
              </w:rPr>
              <w:t>(439)</w:t>
            </w:r>
          </w:p>
        </w:tc>
      </w:tr>
      <w:tr>
        <w:trPr>
          <w:trHeight w:val="223"/>
        </w:trPr>
        <w:tc>
          <w:tcPr>
            <w:tcW w:w="58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13,684</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(1,892)</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19,258</w:t>
            </w:r>
          </w:p>
        </w:tc>
        <w:tc>
          <w:tcPr>
            <w:tcW w:w="160" w:type="dxa"/>
            <w:vAlign w:val="bottom"/>
            <w:tcBorders>
              <w:top w:val="single" w:sz="8" w:color="CFF0FC"/>
              <w:bottom w:val="single" w:sz="8" w:color="CFF0FC"/>
            </w:tcBorders>
            <w:shd w:val="clear" w:color="auto" w:fill="CFF0FC"/>
          </w:tcPr>
          <w:p>
            <w:pPr>
              <w:spacing w:after="0"/>
              <w:rPr>
                <w:sz w:val="19"/>
                <w:szCs w:val="19"/>
                <w:color w:val="auto"/>
              </w:rPr>
            </w:pPr>
          </w:p>
        </w:tc>
        <w:tc>
          <w:tcPr>
            <w:tcW w:w="80" w:type="dxa"/>
            <w:vAlign w:val="bottom"/>
            <w:tcBorders>
              <w:top w:val="single" w:sz="8" w:color="CFF0FC"/>
              <w:bottom w:val="single" w:sz="8" w:color="CFF0FC"/>
            </w:tcBorders>
            <w:shd w:val="clear" w:color="auto" w:fill="CFF0FC"/>
          </w:tcPr>
          <w:p>
            <w:pPr>
              <w:spacing w:after="0"/>
              <w:rPr>
                <w:sz w:val="19"/>
                <w:szCs w:val="19"/>
                <w:color w:val="auto"/>
              </w:rPr>
            </w:pPr>
          </w:p>
        </w:tc>
        <w:tc>
          <w:tcPr>
            <w:tcW w:w="200" w:type="dxa"/>
            <w:vAlign w:val="bottom"/>
            <w:tcBorders>
              <w:top w:val="single" w:sz="8" w:color="auto"/>
              <w:bottom w:val="single" w:sz="8" w:color="auto"/>
            </w:tcBorders>
            <w:shd w:val="clear" w:color="auto" w:fill="CFF0FC"/>
          </w:tcPr>
          <w:p>
            <w:pPr>
              <w:jc w:val="right"/>
              <w:ind w:right="16"/>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2,730</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ind w:left="300" w:hanging="285"/>
        <w:spacing w:after="0" w:line="278" w:lineRule="auto"/>
        <w:tabs>
          <w:tab w:leader="none" w:pos="240" w:val="left"/>
        </w:tabs>
        <w:numPr>
          <w:ilvl w:val="0"/>
          <w:numId w:val="26"/>
        </w:numPr>
        <w:rPr>
          <w:rFonts w:ascii="Arial" w:cs="Arial" w:eastAsia="Arial" w:hAnsi="Arial"/>
          <w:sz w:val="15"/>
          <w:szCs w:val="15"/>
          <w:color w:val="auto"/>
        </w:rPr>
      </w:pPr>
      <w:r>
        <w:rPr>
          <w:rFonts w:ascii="Arial" w:cs="Arial" w:eastAsia="Arial" w:hAnsi="Arial"/>
          <w:sz w:val="16"/>
          <w:szCs w:val="16"/>
          <w:color w:val="auto"/>
        </w:rPr>
        <w:t>Comprised principally of certain corporate expenses not allocated to the segments, stock-based compensation costs, amortization expense associated with certain intangible assets, certain centrally managed initiatives and other nonoperating items. The six months ended June 30, 2016 includes $63 million of amortization expense associated with intangible assets recorded as a result of the acquisition of Cameron, which was completed on April 1, 2016.</w:t>
      </w:r>
    </w:p>
    <w:p>
      <w:pPr>
        <w:spacing w:after="0" w:line="89" w:lineRule="exact"/>
        <w:rPr>
          <w:rFonts w:ascii="Arial" w:cs="Arial" w:eastAsia="Arial" w:hAnsi="Arial"/>
          <w:sz w:val="15"/>
          <w:szCs w:val="15"/>
          <w:color w:val="auto"/>
        </w:rPr>
      </w:pPr>
    </w:p>
    <w:p>
      <w:pPr>
        <w:ind w:left="280" w:hanging="221"/>
        <w:spacing w:after="0"/>
        <w:tabs>
          <w:tab w:leader="none" w:pos="280" w:val="left"/>
        </w:tabs>
        <w:numPr>
          <w:ilvl w:val="3"/>
          <w:numId w:val="26"/>
        </w:numPr>
        <w:rPr>
          <w:rFonts w:ascii="Arial" w:cs="Arial" w:eastAsia="Arial" w:hAnsi="Arial"/>
          <w:sz w:val="15"/>
          <w:szCs w:val="15"/>
          <w:color w:val="auto"/>
        </w:rPr>
      </w:pPr>
      <w:r>
        <w:rPr>
          <w:rFonts w:ascii="Arial" w:cs="Arial" w:eastAsia="Arial" w:hAnsi="Arial"/>
          <w:sz w:val="16"/>
          <w:szCs w:val="16"/>
          <w:color w:val="auto"/>
        </w:rPr>
        <w:t>Interest income excludes amounts which are included in the segments’ income ($12 million in 2016; $11 million in 2015).</w:t>
      </w:r>
    </w:p>
    <w:p>
      <w:pPr>
        <w:spacing w:after="0" w:line="139" w:lineRule="exact"/>
        <w:rPr>
          <w:rFonts w:ascii="Arial" w:cs="Arial" w:eastAsia="Arial" w:hAnsi="Arial"/>
          <w:sz w:val="15"/>
          <w:szCs w:val="15"/>
          <w:color w:val="auto"/>
        </w:rPr>
      </w:pPr>
    </w:p>
    <w:p>
      <w:pPr>
        <w:ind w:left="300" w:hanging="269"/>
        <w:spacing w:after="0"/>
        <w:tabs>
          <w:tab w:leader="none" w:pos="300" w:val="left"/>
        </w:tabs>
        <w:numPr>
          <w:ilvl w:val="2"/>
          <w:numId w:val="26"/>
        </w:numPr>
        <w:rPr>
          <w:rFonts w:ascii="Arial" w:cs="Arial" w:eastAsia="Arial" w:hAnsi="Arial"/>
          <w:sz w:val="15"/>
          <w:szCs w:val="15"/>
          <w:color w:val="auto"/>
        </w:rPr>
      </w:pPr>
      <w:r>
        <w:rPr>
          <w:rFonts w:ascii="Arial" w:cs="Arial" w:eastAsia="Arial" w:hAnsi="Arial"/>
          <w:sz w:val="16"/>
          <w:szCs w:val="16"/>
          <w:color w:val="auto"/>
        </w:rPr>
        <w:t>Interest expense excludes amounts which are included in the segments’ income ($26 million in 2016; $12 million in 2015).</w:t>
      </w:r>
    </w:p>
    <w:p>
      <w:pPr>
        <w:spacing w:after="0" w:line="139" w:lineRule="exact"/>
        <w:rPr>
          <w:rFonts w:ascii="Arial" w:cs="Arial" w:eastAsia="Arial" w:hAnsi="Arial"/>
          <w:sz w:val="15"/>
          <w:szCs w:val="15"/>
          <w:color w:val="auto"/>
        </w:rPr>
      </w:pPr>
    </w:p>
    <w:p>
      <w:pPr>
        <w:ind w:left="280" w:hanging="265"/>
        <w:spacing w:after="0"/>
        <w:tabs>
          <w:tab w:leader="none" w:pos="280" w:val="left"/>
        </w:tabs>
        <w:numPr>
          <w:ilvl w:val="1"/>
          <w:numId w:val="26"/>
        </w:numPr>
        <w:rPr>
          <w:rFonts w:ascii="Arial" w:cs="Arial" w:eastAsia="Arial" w:hAnsi="Arial"/>
          <w:sz w:val="15"/>
          <w:szCs w:val="15"/>
          <w:color w:val="auto"/>
        </w:rPr>
      </w:pPr>
      <w:r>
        <w:rPr>
          <w:rFonts w:ascii="Arial" w:cs="Arial" w:eastAsia="Arial" w:hAnsi="Arial"/>
          <w:sz w:val="16"/>
          <w:szCs w:val="16"/>
          <w:color w:val="auto"/>
        </w:rPr>
        <w:t xml:space="preserve">Charges and credits recorded during the first six months of 2016 and 2015 are described in detail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w:t>
      </w:r>
    </w:p>
    <w:p>
      <w:pPr>
        <w:spacing w:after="0" w:line="3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2016 revenue of $13.7 billion decreased 29% year-on-year. This included a full quarter of activity from the acquired Cameron businesses, which contributed revenue of $1.5 billion. Excluding the impact of Cameron, revenue declined 37% year-on-year.</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Six-month 2016 revenue from the Reservoir Characterization and Production Groups declined year-on-year by 35% and 34%, respectively, on lower demand for exploration- and development-related products and services as E&amp;P budgets were further reduced. Drilling Group revenue fell by 39% due to the rig count decline in both North America and internationally.</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3" w:name="page24"/>
    <w:bookmarkEnd w:id="23"/>
    <w:p>
      <w:pPr>
        <w:jc w:val="both"/>
        <w:spacing w:after="0" w:line="286" w:lineRule="auto"/>
        <w:rPr>
          <w:sz w:val="20"/>
          <w:szCs w:val="20"/>
          <w:color w:val="auto"/>
        </w:rPr>
      </w:pPr>
      <w:r>
        <w:rPr>
          <w:rFonts w:ascii="Arial" w:cs="Arial" w:eastAsia="Arial" w:hAnsi="Arial"/>
          <w:sz w:val="17"/>
          <w:szCs w:val="17"/>
          <w:color w:val="auto"/>
        </w:rPr>
        <w:t>Six-month 2016 pretax operating margin decreased 718 bps to 12%, as a result of the overall decline in activity and pervasive pricing concessions. The margin decrease was highest in the Reservoir Characterization Group, which contracted by 783 bps to 18%. Drilling Group pretax operating margin fell 765 bps to 12%, while the Production Group decreased 721 bps to 7%, and the Cameron Group posted a pretax operating margin of 16%.</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Reservoir Characterization Group</w:t>
      </w:r>
    </w:p>
    <w:p>
      <w:pPr>
        <w:spacing w:after="0" w:line="121" w:lineRule="exact"/>
        <w:rPr>
          <w:sz w:val="20"/>
          <w:szCs w:val="20"/>
          <w:color w:val="auto"/>
        </w:rPr>
      </w:pPr>
    </w:p>
    <w:p>
      <w:pPr>
        <w:jc w:val="both"/>
        <w:spacing w:after="0" w:line="341" w:lineRule="auto"/>
        <w:rPr>
          <w:sz w:val="20"/>
          <w:szCs w:val="20"/>
          <w:color w:val="auto"/>
        </w:rPr>
      </w:pPr>
      <w:r>
        <w:rPr>
          <w:rFonts w:ascii="Arial" w:cs="Arial" w:eastAsia="Arial" w:hAnsi="Arial"/>
          <w:sz w:val="16"/>
          <w:szCs w:val="16"/>
          <w:color w:val="auto"/>
        </w:rPr>
        <w:t>Six-month 2016 revenue of $3.3 billion decreased 35% year-on-year primarily due to sustained cuts in exploration and discretionary spending that impacted Wireline, Testing Services and SIS software sales. Revenue also decreased due to lower WesternGeco marine vessel utilization and reduced multiclient sales.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color w:val="auto"/>
        </w:rPr>
        <w:t>Year-on-year, pretax operating margin decreased 783 bps to 18% due to reduced high-margin Wireline and Testing Services activities.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Drilling Group</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Six-month 2016 revenue of $4.5 billion decreased 39% year-on-year primarily due to the severe drop in rig count in both North America and internationally combined with pricing pressure that mainly affected Drilling &amp; Measurements and M-I SWACO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765 bps to 12% primarily due to the significant decline in higher-margin activities of Drilling &amp; Measurements combined with pricing weakness.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Production Group</w:t>
      </w:r>
    </w:p>
    <w:p>
      <w:pPr>
        <w:spacing w:after="0" w:line="121"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Six-month 2016 revenue of $4.4 billion decreased 34% year-on-year with most of the revenue decrease attributable to a decline in North America, particularly on Well Services pressure pumping technologies driven by activity declines and pricing pressure as the land rig count declined dramatically.</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Year-on-year, pretax operating margin decreased 721 bps to 7% as a result of lower activity and increasing pricing pressure, which continued in North America land.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Interest and Other Income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Interest &amp; other income </w:t>
      </w:r>
      <w:r>
        <w:rPr>
          <w:rFonts w:ascii="Arial" w:cs="Arial" w:eastAsia="Arial" w:hAnsi="Arial"/>
          <w:sz w:val="18"/>
          <w:szCs w:val="18"/>
          <w:color w:val="auto"/>
        </w:rPr>
        <w:t>consisted of the following:</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5880" w:type="dxa"/>
            <w:vAlign w:val="bottom"/>
          </w:tcPr>
          <w:p>
            <w:pPr>
              <w:spacing w:after="0"/>
              <w:rPr>
                <w:sz w:val="24"/>
                <w:szCs w:val="24"/>
                <w:color w:val="auto"/>
              </w:rPr>
            </w:pPr>
          </w:p>
        </w:tc>
        <w:tc>
          <w:tcPr>
            <w:tcW w:w="2280" w:type="dxa"/>
            <w:vAlign w:val="bottom"/>
            <w:tcBorders>
              <w:bottom w:val="single" w:sz="8" w:color="auto"/>
            </w:tcBorders>
            <w:gridSpan w:val="4"/>
          </w:tcPr>
          <w:p>
            <w:pPr>
              <w:jc w:val="right"/>
              <w:ind w:right="307"/>
              <w:spacing w:after="0"/>
              <w:rPr>
                <w:sz w:val="20"/>
                <w:szCs w:val="20"/>
                <w:color w:val="auto"/>
              </w:rPr>
            </w:pPr>
            <w:r>
              <w:rPr>
                <w:rFonts w:ascii="Arial" w:cs="Arial" w:eastAsia="Arial" w:hAnsi="Arial"/>
                <w:sz w:val="18"/>
                <w:szCs w:val="18"/>
                <w:b w:val="1"/>
                <w:bCs w:val="1"/>
                <w:color w:val="auto"/>
              </w:rPr>
              <w:t>Second Quarter</w:t>
            </w:r>
          </w:p>
        </w:tc>
        <w:tc>
          <w:tcPr>
            <w:tcW w:w="300" w:type="dxa"/>
            <w:vAlign w:val="bottom"/>
            <w:tcBorders>
              <w:bottom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Six Months</w:t>
            </w:r>
          </w:p>
        </w:tc>
        <w:tc>
          <w:tcPr>
            <w:tcW w:w="8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5880" w:type="dxa"/>
            <w:vAlign w:val="bottom"/>
          </w:tcPr>
          <w:p>
            <w:pPr>
              <w:spacing w:after="0"/>
              <w:rPr>
                <w:sz w:val="19"/>
                <w:szCs w:val="19"/>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b w:val="1"/>
                <w:bCs w:val="1"/>
                <w:color w:val="auto"/>
              </w:rPr>
              <w:t>2016</w:t>
            </w:r>
          </w:p>
        </w:tc>
        <w:tc>
          <w:tcPr>
            <w:tcW w:w="300" w:type="dxa"/>
            <w:vAlign w:val="bottom"/>
          </w:tcPr>
          <w:p>
            <w:pPr>
              <w:spacing w:after="0"/>
              <w:rPr>
                <w:sz w:val="19"/>
                <w:szCs w:val="19"/>
                <w:color w:val="auto"/>
              </w:rPr>
            </w:pPr>
          </w:p>
        </w:tc>
        <w:tc>
          <w:tcPr>
            <w:tcW w:w="1120" w:type="dxa"/>
            <w:vAlign w:val="bottom"/>
            <w:gridSpan w:val="2"/>
          </w:tcPr>
          <w:p>
            <w:pPr>
              <w:jc w:val="right"/>
              <w:ind w:right="27"/>
              <w:spacing w:after="0"/>
              <w:rPr>
                <w:sz w:val="20"/>
                <w:szCs w:val="20"/>
                <w:color w:val="auto"/>
              </w:rPr>
            </w:pPr>
            <w:r>
              <w:rPr>
                <w:rFonts w:ascii="Arial" w:cs="Arial" w:eastAsia="Arial" w:hAnsi="Arial"/>
                <w:sz w:val="18"/>
                <w:szCs w:val="18"/>
                <w:color w:val="auto"/>
              </w:rPr>
              <w:t>2015</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40" w:type="dxa"/>
            <w:vAlign w:val="bottom"/>
          </w:tcPr>
          <w:p>
            <w:pPr>
              <w:jc w:val="right"/>
              <w:ind w:right="330"/>
              <w:spacing w:after="0"/>
              <w:rPr>
                <w:sz w:val="20"/>
                <w:szCs w:val="20"/>
                <w:color w:val="auto"/>
              </w:rPr>
            </w:pPr>
            <w:r>
              <w:rPr>
                <w:rFonts w:ascii="Arial" w:cs="Arial" w:eastAsia="Arial" w:hAnsi="Arial"/>
                <w:sz w:val="18"/>
                <w:szCs w:val="18"/>
                <w:color w:val="auto"/>
                <w:w w:val="99"/>
              </w:rPr>
              <w:t>2015</w:t>
            </w:r>
          </w:p>
        </w:tc>
        <w:tc>
          <w:tcPr>
            <w:tcW w:w="100" w:type="dxa"/>
            <w:vAlign w:val="bottom"/>
          </w:tcPr>
          <w:p>
            <w:pPr>
              <w:spacing w:after="0"/>
              <w:rPr>
                <w:sz w:val="19"/>
                <w:szCs w:val="19"/>
                <w:color w:val="auto"/>
              </w:rPr>
            </w:pPr>
          </w:p>
        </w:tc>
      </w:tr>
      <w:tr>
        <w:trPr>
          <w:trHeight w:val="223"/>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Equity in net earnings of affiliated companies</w:t>
            </w:r>
          </w:p>
        </w:tc>
        <w:tc>
          <w:tcPr>
            <w:tcW w:w="860" w:type="dxa"/>
            <w:vAlign w:val="bottom"/>
            <w:tcBorders>
              <w:top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24</w:t>
            </w:r>
          </w:p>
        </w:tc>
        <w:tc>
          <w:tcPr>
            <w:tcW w:w="260" w:type="dxa"/>
            <w:vAlign w:val="bottom"/>
            <w:tcBorders>
              <w:top w:val="single" w:sz="8" w:color="CFF0FC"/>
            </w:tcBorders>
            <w:shd w:val="clear" w:color="auto" w:fill="CFF0FC"/>
          </w:tcPr>
          <w:p>
            <w:pPr>
              <w:spacing w:after="0"/>
              <w:rPr>
                <w:sz w:val="19"/>
                <w:szCs w:val="19"/>
                <w:color w:val="auto"/>
              </w:rPr>
            </w:pPr>
          </w:p>
        </w:tc>
        <w:tc>
          <w:tcPr>
            <w:tcW w:w="860" w:type="dxa"/>
            <w:vAlign w:val="bottom"/>
            <w:tcBorders>
              <w:top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Borders>
              <w:top w:val="single" w:sz="8" w:color="CFF0FC"/>
            </w:tcBorders>
            <w:shd w:val="clear" w:color="auto" w:fill="CFF0FC"/>
          </w:tcPr>
          <w:p>
            <w:pPr>
              <w:spacing w:after="0"/>
              <w:rPr>
                <w:sz w:val="19"/>
                <w:szCs w:val="19"/>
                <w:color w:val="auto"/>
              </w:rPr>
            </w:pPr>
          </w:p>
        </w:tc>
        <w:tc>
          <w:tcPr>
            <w:tcW w:w="360" w:type="dxa"/>
            <w:vAlign w:val="bottom"/>
            <w:tcBorders>
              <w:top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71</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Interest income</w:t>
            </w: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w:t>
            </w:r>
          </w:p>
        </w:tc>
        <w:tc>
          <w:tcPr>
            <w:tcW w:w="2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49</w:t>
            </w:r>
          </w:p>
        </w:tc>
        <w:tc>
          <w:tcPr>
            <w:tcW w:w="240" w:type="dxa"/>
            <w:vAlign w:val="bottom"/>
            <w:tcBorders>
              <w:bottom w:val="single" w:sz="8" w:color="CFF0FC"/>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FF0FC"/>
            </w:tcBorders>
          </w:tcPr>
          <w:p>
            <w:pPr>
              <w:spacing w:after="0"/>
              <w:rPr>
                <w:sz w:val="19"/>
                <w:szCs w:val="19"/>
                <w:color w:val="auto"/>
              </w:rPr>
            </w:pPr>
          </w:p>
        </w:tc>
      </w:tr>
      <w:tr>
        <w:trPr>
          <w:trHeight w:val="223"/>
        </w:trPr>
        <w:tc>
          <w:tcPr>
            <w:tcW w:w="588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b w:val="1"/>
                <w:bCs w:val="1"/>
                <w:color w:val="auto"/>
                <w:w w:val="79"/>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54</w:t>
            </w:r>
          </w:p>
        </w:tc>
        <w:tc>
          <w:tcPr>
            <w:tcW w:w="2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707"/>
              <w:spacing w:after="0"/>
              <w:rPr>
                <w:sz w:val="20"/>
                <w:szCs w:val="20"/>
                <w:color w:val="auto"/>
              </w:rPr>
            </w:pPr>
            <w:r>
              <w:rPr>
                <w:rFonts w:ascii="Arial" w:cs="Arial" w:eastAsia="Arial" w:hAnsi="Arial"/>
                <w:sz w:val="15"/>
                <w:szCs w:val="15"/>
                <w:color w:val="auto"/>
                <w:w w:val="71"/>
              </w:rPr>
              <w:t>$</w:t>
            </w: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4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98</w:t>
            </w:r>
          </w:p>
        </w:tc>
        <w:tc>
          <w:tcPr>
            <w:tcW w:w="240" w:type="dxa"/>
            <w:vAlign w:val="bottom"/>
            <w:tcBorders>
              <w:bottom w:val="single" w:sz="8" w:color="CFF0FC"/>
            </w:tcBorders>
            <w:shd w:val="clear" w:color="auto" w:fill="CFF0FC"/>
          </w:tcPr>
          <w:p>
            <w:pPr>
              <w:spacing w:after="0"/>
              <w:rPr>
                <w:sz w:val="19"/>
                <w:szCs w:val="19"/>
                <w:color w:val="auto"/>
              </w:rPr>
            </w:pPr>
          </w:p>
        </w:tc>
        <w:tc>
          <w:tcPr>
            <w:tcW w:w="360" w:type="dxa"/>
            <w:vAlign w:val="bottom"/>
            <w:tcBorders>
              <w:bottom w:val="single" w:sz="8" w:color="auto"/>
            </w:tcBorders>
            <w:shd w:val="clear" w:color="auto" w:fill="CFF0FC"/>
          </w:tcPr>
          <w:p>
            <w:pPr>
              <w:jc w:val="right"/>
              <w:ind w:right="176"/>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Other</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Research &amp; engineering </w:t>
      </w:r>
      <w:r>
        <w:rPr>
          <w:rFonts w:ascii="Arial" w:cs="Arial" w:eastAsia="Arial" w:hAnsi="Arial"/>
          <w:sz w:val="16"/>
          <w:szCs w:val="16"/>
          <w:color w:val="auto"/>
        </w:rPr>
        <w:t>and</w:t>
      </w:r>
      <w:r>
        <w:rPr>
          <w:rFonts w:ascii="Arial" w:cs="Arial" w:eastAsia="Arial" w:hAnsi="Arial"/>
          <w:sz w:val="16"/>
          <w:szCs w:val="16"/>
          <w:i w:val="1"/>
          <w:iCs w:val="1"/>
          <w:color w:val="auto"/>
        </w:rPr>
        <w:t xml:space="preserve"> General &amp; administrative </w:t>
      </w:r>
      <w:r>
        <w:rPr>
          <w:rFonts w:ascii="Arial" w:cs="Arial" w:eastAsia="Arial" w:hAnsi="Arial"/>
          <w:sz w:val="16"/>
          <w:szCs w:val="16"/>
          <w:color w:val="auto"/>
        </w:rPr>
        <w:t>expenses, as a percentage of</w:t>
      </w:r>
      <w:r>
        <w:rPr>
          <w:rFonts w:ascii="Arial" w:cs="Arial" w:eastAsia="Arial" w:hAnsi="Arial"/>
          <w:sz w:val="16"/>
          <w:szCs w:val="16"/>
          <w:i w:val="1"/>
          <w:iCs w:val="1"/>
          <w:color w:val="auto"/>
        </w:rPr>
        <w:t xml:space="preserve"> Revenue</w:t>
      </w:r>
      <w:r>
        <w:rPr>
          <w:rFonts w:ascii="Arial" w:cs="Arial" w:eastAsia="Arial" w:hAnsi="Arial"/>
          <w:sz w:val="16"/>
          <w:szCs w:val="16"/>
          <w:color w:val="auto"/>
        </w:rPr>
        <w:t>, for the second quarter and six months ended June 30, 2016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2015 were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80" w:type="dxa"/>
            <w:vAlign w:val="bottom"/>
          </w:tcPr>
          <w:p>
            <w:pPr>
              <w:spacing w:after="0"/>
              <w:rPr>
                <w:sz w:val="20"/>
                <w:szCs w:val="20"/>
                <w:color w:val="auto"/>
              </w:rPr>
            </w:pPr>
          </w:p>
        </w:tc>
        <w:tc>
          <w:tcPr>
            <w:tcW w:w="230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Second Quarter</w:t>
            </w:r>
          </w:p>
        </w:tc>
        <w:tc>
          <w:tcPr>
            <w:tcW w:w="320" w:type="dxa"/>
            <w:vAlign w:val="bottom"/>
            <w:tcBorders>
              <w:bottom w:val="single" w:sz="8" w:color="auto"/>
            </w:tcBorders>
          </w:tcPr>
          <w:p>
            <w:pPr>
              <w:spacing w:after="0"/>
              <w:rPr>
                <w:sz w:val="20"/>
                <w:szCs w:val="20"/>
                <w:color w:val="auto"/>
              </w:rPr>
            </w:pPr>
          </w:p>
        </w:tc>
        <w:tc>
          <w:tcPr>
            <w:tcW w:w="320" w:type="dxa"/>
            <w:vAlign w:val="bottom"/>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w w:val="95"/>
              </w:rPr>
              <w:t>Six Months</w:t>
            </w:r>
          </w:p>
        </w:tc>
        <w:tc>
          <w:tcPr>
            <w:tcW w:w="82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r>
      <w:tr>
        <w:trPr>
          <w:trHeight w:val="223"/>
        </w:trPr>
        <w:tc>
          <w:tcPr>
            <w:tcW w:w="568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2015</w:t>
            </w: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CFF0FC"/>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40" w:type="dxa"/>
            <w:vAlign w:val="bottom"/>
            <w:tcBorders>
              <w:bottom w:val="single" w:sz="8" w:color="auto"/>
            </w:tcBorders>
          </w:tcPr>
          <w:p>
            <w:pPr>
              <w:spacing w:after="0"/>
              <w:rPr>
                <w:sz w:val="19"/>
                <w:szCs w:val="19"/>
                <w:color w:val="auto"/>
              </w:rPr>
            </w:pPr>
          </w:p>
        </w:tc>
        <w:tc>
          <w:tcPr>
            <w:tcW w:w="34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2015</w:t>
            </w:r>
          </w:p>
        </w:tc>
        <w:tc>
          <w:tcPr>
            <w:tcW w:w="180" w:type="dxa"/>
            <w:vAlign w:val="bottom"/>
            <w:tcBorders>
              <w:bottom w:val="single" w:sz="8" w:color="CFF0FC"/>
            </w:tcBorders>
          </w:tcPr>
          <w:p>
            <w:pPr>
              <w:spacing w:after="0"/>
              <w:rPr>
                <w:sz w:val="19"/>
                <w:szCs w:val="19"/>
                <w:color w:val="auto"/>
              </w:rPr>
            </w:pPr>
          </w:p>
        </w:tc>
      </w:tr>
      <w:tr>
        <w:trPr>
          <w:trHeight w:val="223"/>
        </w:trPr>
        <w:tc>
          <w:tcPr>
            <w:tcW w:w="5680" w:type="dxa"/>
            <w:vAlign w:val="bottom"/>
            <w:shd w:val="clear" w:color="auto" w:fill="CFF0FC"/>
          </w:tcPr>
          <w:p>
            <w:pPr>
              <w:spacing w:after="0"/>
              <w:rPr>
                <w:sz w:val="20"/>
                <w:szCs w:val="20"/>
                <w:color w:val="auto"/>
              </w:rPr>
            </w:pPr>
            <w:r>
              <w:rPr>
                <w:rFonts w:ascii="Arial" w:cs="Arial" w:eastAsia="Arial" w:hAnsi="Arial"/>
                <w:sz w:val="18"/>
                <w:szCs w:val="18"/>
                <w:color w:val="auto"/>
              </w:rPr>
              <w:t>Research &amp; engineering</w:t>
            </w:r>
          </w:p>
        </w:tc>
        <w:tc>
          <w:tcPr>
            <w:tcW w:w="820" w:type="dxa"/>
            <w:vAlign w:val="bottom"/>
            <w:shd w:val="clear" w:color="auto" w:fill="CFF0FC"/>
          </w:tcPr>
          <w:p>
            <w:pPr>
              <w:spacing w:after="0"/>
              <w:rPr>
                <w:sz w:val="19"/>
                <w:szCs w:val="19"/>
                <w:color w:val="auto"/>
              </w:rPr>
            </w:pPr>
          </w:p>
        </w:tc>
        <w:tc>
          <w:tcPr>
            <w:tcW w:w="6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w:t>
            </w:r>
          </w:p>
        </w:tc>
        <w:tc>
          <w:tcPr>
            <w:tcW w:w="820" w:type="dxa"/>
            <w:vAlign w:val="bottom"/>
            <w:shd w:val="clear" w:color="auto" w:fill="CFF0FC"/>
          </w:tcPr>
          <w:p>
            <w:pPr>
              <w:spacing w:after="0"/>
              <w:rPr>
                <w:sz w:val="19"/>
                <w:szCs w:val="19"/>
                <w:color w:val="auto"/>
              </w:rPr>
            </w:pPr>
          </w:p>
        </w:tc>
        <w:tc>
          <w:tcPr>
            <w:tcW w:w="6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3.1%</w:t>
            </w:r>
          </w:p>
        </w:tc>
        <w:tc>
          <w:tcPr>
            <w:tcW w:w="800" w:type="dxa"/>
            <w:vAlign w:val="bottom"/>
            <w:shd w:val="clear" w:color="auto" w:fill="CFF0FC"/>
          </w:tcPr>
          <w:p>
            <w:pPr>
              <w:spacing w:after="0"/>
              <w:rPr>
                <w:sz w:val="19"/>
                <w:szCs w:val="19"/>
                <w:color w:val="auto"/>
              </w:rPr>
            </w:pPr>
          </w:p>
        </w:tc>
        <w:tc>
          <w:tcPr>
            <w:tcW w:w="6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rPr>
              <w:t>3.6%</w:t>
            </w:r>
          </w:p>
        </w:tc>
        <w:tc>
          <w:tcPr>
            <w:tcW w:w="32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w:t>
            </w:r>
          </w:p>
        </w:tc>
      </w:tr>
      <w:tr>
        <w:trPr>
          <w:trHeight w:val="234"/>
        </w:trPr>
        <w:tc>
          <w:tcPr>
            <w:tcW w:w="6500" w:type="dxa"/>
            <w:vAlign w:val="bottom"/>
            <w:gridSpan w:val="2"/>
          </w:tcPr>
          <w:p>
            <w:pPr>
              <w:spacing w:after="0"/>
              <w:rPr>
                <w:sz w:val="20"/>
                <w:szCs w:val="20"/>
                <w:color w:val="auto"/>
              </w:rPr>
            </w:pPr>
            <w:r>
              <w:rPr>
                <w:rFonts w:ascii="Arial" w:cs="Arial" w:eastAsia="Arial" w:hAnsi="Arial"/>
                <w:sz w:val="18"/>
                <w:szCs w:val="18"/>
                <w:color w:val="auto"/>
              </w:rPr>
              <w:t>General &amp; administrative</w:t>
            </w:r>
          </w:p>
        </w:tc>
        <w:tc>
          <w:tcPr>
            <w:tcW w:w="6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1.4%</w:t>
            </w:r>
          </w:p>
        </w:tc>
        <w:tc>
          <w:tcPr>
            <w:tcW w:w="820" w:type="dxa"/>
            <w:vAlign w:val="bottom"/>
          </w:tcPr>
          <w:p>
            <w:pPr>
              <w:spacing w:after="0"/>
              <w:rPr>
                <w:sz w:val="20"/>
                <w:szCs w:val="20"/>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800" w:type="dxa"/>
            <w:vAlign w:val="bottom"/>
          </w:tcPr>
          <w:p>
            <w:pPr>
              <w:spacing w:after="0"/>
              <w:rPr>
                <w:sz w:val="20"/>
                <w:szCs w:val="20"/>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w:t>
            </w:r>
          </w:p>
        </w:tc>
        <w:tc>
          <w:tcPr>
            <w:tcW w:w="320" w:type="dxa"/>
            <w:vAlign w:val="bottom"/>
          </w:tcPr>
          <w:p>
            <w:pPr>
              <w:spacing w:after="0"/>
              <w:rPr>
                <w:sz w:val="20"/>
                <w:szCs w:val="20"/>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r>
    </w:tbl>
    <w:p>
      <w:pPr>
        <w:spacing w:after="0" w:line="237" w:lineRule="exact"/>
        <w:rPr>
          <w:sz w:val="20"/>
          <w:szCs w:val="20"/>
          <w:color w:val="auto"/>
        </w:rPr>
      </w:pPr>
    </w:p>
    <w:p>
      <w:pPr>
        <w:jc w:val="both"/>
        <w:spacing w:after="0" w:line="307" w:lineRule="auto"/>
        <w:rPr>
          <w:sz w:val="20"/>
          <w:szCs w:val="20"/>
          <w:color w:val="auto"/>
        </w:rPr>
      </w:pPr>
      <w:r>
        <w:rPr>
          <w:rFonts w:ascii="Arial" w:cs="Arial" w:eastAsia="Arial" w:hAnsi="Arial"/>
          <w:sz w:val="17"/>
          <w:szCs w:val="17"/>
          <w:color w:val="auto"/>
        </w:rPr>
        <w:t xml:space="preserve">Although </w:t>
      </w:r>
      <w:r>
        <w:rPr>
          <w:rFonts w:ascii="Arial" w:cs="Arial" w:eastAsia="Arial" w:hAnsi="Arial"/>
          <w:sz w:val="17"/>
          <w:szCs w:val="17"/>
          <w:i w:val="1"/>
          <w:iCs w:val="1"/>
          <w:color w:val="auto"/>
        </w:rPr>
        <w:t>Research &amp; engineering</w:t>
      </w:r>
      <w:r>
        <w:rPr>
          <w:rFonts w:ascii="Arial" w:cs="Arial" w:eastAsia="Arial" w:hAnsi="Arial"/>
          <w:sz w:val="17"/>
          <w:szCs w:val="17"/>
          <w:color w:val="auto"/>
        </w:rPr>
        <w:t xml:space="preserve"> and </w:t>
      </w:r>
      <w:r>
        <w:rPr>
          <w:rFonts w:ascii="Arial" w:cs="Arial" w:eastAsia="Arial" w:hAnsi="Arial"/>
          <w:sz w:val="17"/>
          <w:szCs w:val="17"/>
          <w:i w:val="1"/>
          <w:iCs w:val="1"/>
          <w:color w:val="auto"/>
        </w:rPr>
        <w:t>General &amp; administrative</w:t>
      </w:r>
      <w:r>
        <w:rPr>
          <w:rFonts w:ascii="Arial" w:cs="Arial" w:eastAsia="Arial" w:hAnsi="Arial"/>
          <w:sz w:val="17"/>
          <w:szCs w:val="17"/>
          <w:color w:val="auto"/>
        </w:rPr>
        <w:t xml:space="preserve"> costs have increased as a percentage of </w:t>
      </w:r>
      <w:r>
        <w:rPr>
          <w:rFonts w:ascii="Arial" w:cs="Arial" w:eastAsia="Arial" w:hAnsi="Arial"/>
          <w:sz w:val="17"/>
          <w:szCs w:val="17"/>
          <w:i w:val="1"/>
          <w:iCs w:val="1"/>
          <w:color w:val="auto"/>
        </w:rPr>
        <w:t>Revenue</w:t>
      </w:r>
      <w:r>
        <w:rPr>
          <w:rFonts w:ascii="Arial" w:cs="Arial" w:eastAsia="Arial" w:hAnsi="Arial"/>
          <w:sz w:val="17"/>
          <w:szCs w:val="17"/>
          <w:color w:val="auto"/>
        </w:rPr>
        <w:t>, they have decreased in absolute dollar terms as a result of cost control measures that Schlumberger has implemented, offset in part by the impact of the Cameron acquisition.</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Interest expense of $149 million for the second quarter of 2016 increased by $63 million compared to the same period of the prior year. Interest expense of $282 million for the six months ended June 30, 2016 increased by $114 million compared to the same period of the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jc w:val="both"/>
        <w:ind w:right="20"/>
        <w:spacing w:after="0" w:line="277" w:lineRule="auto"/>
        <w:rPr>
          <w:sz w:val="20"/>
          <w:szCs w:val="20"/>
          <w:color w:val="auto"/>
        </w:rPr>
      </w:pPr>
      <w:r>
        <w:rPr>
          <w:rFonts w:ascii="Arial" w:cs="Arial" w:eastAsia="Arial" w:hAnsi="Arial"/>
          <w:sz w:val="18"/>
          <w:szCs w:val="18"/>
          <w:color w:val="auto"/>
        </w:rPr>
        <w:t>prior year. These increases were primarily due to the issuance of $6.0 billion of Senior Notes during the fourth quarter of 2015 and the impact of debt assumed in the acquisition of Cameron.</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The effective tax rate for the second quarter of 2016 was 14.6% compared to 21.1% for the same period of the prior year. The charges described in Note 2 to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xml:space="preserve"> reduced the second quarter 2016 effective tax rate by 1.6 percentage points. The remaining decrease in the effective tax rate was primarily attributable to the geographic mix of earnings, as Schlumberger generated a smaller portion of its pretax income/loss in North America during the second quarter of 2016 as compared to the same period last year.</w:t>
      </w:r>
    </w:p>
    <w:p>
      <w:pPr>
        <w:spacing w:after="0" w:line="186" w:lineRule="exact"/>
        <w:rPr>
          <w:sz w:val="20"/>
          <w:szCs w:val="20"/>
          <w:color w:val="auto"/>
        </w:rPr>
      </w:pPr>
    </w:p>
    <w:p>
      <w:pPr>
        <w:jc w:val="both"/>
        <w:ind w:right="20"/>
        <w:spacing w:after="0" w:line="296" w:lineRule="auto"/>
        <w:rPr>
          <w:sz w:val="20"/>
          <w:szCs w:val="20"/>
          <w:color w:val="auto"/>
        </w:rPr>
      </w:pPr>
      <w:r>
        <w:rPr>
          <w:rFonts w:ascii="Arial" w:cs="Arial" w:eastAsia="Arial" w:hAnsi="Arial"/>
          <w:sz w:val="16"/>
          <w:szCs w:val="16"/>
          <w:color w:val="auto"/>
        </w:rPr>
        <w:t xml:space="preserve">The effective tax rate for the six months ended June 30, 2016 was 14.2% compared to 22.3% for the same period of the prior year. The charges described in Note 2 to the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xml:space="preserve"> reduced the effective tax rate for the six months ended June 30, 2016 by 1.8 percentage points and increased the effective tax for the six months ended June 30, 2015 by 1.3 percentage points. Excluding the impact of the charges, the effective tax rate for the first six months of 2016 was 16.0% and 21.0% for the same period in the prior year. This decrease was primarily attributable to the fact that Schlumberger generated a smaller portion of its pretax income/loss in North America during the six months ended June 30, 2016 as compared to the same period last year.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Charges and Credits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 xml:space="preserve">During the second quarter of 2016, Schlumberger recorded $2.573 billion of asset impairment and workforce reduction charges and $335 million of merger and integration-related charges associated with the acquisition of Cameron which are classified as </w:t>
      </w:r>
      <w:r>
        <w:rPr>
          <w:rFonts w:ascii="Arial" w:cs="Arial" w:eastAsia="Arial" w:hAnsi="Arial"/>
          <w:sz w:val="18"/>
          <w:szCs w:val="18"/>
          <w:i w:val="1"/>
          <w:iCs w:val="1"/>
          <w:color w:val="auto"/>
        </w:rPr>
        <w:t>Impairments &amp; other</w:t>
      </w:r>
      <w:r>
        <w:rPr>
          <w:rFonts w:ascii="Arial" w:cs="Arial" w:eastAsia="Arial" w:hAnsi="Arial"/>
          <w:sz w:val="18"/>
          <w:szCs w:val="18"/>
          <w:color w:val="auto"/>
        </w:rPr>
        <w:t xml:space="preserve"> and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respectively, in the </w:t>
      </w:r>
      <w:r>
        <w:rPr>
          <w:rFonts w:ascii="Arial" w:cs="Arial" w:eastAsia="Arial" w:hAnsi="Arial"/>
          <w:sz w:val="18"/>
          <w:szCs w:val="18"/>
          <w:i w:val="1"/>
          <w:iCs w:val="1"/>
          <w:color w:val="auto"/>
        </w:rPr>
        <w:t>Consolidated Statement of Income</w:t>
      </w:r>
      <w:r>
        <w:rPr>
          <w:rFonts w:ascii="Arial" w:cs="Arial" w:eastAsia="Arial" w:hAnsi="Arial"/>
          <w:sz w:val="18"/>
          <w:szCs w:val="18"/>
          <w:color w:val="auto"/>
        </w:rPr>
        <w:t xml:space="preserve">. These charges, which are summarized below, are more fully described in Note 2 to the </w:t>
      </w:r>
      <w:r>
        <w:rPr>
          <w:rFonts w:ascii="Arial" w:cs="Arial" w:eastAsia="Arial" w:hAnsi="Arial"/>
          <w:sz w:val="18"/>
          <w:szCs w:val="18"/>
          <w:i w:val="1"/>
          <w:iCs w:val="1"/>
          <w:color w:val="auto"/>
        </w:rPr>
        <w:t>Consolidated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Pretax</w:t>
            </w: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jc w:val="right"/>
              <w:ind w:right="61"/>
              <w:spacing w:after="0"/>
              <w:rPr>
                <w:sz w:val="20"/>
                <w:szCs w:val="20"/>
                <w:color w:val="auto"/>
              </w:rPr>
            </w:pPr>
            <w:r>
              <w:rPr>
                <w:rFonts w:ascii="Arial" w:cs="Arial" w:eastAsia="Arial" w:hAnsi="Arial"/>
                <w:sz w:val="18"/>
                <w:szCs w:val="18"/>
                <w:color w:val="auto"/>
              </w:rPr>
              <w:t>Tax</w:t>
            </w: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r>
      <w:tr>
        <w:trPr>
          <w:trHeight w:val="223"/>
        </w:trPr>
        <w:tc>
          <w:tcPr>
            <w:tcW w:w="6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920" w:type="dxa"/>
            <w:vAlign w:val="bottom"/>
            <w:tcBorders>
              <w:top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646</w:t>
            </w:r>
          </w:p>
        </w:tc>
        <w:tc>
          <w:tcPr>
            <w:tcW w:w="260" w:type="dxa"/>
            <w:vAlign w:val="bottom"/>
            <w:tcBorders>
              <w:top w:val="single" w:sz="8" w:color="CFF0FC"/>
            </w:tcBorders>
            <w:shd w:val="clear" w:color="auto" w:fill="CFF0FC"/>
          </w:tcPr>
          <w:p>
            <w:pPr>
              <w:spacing w:after="0"/>
              <w:rPr>
                <w:sz w:val="19"/>
                <w:szCs w:val="19"/>
                <w:color w:val="auto"/>
              </w:rPr>
            </w:pPr>
          </w:p>
        </w:tc>
        <w:tc>
          <w:tcPr>
            <w:tcW w:w="940" w:type="dxa"/>
            <w:vAlign w:val="bottom"/>
            <w:tcBorders>
              <w:top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583</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North America pressure pumping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209</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Facilities impairments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Other fixed asset impairments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684</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632</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Inventory write-downs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616</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567</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Multiclient seismic data impairment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198</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Other restructuring charges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Amortization of inventory fair value adjustment</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150</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45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Merger-related employee benefits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Professional fees</w:t>
            </w:r>
          </w:p>
        </w:tc>
        <w:tc>
          <w:tcPr>
            <w:tcW w:w="92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Facility closure costs</w:t>
            </w:r>
          </w:p>
        </w:tc>
        <w:tc>
          <w:tcPr>
            <w:tcW w:w="92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260" w:type="dxa"/>
            <w:vAlign w:val="bottom"/>
            <w:shd w:val="clear" w:color="auto" w:fill="CFF0FC"/>
          </w:tcPr>
          <w:p>
            <w:pPr>
              <w:spacing w:after="0"/>
              <w:rPr>
                <w:sz w:val="19"/>
                <w:szCs w:val="19"/>
                <w:color w:val="auto"/>
              </w:rPr>
            </w:pPr>
          </w:p>
        </w:tc>
        <w:tc>
          <w:tcPr>
            <w:tcW w:w="94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merger and integration-related</w:t>
            </w:r>
          </w:p>
        </w:tc>
        <w:tc>
          <w:tcPr>
            <w:tcW w:w="9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w:t>
            </w:r>
          </w:p>
        </w:tc>
        <w:tc>
          <w:tcPr>
            <w:tcW w:w="260" w:type="dxa"/>
            <w:vAlign w:val="bottom"/>
            <w:tcBorders>
              <w:bottom w:val="single" w:sz="8" w:color="CFF0FC"/>
            </w:tcBorders>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tcPr>
          <w:p>
            <w:pPr>
              <w:spacing w:after="0"/>
              <w:rPr>
                <w:sz w:val="19"/>
                <w:szCs w:val="19"/>
                <w:color w:val="auto"/>
              </w:rPr>
            </w:pPr>
          </w:p>
        </w:tc>
      </w:tr>
      <w:tr>
        <w:trPr>
          <w:trHeight w:val="223"/>
        </w:trPr>
        <w:tc>
          <w:tcPr>
            <w:tcW w:w="6720" w:type="dxa"/>
            <w:vAlign w:val="bottom"/>
            <w:tcBorders>
              <w:bottom w:val="single" w:sz="8" w:color="CFF0FC"/>
            </w:tcBorders>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jc w:val="right"/>
              <w:ind w:right="73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2,908</w:t>
            </w:r>
          </w:p>
        </w:tc>
        <w:tc>
          <w:tcPr>
            <w:tcW w:w="260" w:type="dxa"/>
            <w:vAlign w:val="bottom"/>
            <w:tcBorders>
              <w:bottom w:val="single" w:sz="8" w:color="CFF0FC"/>
            </w:tcBorders>
            <w:shd w:val="clear" w:color="auto" w:fill="CFF0FC"/>
          </w:tcPr>
          <w:p>
            <w:pPr>
              <w:spacing w:after="0"/>
              <w:rPr>
                <w:sz w:val="19"/>
                <w:szCs w:val="19"/>
                <w:color w:val="auto"/>
              </w:rPr>
            </w:pPr>
          </w:p>
        </w:tc>
        <w:tc>
          <w:tcPr>
            <w:tcW w:w="940" w:type="dxa"/>
            <w:vAlign w:val="bottom"/>
            <w:tcBorders>
              <w:bottom w:val="single" w:sz="8" w:color="auto"/>
            </w:tcBorders>
            <w:shd w:val="clear" w:color="auto" w:fill="CFF0FC"/>
          </w:tcPr>
          <w:p>
            <w:pPr>
              <w:jc w:val="right"/>
              <w:ind w:right="781"/>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2,476</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right="40"/>
        <w:spacing w:after="0" w:line="307" w:lineRule="auto"/>
        <w:rPr>
          <w:sz w:val="20"/>
          <w:szCs w:val="20"/>
          <w:color w:val="auto"/>
        </w:rPr>
      </w:pPr>
      <w:r>
        <w:rPr>
          <w:rFonts w:ascii="Arial" w:cs="Arial" w:eastAsia="Arial" w:hAnsi="Arial"/>
          <w:sz w:val="17"/>
          <w:szCs w:val="17"/>
          <w:color w:val="auto"/>
        </w:rPr>
        <w:t xml:space="preserve">Schlumberger recorded charges during the first quarter of 2015, all of which were classified as </w:t>
      </w:r>
      <w:r>
        <w:rPr>
          <w:rFonts w:ascii="Arial" w:cs="Arial" w:eastAsia="Arial" w:hAnsi="Arial"/>
          <w:sz w:val="17"/>
          <w:szCs w:val="17"/>
          <w:i w:val="1"/>
          <w:iCs w:val="1"/>
          <w:color w:val="auto"/>
        </w:rPr>
        <w:t>Impairments &amp; other</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Consolidated Statement of</w:t>
      </w:r>
      <w:r>
        <w:rPr>
          <w:rFonts w:ascii="Arial" w:cs="Arial" w:eastAsia="Arial" w:hAnsi="Arial"/>
          <w:sz w:val="17"/>
          <w:szCs w:val="17"/>
          <w:color w:val="auto"/>
        </w:rPr>
        <w:t xml:space="preserve"> </w:t>
      </w:r>
      <w:r>
        <w:rPr>
          <w:rFonts w:ascii="Arial" w:cs="Arial" w:eastAsia="Arial" w:hAnsi="Arial"/>
          <w:sz w:val="17"/>
          <w:szCs w:val="17"/>
          <w:i w:val="1"/>
          <w:iCs w:val="1"/>
          <w:color w:val="auto"/>
        </w:rPr>
        <w:t>Income</w:t>
      </w:r>
      <w:r>
        <w:rPr>
          <w:rFonts w:ascii="Arial" w:cs="Arial" w:eastAsia="Arial" w:hAnsi="Arial"/>
          <w:sz w:val="17"/>
          <w:szCs w:val="17"/>
          <w:color w:val="auto"/>
        </w:rPr>
        <w:t>. These charges, which are summarized below, are more fully described in Note 2 to the</w:t>
      </w:r>
      <w:r>
        <w:rPr>
          <w:rFonts w:ascii="Arial" w:cs="Arial" w:eastAsia="Arial" w:hAnsi="Arial"/>
          <w:sz w:val="17"/>
          <w:szCs w:val="17"/>
          <w:i w:val="1"/>
          <w:iCs w:val="1"/>
          <w:color w:val="auto"/>
        </w:rPr>
        <w:t xml:space="preserve"> Consolidated Financial Statements</w:t>
      </w:r>
      <w:r>
        <w:rPr>
          <w:rFonts w:ascii="Arial" w:cs="Arial" w:eastAsia="Arial" w:hAnsi="Arial"/>
          <w:sz w:val="17"/>
          <w:szCs w:val="17"/>
          <w:color w:val="auto"/>
        </w:rPr>
        <w:t>.</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24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80"/>
              <w:spacing w:after="0"/>
              <w:rPr>
                <w:sz w:val="20"/>
                <w:szCs w:val="20"/>
                <w:color w:val="auto"/>
              </w:rPr>
            </w:pPr>
            <w:r>
              <w:rPr>
                <w:rFonts w:ascii="Arial" w:cs="Arial" w:eastAsia="Arial" w:hAnsi="Arial"/>
                <w:sz w:val="14"/>
                <w:szCs w:val="14"/>
                <w:i w:val="1"/>
                <w:iCs w:val="1"/>
                <w:color w:val="auto"/>
              </w:rPr>
              <w:t>(Stated in millions)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4"/>
        </w:trPr>
        <w:tc>
          <w:tcPr>
            <w:tcW w:w="424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Pretax</w:t>
            </w: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jc w:val="right"/>
              <w:ind w:right="101"/>
              <w:spacing w:after="0"/>
              <w:rPr>
                <w:sz w:val="20"/>
                <w:szCs w:val="20"/>
                <w:color w:val="auto"/>
              </w:rPr>
            </w:pPr>
            <w:r>
              <w:rPr>
                <w:rFonts w:ascii="Arial" w:cs="Arial" w:eastAsia="Arial" w:hAnsi="Arial"/>
                <w:sz w:val="18"/>
                <w:szCs w:val="18"/>
                <w:color w:val="auto"/>
              </w:rPr>
              <w:t>Tax</w:t>
            </w: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gridSpan w:val="2"/>
          </w:tcPr>
          <w:p>
            <w:pPr>
              <w:ind w:left="380"/>
              <w:spacing w:after="0"/>
              <w:rPr>
                <w:sz w:val="20"/>
                <w:szCs w:val="20"/>
                <w:color w:val="auto"/>
              </w:rPr>
            </w:pPr>
            <w:r>
              <w:rPr>
                <w:rFonts w:ascii="Arial" w:cs="Arial" w:eastAsia="Arial" w:hAnsi="Arial"/>
                <w:sz w:val="18"/>
                <w:szCs w:val="18"/>
                <w:color w:val="auto"/>
              </w:rPr>
              <w:t>Net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24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Workforce reduction</w:t>
            </w:r>
          </w:p>
        </w:tc>
        <w:tc>
          <w:tcPr>
            <w:tcW w:w="248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260" w:type="dxa"/>
            <w:vAlign w:val="bottom"/>
            <w:tcBorders>
              <w:top w:val="single" w:sz="8" w:color="CFF0FC"/>
            </w:tcBorders>
            <w:shd w:val="clear" w:color="auto" w:fill="CFF0FC"/>
          </w:tcPr>
          <w:p>
            <w:pPr>
              <w:spacing w:after="0"/>
              <w:rPr>
                <w:sz w:val="19"/>
                <w:szCs w:val="19"/>
                <w:color w:val="auto"/>
              </w:rPr>
            </w:pPr>
          </w:p>
        </w:tc>
        <w:tc>
          <w:tcPr>
            <w:tcW w:w="980" w:type="dxa"/>
            <w:vAlign w:val="bottom"/>
            <w:tcBorders>
              <w:top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top w:val="single" w:sz="8" w:color="CFF0FC"/>
            </w:tcBorders>
            <w:shd w:val="clear" w:color="auto" w:fill="CFF0FC"/>
          </w:tcPr>
          <w:p>
            <w:pPr>
              <w:spacing w:after="0"/>
              <w:rPr>
                <w:sz w:val="19"/>
                <w:szCs w:val="19"/>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334</w:t>
            </w:r>
          </w:p>
        </w:tc>
        <w:tc>
          <w:tcPr>
            <w:tcW w:w="100" w:type="dxa"/>
            <w:vAlign w:val="bottom"/>
            <w:tcBorders>
              <w:top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Currency devaluation loss in Venezuela</w:t>
            </w:r>
          </w:p>
        </w:tc>
        <w:tc>
          <w:tcPr>
            <w:tcW w:w="248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26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FF0FC"/>
            </w:tcBorders>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240" w:type="dxa"/>
            <w:vAlign w:val="bottom"/>
            <w:tcBorders>
              <w:bottom w:val="single" w:sz="8" w:color="CFF0FC"/>
            </w:tcBorders>
            <w:shd w:val="clear" w:color="auto" w:fill="CFF0FC"/>
          </w:tcPr>
          <w:p>
            <w:pPr>
              <w:spacing w:after="0"/>
              <w:rPr>
                <w:sz w:val="19"/>
                <w:szCs w:val="19"/>
                <w:color w:val="auto"/>
              </w:rPr>
            </w:pPr>
          </w:p>
        </w:tc>
        <w:tc>
          <w:tcPr>
            <w:tcW w:w="248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79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439</w:t>
            </w:r>
          </w:p>
        </w:tc>
        <w:tc>
          <w:tcPr>
            <w:tcW w:w="260" w:type="dxa"/>
            <w:vAlign w:val="bottom"/>
            <w:tcBorders>
              <w:bottom w:val="single" w:sz="8" w:color="CFF0FC"/>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ind w:right="821"/>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FF0FC"/>
            </w:tcBorders>
            <w:shd w:val="clear" w:color="auto" w:fill="CFF0FC"/>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480" w:type="dxa"/>
            <w:vAlign w:val="bottom"/>
            <w:vMerge w:val="restart"/>
          </w:tcPr>
          <w:p>
            <w:pPr>
              <w:jc w:val="right"/>
              <w:ind w:right="830"/>
              <w:spacing w:after="0"/>
              <w:rPr>
                <w:sz w:val="20"/>
                <w:szCs w:val="20"/>
                <w:color w:val="auto"/>
              </w:rPr>
            </w:pPr>
            <w:r>
              <w:rPr>
                <w:rFonts w:ascii="Arial" w:cs="Arial" w:eastAsia="Arial" w:hAnsi="Arial"/>
                <w:sz w:val="18"/>
                <w:szCs w:val="18"/>
                <w:color w:val="auto"/>
              </w:rPr>
              <w:t>25</w:t>
            </w: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424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240" w:type="dxa"/>
            <w:vAlign w:val="bottom"/>
            <w:tcBorders>
              <w:bottom w:val="single" w:sz="8" w:color="9A9A9A"/>
            </w:tcBorders>
          </w:tcPr>
          <w:p>
            <w:pPr>
              <w:spacing w:after="0"/>
              <w:rPr>
                <w:sz w:val="9"/>
                <w:szCs w:val="9"/>
                <w:color w:val="auto"/>
              </w:rPr>
            </w:pPr>
          </w:p>
        </w:tc>
        <w:tc>
          <w:tcPr>
            <w:tcW w:w="248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12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7247890</wp:posOffset>
            </wp:positionH>
            <wp:positionV relativeFrom="paragraph">
              <wp:posOffset>-29210</wp:posOffset>
            </wp:positionV>
            <wp:extent cx="336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41" w:right="21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u w:val="single" w:color="auto"/>
          <w:color w:val="auto"/>
        </w:rPr>
        <w:t>Net Debt</w:t>
      </w:r>
    </w:p>
    <w:p>
      <w:pPr>
        <w:spacing w:after="0" w:line="11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Debt represents gross debt less cash, short-term investments and fixed income investments, held to maturity. Management believes that Net Debt provides useful information regarding the level of Schlumberger indebtedness by reflecting cash and investments that could be used to repay debt. Net Debt is a non-GAAP financial measure that should be considered in addition to, not as a substitute for, or superior to, total debt.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Details of changes in Net Debt follow: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2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44"/>
        </w:trPr>
        <w:tc>
          <w:tcPr>
            <w:tcW w:w="67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Six Months ended Jun. 30,</w:t>
            </w:r>
          </w:p>
        </w:tc>
      </w:tr>
      <w:tr>
        <w:trPr>
          <w:trHeight w:val="223"/>
        </w:trPr>
        <w:tc>
          <w:tcPr>
            <w:tcW w:w="67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2016</w:t>
            </w:r>
          </w:p>
        </w:tc>
        <w:tc>
          <w:tcPr>
            <w:tcW w:w="280" w:type="dxa"/>
            <w:vAlign w:val="bottom"/>
            <w:tcBorders>
              <w:top w:val="single" w:sz="8" w:color="auto"/>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551"/>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(1,623)</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Impairment and other charges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2,908</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439</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Depreciation and amortization </w:t>
            </w:r>
            <w:r>
              <w:rPr>
                <w:rFonts w:ascii="Arial" w:cs="Arial" w:eastAsia="Arial" w:hAnsi="Arial"/>
                <w:sz w:val="15"/>
                <w:szCs w:val="15"/>
                <w:color w:val="auto"/>
              </w:rPr>
              <w:t>(1)</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2,080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2,089</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Stock-based compensation expense</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145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benefits expense</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Pension and other postretirement benefits funding</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(83)</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(214)</w:t>
            </w: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Earnings of equity method investments, less dividends received</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(30)</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Increase in working capital</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(250)</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(837)</w:t>
            </w: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(397)</w:t>
            </w: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shd w:val="clear" w:color="auto" w:fill="CFF0FC"/>
          </w:tcPr>
          <w:p>
            <w:pPr>
              <w:spacing w:after="0"/>
              <w:rPr>
                <w:sz w:val="19"/>
                <w:szCs w:val="19"/>
                <w:color w:val="auto"/>
              </w:rPr>
            </w:pP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Cash flow from operations</w:t>
            </w:r>
          </w:p>
        </w:tc>
        <w:tc>
          <w:tcPr>
            <w:tcW w:w="1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2,842</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4,084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Capital expenditures</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(998)</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(1,193)</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SPM investments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5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(729)</w:t>
            </w: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(222)</w:t>
            </w: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Multiclient seismic data costs capitalized</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(333)</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(221)</w:t>
            </w:r>
          </w:p>
        </w:tc>
      </w:tr>
      <w:tr>
        <w:trPr>
          <w:trHeight w:val="223"/>
        </w:trPr>
        <w:tc>
          <w:tcPr>
            <w:tcW w:w="674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15"/>
                <w:szCs w:val="15"/>
                <w:b w:val="1"/>
                <w:bCs w:val="1"/>
                <w:color w:val="auto"/>
              </w:rPr>
              <w:t>(2)</w:t>
            </w:r>
          </w:p>
        </w:tc>
        <w:tc>
          <w:tcPr>
            <w:tcW w:w="1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782</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2,448</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Dividends paid</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(1,255)</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(1,151)</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Proceeds from employee stock plans</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195</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256</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Stock repurchase program</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(506)</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(1,239)</w:t>
            </w:r>
          </w:p>
        </w:tc>
      </w:tr>
      <w:tr>
        <w:trPr>
          <w:trHeight w:val="223"/>
        </w:trPr>
        <w:tc>
          <w:tcPr>
            <w:tcW w:w="6740" w:type="dxa"/>
            <w:vAlign w:val="bottom"/>
            <w:tcBorders>
              <w:bottom w:val="single" w:sz="8" w:color="CFF0FC"/>
            </w:tcBorders>
          </w:tcPr>
          <w:p>
            <w:pPr>
              <w:spacing w:after="0"/>
              <w:rPr>
                <w:sz w:val="19"/>
                <w:szCs w:val="19"/>
                <w:color w:val="auto"/>
              </w:rPr>
            </w:pPr>
          </w:p>
        </w:tc>
        <w:tc>
          <w:tcPr>
            <w:tcW w:w="1100" w:type="dxa"/>
            <w:vAlign w:val="bottom"/>
            <w:tcBorders>
              <w:bottom w:val="single" w:sz="8" w:color="CFF0FC"/>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(784)</w:t>
            </w:r>
          </w:p>
        </w:tc>
        <w:tc>
          <w:tcPr>
            <w:tcW w:w="280" w:type="dxa"/>
            <w:vAlign w:val="bottom"/>
            <w:tcBorders>
              <w:bottom w:val="single" w:sz="8" w:color="CFF0FC"/>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w:t>
            </w:r>
          </w:p>
        </w:tc>
        <w:tc>
          <w:tcPr>
            <w:tcW w:w="100" w:type="dxa"/>
            <w:vAlign w:val="bottom"/>
            <w:tcBorders>
              <w:bottom w:val="single" w:sz="8" w:color="CFF0FC"/>
            </w:tcBorders>
          </w:tcPr>
          <w:p>
            <w:pPr>
              <w:spacing w:after="0"/>
              <w:rPr>
                <w:sz w:val="19"/>
                <w:szCs w:val="19"/>
                <w:color w:val="auto"/>
              </w:rPr>
            </w:pPr>
          </w:p>
        </w:tc>
      </w:tr>
      <w:tr>
        <w:trPr>
          <w:trHeight w:val="223"/>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(3,790)</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w:t>
            </w:r>
          </w:p>
        </w:tc>
        <w:tc>
          <w:tcPr>
            <w:tcW w:w="100" w:type="dxa"/>
            <w:vAlign w:val="bottom"/>
            <w:shd w:val="clear" w:color="auto" w:fill="CFF0FC"/>
          </w:tcPr>
          <w:p>
            <w:pPr>
              <w:spacing w:after="0"/>
              <w:rPr>
                <w:sz w:val="19"/>
                <w:szCs w:val="19"/>
                <w:color w:val="auto"/>
              </w:rPr>
            </w:pPr>
          </w:p>
        </w:tc>
      </w:tr>
      <w:tr>
        <w:trPr>
          <w:trHeight w:val="229"/>
        </w:trPr>
        <w:tc>
          <w:tcPr>
            <w:tcW w:w="6740" w:type="dxa"/>
            <w:vAlign w:val="bottom"/>
          </w:tcPr>
          <w:p>
            <w:pPr>
              <w:spacing w:after="0"/>
              <w:rPr>
                <w:sz w:val="20"/>
                <w:szCs w:val="20"/>
                <w:color w:val="auto"/>
              </w:rPr>
            </w:pPr>
            <w:r>
              <w:rPr>
                <w:rFonts w:ascii="Arial" w:cs="Arial" w:eastAsia="Arial" w:hAnsi="Arial"/>
                <w:sz w:val="18"/>
                <w:szCs w:val="18"/>
                <w:color w:val="auto"/>
              </w:rPr>
              <w:t>Discontinued operations - settlement with U.S. Department of Justice</w:t>
            </w:r>
          </w:p>
        </w:tc>
        <w:tc>
          <w:tcPr>
            <w:tcW w:w="1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2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color w:val="auto"/>
              </w:rPr>
              <w:t>(233)</w:t>
            </w: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76</w:t>
            </w:r>
          </w:p>
        </w:tc>
        <w:tc>
          <w:tcPr>
            <w:tcW w:w="2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(86)</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Increase in Net Debt</w:t>
            </w:r>
          </w:p>
        </w:tc>
        <w:tc>
          <w:tcPr>
            <w:tcW w:w="1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(4,498)</w:t>
            </w:r>
          </w:p>
        </w:tc>
        <w:tc>
          <w:tcPr>
            <w:tcW w:w="2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19"/>
                <w:szCs w:val="19"/>
                <w:color w:val="auto"/>
              </w:rPr>
            </w:pPr>
          </w:p>
        </w:tc>
      </w:tr>
      <w:tr>
        <w:trPr>
          <w:trHeight w:val="229"/>
        </w:trPr>
        <w:tc>
          <w:tcPr>
            <w:tcW w:w="6740" w:type="dxa"/>
            <w:vAlign w:val="bottom"/>
            <w:shd w:val="clear" w:color="auto" w:fill="CFF0FC"/>
          </w:tcPr>
          <w:p>
            <w:pPr>
              <w:spacing w:after="0"/>
              <w:rPr>
                <w:sz w:val="20"/>
                <w:szCs w:val="20"/>
                <w:color w:val="auto"/>
              </w:rPr>
            </w:pPr>
            <w:r>
              <w:rPr>
                <w:rFonts w:ascii="Arial" w:cs="Arial" w:eastAsia="Arial" w:hAnsi="Arial"/>
                <w:sz w:val="18"/>
                <w:szCs w:val="18"/>
                <w:color w:val="auto"/>
              </w:rPr>
              <w:t>Net Debt, Beginning of period</w:t>
            </w:r>
          </w:p>
        </w:tc>
        <w:tc>
          <w:tcPr>
            <w:tcW w:w="11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(5,547)</w:t>
            </w:r>
          </w:p>
        </w:tc>
        <w:tc>
          <w:tcPr>
            <w:tcW w:w="300" w:type="dxa"/>
            <w:vAlign w:val="bottom"/>
            <w:shd w:val="clear" w:color="auto" w:fill="CFF0FC"/>
          </w:tcPr>
          <w:p>
            <w:pPr>
              <w:spacing w:after="0"/>
              <w:rPr>
                <w:sz w:val="19"/>
                <w:szCs w:val="19"/>
                <w:color w:val="auto"/>
              </w:rPr>
            </w:pPr>
          </w:p>
        </w:tc>
        <w:tc>
          <w:tcPr>
            <w:tcW w:w="14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(5,387)</w:t>
            </w:r>
          </w:p>
        </w:tc>
      </w:tr>
      <w:tr>
        <w:trPr>
          <w:trHeight w:val="223"/>
        </w:trPr>
        <w:tc>
          <w:tcPr>
            <w:tcW w:w="6740" w:type="dxa"/>
            <w:vAlign w:val="bottom"/>
          </w:tcPr>
          <w:p>
            <w:pPr>
              <w:spacing w:after="0"/>
              <w:rPr>
                <w:sz w:val="20"/>
                <w:szCs w:val="20"/>
                <w:color w:val="auto"/>
              </w:rPr>
            </w:pPr>
            <w:r>
              <w:rPr>
                <w:rFonts w:ascii="Arial" w:cs="Arial" w:eastAsia="Arial" w:hAnsi="Arial"/>
                <w:sz w:val="18"/>
                <w:szCs w:val="18"/>
                <w:color w:val="auto"/>
              </w:rPr>
              <w:t>Net Debt, End of period</w:t>
            </w:r>
          </w:p>
        </w:tc>
        <w:tc>
          <w:tcPr>
            <w:tcW w:w="1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87"/>
              <w:spacing w:after="0"/>
              <w:rPr>
                <w:sz w:val="20"/>
                <w:szCs w:val="20"/>
                <w:color w:val="auto"/>
              </w:rPr>
            </w:pPr>
            <w:r>
              <w:rPr>
                <w:rFonts w:ascii="Arial" w:cs="Arial" w:eastAsia="Arial" w:hAnsi="Arial"/>
                <w:sz w:val="15"/>
                <w:szCs w:val="15"/>
                <w:b w:val="1"/>
                <w:bCs w:val="1"/>
                <w:color w:val="auto"/>
                <w:w w:val="71"/>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(10,045)</w:t>
            </w:r>
          </w:p>
        </w:tc>
        <w:tc>
          <w:tcPr>
            <w:tcW w:w="28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(5,598)</w:t>
            </w:r>
          </w:p>
        </w:tc>
        <w:tc>
          <w:tcPr>
            <w:tcW w:w="100" w:type="dxa"/>
            <w:vAlign w:val="bottom"/>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20" w:hanging="512"/>
        <w:spacing w:after="0"/>
        <w:tabs>
          <w:tab w:leader="none" w:pos="520" w:val="left"/>
        </w:tabs>
        <w:numPr>
          <w:ilvl w:val="0"/>
          <w:numId w:val="27"/>
        </w:numPr>
        <w:rPr>
          <w:rFonts w:ascii="Arial" w:cs="Arial" w:eastAsia="Arial" w:hAnsi="Arial"/>
          <w:sz w:val="13"/>
          <w:szCs w:val="13"/>
          <w:color w:val="auto"/>
        </w:rPr>
      </w:pPr>
      <w:r>
        <w:rPr>
          <w:rFonts w:ascii="Arial" w:cs="Arial" w:eastAsia="Arial" w:hAnsi="Arial"/>
          <w:sz w:val="16"/>
          <w:szCs w:val="16"/>
          <w:color w:val="auto"/>
        </w:rPr>
        <w:t>Includes depreciation of property, plant and equipment and amortization of intangible assets, multiclient seismic data costs and SPM investments.</w:t>
      </w:r>
    </w:p>
    <w:p>
      <w:pPr>
        <w:spacing w:after="0" w:line="139" w:lineRule="exact"/>
        <w:rPr>
          <w:rFonts w:ascii="Arial" w:cs="Arial" w:eastAsia="Arial" w:hAnsi="Arial"/>
          <w:sz w:val="13"/>
          <w:szCs w:val="13"/>
          <w:color w:val="auto"/>
        </w:rPr>
      </w:pPr>
    </w:p>
    <w:p>
      <w:pPr>
        <w:jc w:val="both"/>
        <w:ind w:left="580" w:hanging="543"/>
        <w:spacing w:after="0" w:line="255" w:lineRule="auto"/>
        <w:tabs>
          <w:tab w:leader="none" w:pos="611" w:val="left"/>
        </w:tabs>
        <w:numPr>
          <w:ilvl w:val="1"/>
          <w:numId w:val="27"/>
        </w:numPr>
        <w:rPr>
          <w:rFonts w:ascii="Arial" w:cs="Arial" w:eastAsia="Arial" w:hAnsi="Arial"/>
          <w:sz w:val="15"/>
          <w:szCs w:val="15"/>
          <w:color w:val="auto"/>
        </w:rPr>
      </w:pPr>
      <w:r>
        <w:rPr>
          <w:rFonts w:ascii="Arial" w:cs="Arial" w:eastAsia="Arial" w:hAnsi="Arial"/>
          <w:sz w:val="18"/>
          <w:szCs w:val="18"/>
          <w:color w:val="auto"/>
        </w:rPr>
        <w:t>“Free cash flow” represents cash flow from operations less capital expenditures, SPM investments and multiclient seismic data costs capitalized. Management believes that free cash flow is an important liquidity measure for the company and that it is useful to investors and management as a measure of the ability of our business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substitute for, or superior to, cash flow from operations.</w:t>
      </w: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6" w:name="page27"/>
    <w:bookmarkEnd w:id="26"/>
    <w:tbl>
      <w:tblPr>
        <w:tblLayout w:type="fixed"/>
        <w:tblInd w:w="0" w:type="dxa"/>
        <w:tblCellMar>
          <w:top w:w="0" w:type="dxa"/>
          <w:left w:w="0" w:type="dxa"/>
          <w:bottom w:w="0" w:type="dxa"/>
          <w:right w:w="0" w:type="dxa"/>
        </w:tblCellMar>
      </w:tblPr>
      <w:tr>
        <w:trPr>
          <w:trHeight w:val="182"/>
        </w:trPr>
        <w:tc>
          <w:tcPr>
            <w:tcW w:w="67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i w:val="1"/>
                <w:iCs w:val="1"/>
                <w:color w:val="auto"/>
              </w:rPr>
              <w:t>(Stated in millions)</w:t>
            </w:r>
          </w:p>
        </w:tc>
      </w:tr>
      <w:tr>
        <w:trPr>
          <w:trHeight w:val="439"/>
        </w:trPr>
        <w:tc>
          <w:tcPr>
            <w:tcW w:w="6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Jun. 30,</w:t>
            </w:r>
          </w:p>
        </w:tc>
        <w:tc>
          <w:tcPr>
            <w:tcW w:w="240" w:type="dxa"/>
            <w:vAlign w:val="bottom"/>
          </w:tcPr>
          <w:p>
            <w:pPr>
              <w:spacing w:after="0"/>
              <w:rPr>
                <w:sz w:val="24"/>
                <w:szCs w:val="24"/>
                <w:color w:val="auto"/>
              </w:rPr>
            </w:pP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Jun. 30,</w:t>
            </w:r>
          </w:p>
        </w:tc>
        <w:tc>
          <w:tcPr>
            <w:tcW w:w="180" w:type="dxa"/>
            <w:vAlign w:val="bottom"/>
          </w:tcPr>
          <w:p>
            <w:pPr>
              <w:spacing w:after="0"/>
              <w:rPr>
                <w:sz w:val="24"/>
                <w:szCs w:val="24"/>
                <w:color w:val="auto"/>
              </w:rPr>
            </w:pPr>
          </w:p>
        </w:tc>
        <w:tc>
          <w:tcPr>
            <w:tcW w:w="1300" w:type="dxa"/>
            <w:vAlign w:val="bottom"/>
            <w:gridSpan w:val="2"/>
          </w:tcPr>
          <w:p>
            <w:pPr>
              <w:jc w:val="right"/>
              <w:ind w:right="500"/>
              <w:spacing w:after="0"/>
              <w:rPr>
                <w:sz w:val="20"/>
                <w:szCs w:val="20"/>
                <w:color w:val="auto"/>
              </w:rPr>
            </w:pPr>
            <w:r>
              <w:rPr>
                <w:rFonts w:ascii="Arial" w:cs="Arial" w:eastAsia="Arial" w:hAnsi="Arial"/>
                <w:sz w:val="18"/>
                <w:szCs w:val="18"/>
                <w:color w:val="auto"/>
              </w:rPr>
              <w:t>Dec. 31,</w:t>
            </w:r>
          </w:p>
        </w:tc>
      </w:tr>
      <w:tr>
        <w:trPr>
          <w:trHeight w:val="234"/>
        </w:trPr>
        <w:tc>
          <w:tcPr>
            <w:tcW w:w="6720" w:type="dxa"/>
            <w:vAlign w:val="bottom"/>
            <w:tcBorders>
              <w:bottom w:val="single" w:sz="8" w:color="CFF0FC"/>
            </w:tcBorders>
          </w:tcPr>
          <w:p>
            <w:pPr>
              <w:spacing w:after="0"/>
              <w:rPr>
                <w:sz w:val="20"/>
                <w:szCs w:val="20"/>
                <w:color w:val="auto"/>
              </w:rPr>
            </w:pPr>
            <w:r>
              <w:rPr>
                <w:rFonts w:ascii="Arial" w:cs="Arial" w:eastAsia="Arial" w:hAnsi="Arial"/>
                <w:sz w:val="18"/>
                <w:szCs w:val="18"/>
                <w:b w:val="1"/>
                <w:bCs w:val="1"/>
                <w:color w:val="auto"/>
              </w:rPr>
              <w:t>Components of Net Debt</w:t>
            </w: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260" w:type="dxa"/>
            <w:vAlign w:val="bottom"/>
            <w:tcBorders>
              <w:bottom w:val="single" w:sz="8" w:color="CFF0F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2015</w:t>
            </w:r>
          </w:p>
        </w:tc>
        <w:tc>
          <w:tcPr>
            <w:tcW w:w="24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32"/>
              <w:spacing w:after="0"/>
              <w:rPr>
                <w:sz w:val="20"/>
                <w:szCs w:val="20"/>
                <w:color w:val="auto"/>
              </w:rPr>
            </w:pPr>
            <w:r>
              <w:rPr>
                <w:rFonts w:ascii="Arial" w:cs="Arial" w:eastAsia="Arial" w:hAnsi="Arial"/>
                <w:sz w:val="18"/>
                <w:szCs w:val="18"/>
                <w:color w:val="auto"/>
              </w:rPr>
              <w:t>2015</w:t>
            </w:r>
          </w:p>
        </w:tc>
        <w:tc>
          <w:tcPr>
            <w:tcW w:w="100" w:type="dxa"/>
            <w:vAlign w:val="bottom"/>
            <w:tcBorders>
              <w:bottom w:val="single" w:sz="8" w:color="CFF0FC"/>
            </w:tcBorders>
          </w:tcPr>
          <w:p>
            <w:pPr>
              <w:spacing w:after="0"/>
              <w:rPr>
                <w:sz w:val="20"/>
                <w:szCs w:val="20"/>
                <w:color w:val="auto"/>
              </w:rPr>
            </w:pPr>
          </w:p>
        </w:tc>
      </w:tr>
      <w:tr>
        <w:trPr>
          <w:trHeight w:val="223"/>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Cash</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2,947</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3,541</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2,793</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Short-term investments</w:t>
            </w: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8,245</w:t>
            </w: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3,733</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10,241</w:t>
            </w:r>
          </w:p>
        </w:tc>
        <w:tc>
          <w:tcPr>
            <w:tcW w:w="100" w:type="dxa"/>
            <w:vAlign w:val="bottom"/>
          </w:tcPr>
          <w:p>
            <w:pPr>
              <w:spacing w:after="0"/>
              <w:rPr>
                <w:sz w:val="19"/>
                <w:szCs w:val="19"/>
                <w:color w:val="auto"/>
              </w:rPr>
            </w:pP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Fixed income investments, held to maturity</w:t>
            </w: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386</w:t>
            </w:r>
          </w:p>
        </w:tc>
        <w:tc>
          <w:tcPr>
            <w:tcW w:w="2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469</w:t>
            </w: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418</w:t>
            </w:r>
          </w:p>
        </w:tc>
        <w:tc>
          <w:tcPr>
            <w:tcW w:w="100" w:type="dxa"/>
            <w:vAlign w:val="bottom"/>
            <w:shd w:val="clear" w:color="auto" w:fill="CFF0FC"/>
          </w:tcPr>
          <w:p>
            <w:pPr>
              <w:spacing w:after="0"/>
              <w:rPr>
                <w:sz w:val="19"/>
                <w:szCs w:val="19"/>
                <w:color w:val="auto"/>
              </w:rPr>
            </w:pP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Long-term debt – current portion</w:t>
            </w: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(2,385)</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(2,092)</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(3,011)</w:t>
            </w:r>
          </w:p>
        </w:tc>
      </w:tr>
      <w:tr>
        <w:trPr>
          <w:trHeight w:val="229"/>
        </w:trPr>
        <w:tc>
          <w:tcPr>
            <w:tcW w:w="6720" w:type="dxa"/>
            <w:vAlign w:val="bottom"/>
            <w:shd w:val="clear" w:color="auto" w:fill="CFF0FC"/>
          </w:tcPr>
          <w:p>
            <w:pPr>
              <w:spacing w:after="0"/>
              <w:rPr>
                <w:sz w:val="20"/>
                <w:szCs w:val="20"/>
                <w:color w:val="auto"/>
              </w:rPr>
            </w:pPr>
            <w:r>
              <w:rPr>
                <w:rFonts w:ascii="Arial" w:cs="Arial" w:eastAsia="Arial" w:hAnsi="Arial"/>
                <w:sz w:val="18"/>
                <w:szCs w:val="18"/>
                <w:color w:val="auto"/>
              </w:rPr>
              <w:t>Short-term borrowings</w:t>
            </w:r>
          </w:p>
        </w:tc>
        <w:tc>
          <w:tcPr>
            <w:tcW w:w="2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b w:val="1"/>
                <w:bCs w:val="1"/>
                <w:color w:val="auto"/>
              </w:rPr>
              <w:t>(986)</w:t>
            </w:r>
          </w:p>
        </w:tc>
        <w:tc>
          <w:tcPr>
            <w:tcW w:w="240" w:type="dxa"/>
            <w:vAlign w:val="bottom"/>
            <w:shd w:val="clear" w:color="auto" w:fill="CFF0FC"/>
          </w:tcPr>
          <w:p>
            <w:pPr>
              <w:spacing w:after="0"/>
              <w:rPr>
                <w:sz w:val="19"/>
                <w:szCs w:val="19"/>
                <w:color w:val="auto"/>
              </w:rPr>
            </w:pP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(2,139)</w:t>
            </w:r>
          </w:p>
        </w:tc>
        <w:tc>
          <w:tcPr>
            <w:tcW w:w="180" w:type="dxa"/>
            <w:vAlign w:val="bottom"/>
            <w:shd w:val="clear" w:color="auto" w:fill="CFF0FC"/>
          </w:tcPr>
          <w:p>
            <w:pPr>
              <w:spacing w:after="0"/>
              <w:rPr>
                <w:sz w:val="19"/>
                <w:szCs w:val="19"/>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(1,546)</w:t>
            </w:r>
          </w:p>
        </w:tc>
      </w:tr>
      <w:tr>
        <w:trPr>
          <w:trHeight w:val="229"/>
        </w:trPr>
        <w:tc>
          <w:tcPr>
            <w:tcW w:w="6720" w:type="dxa"/>
            <w:vAlign w:val="bottom"/>
          </w:tcPr>
          <w:p>
            <w:pPr>
              <w:spacing w:after="0"/>
              <w:rPr>
                <w:sz w:val="20"/>
                <w:szCs w:val="20"/>
                <w:color w:val="auto"/>
              </w:rPr>
            </w:pPr>
            <w:r>
              <w:rPr>
                <w:rFonts w:ascii="Arial" w:cs="Arial" w:eastAsia="Arial" w:hAnsi="Arial"/>
                <w:sz w:val="18"/>
                <w:szCs w:val="18"/>
                <w:color w:val="auto"/>
              </w:rPr>
              <w:t>Long-term debt</w:t>
            </w:r>
          </w:p>
        </w:tc>
        <w:tc>
          <w:tcPr>
            <w:tcW w:w="2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(18,252)</w:t>
            </w:r>
          </w:p>
        </w:tc>
        <w:tc>
          <w:tcPr>
            <w:tcW w:w="24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(9,110)</w:t>
            </w:r>
          </w:p>
        </w:tc>
        <w:tc>
          <w:tcPr>
            <w:tcW w:w="180" w:type="dxa"/>
            <w:vAlign w:val="bottom"/>
          </w:tcPr>
          <w:p>
            <w:pPr>
              <w:spacing w:after="0"/>
              <w:rPr>
                <w:sz w:val="19"/>
                <w:szCs w:val="19"/>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(14,442)</w:t>
            </w:r>
          </w:p>
        </w:tc>
      </w:tr>
      <w:tr>
        <w:trPr>
          <w:trHeight w:val="223"/>
        </w:trPr>
        <w:tc>
          <w:tcPr>
            <w:tcW w:w="672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(10,045)</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240" w:type="dxa"/>
            <w:vAlign w:val="bottom"/>
            <w:tcBorders>
              <w:top w:val="single" w:sz="8" w:color="auto"/>
              <w:bottom w:val="single" w:sz="8" w:color="auto"/>
            </w:tcBorders>
            <w:shd w:val="clear" w:color="auto" w:fill="CFF0FC"/>
          </w:tcPr>
          <w:p>
            <w:pPr>
              <w:jc w:val="right"/>
              <w:ind w:right="8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(5,598)</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(5,547)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r>
      <w:tr>
        <w:trPr>
          <w:trHeight w:val="20"/>
        </w:trPr>
        <w:tc>
          <w:tcPr>
            <w:tcW w:w="6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Key liquidity events during the first six months of 2016 and 2015 included:</w:t>
      </w:r>
    </w:p>
    <w:p>
      <w:pPr>
        <w:spacing w:after="0" w:line="225" w:lineRule="exact"/>
        <w:rPr>
          <w:sz w:val="20"/>
          <w:szCs w:val="20"/>
          <w:color w:val="auto"/>
        </w:rPr>
      </w:pPr>
    </w:p>
    <w:p>
      <w:pPr>
        <w:jc w:val="both"/>
        <w:ind w:left="1040" w:hanging="371"/>
        <w:spacing w:after="0" w:line="311" w:lineRule="auto"/>
        <w:tabs>
          <w:tab w:leader="none" w:pos="1040" w:val="left"/>
        </w:tabs>
        <w:numPr>
          <w:ilvl w:val="1"/>
          <w:numId w:val="28"/>
        </w:numPr>
        <w:rPr>
          <w:rFonts w:ascii="Arial" w:cs="Arial" w:eastAsia="Arial" w:hAnsi="Arial"/>
          <w:sz w:val="16"/>
          <w:szCs w:val="16"/>
          <w:color w:val="auto"/>
        </w:rPr>
      </w:pPr>
      <w:r>
        <w:rPr>
          <w:rFonts w:ascii="Arial" w:cs="Arial" w:eastAsia="Arial" w:hAnsi="Arial"/>
          <w:sz w:val="16"/>
          <w:szCs w:val="16"/>
          <w:color w:val="auto"/>
        </w:rPr>
        <w:t>Schlumberger paid $2.8 billion of cash in connection with the April 1, 2016 acquisition of Cameron. Additionally, as a result of the acquisition of Cameron, Schlumberger assumed net debt of $785 million. This amount consisted of $3.0 billion of debt (including a $244 million adjustment to increase Cameron’s long-term fixed rate debt to its estimated fair value) and $2.2 billion of cash and short-term investments.</w:t>
      </w:r>
    </w:p>
    <w:p>
      <w:pPr>
        <w:spacing w:after="0" w:line="40" w:lineRule="exact"/>
        <w:rPr>
          <w:rFonts w:ascii="Arial" w:cs="Arial" w:eastAsia="Arial" w:hAnsi="Arial"/>
          <w:sz w:val="16"/>
          <w:szCs w:val="16"/>
          <w:color w:val="auto"/>
        </w:rPr>
      </w:pPr>
    </w:p>
    <w:p>
      <w:pPr>
        <w:ind w:left="1040" w:hanging="371"/>
        <w:spacing w:after="0"/>
        <w:tabs>
          <w:tab w:leader="none" w:pos="10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During the second quarter of 2016, Schlumberger repurchased approximately $1.4 billion of Cameron’s long-term fixed-rate debt.</w:t>
      </w:r>
    </w:p>
    <w:p>
      <w:pPr>
        <w:spacing w:after="0" w:line="224" w:lineRule="exact"/>
        <w:rPr>
          <w:rFonts w:ascii="Arial" w:cs="Arial" w:eastAsia="Arial" w:hAnsi="Arial"/>
          <w:sz w:val="18"/>
          <w:szCs w:val="18"/>
          <w:color w:val="auto"/>
        </w:rPr>
      </w:pPr>
    </w:p>
    <w:p>
      <w:pPr>
        <w:ind w:left="1020" w:hanging="378"/>
        <w:spacing w:after="0" w:line="307" w:lineRule="auto"/>
        <w:tabs>
          <w:tab w:leader="none" w:pos="1020" w:val="left"/>
        </w:tabs>
        <w:numPr>
          <w:ilvl w:val="0"/>
          <w:numId w:val="28"/>
        </w:numPr>
        <w:rPr>
          <w:rFonts w:ascii="Arial" w:cs="Arial" w:eastAsia="Arial" w:hAnsi="Arial"/>
          <w:sz w:val="17"/>
          <w:szCs w:val="17"/>
          <w:color w:val="auto"/>
        </w:rPr>
      </w:pPr>
      <w:r>
        <w:rPr>
          <w:rFonts w:ascii="Arial" w:cs="Arial" w:eastAsia="Arial" w:hAnsi="Arial"/>
          <w:sz w:val="17"/>
          <w:szCs w:val="17"/>
          <w:color w:val="auto"/>
        </w:rPr>
        <w:t>On July 18, 2013, the Schlumberger Board of Directors approved a $10 billion share repurchase program to be completed at the latest by June 30, 2018. Schlumberger had repurchased $9.1 billion of shares under this new share repurchase program as of June 30, 2016.</w:t>
      </w:r>
    </w:p>
    <w:p>
      <w:pPr>
        <w:spacing w:after="0" w:line="39" w:lineRule="exact"/>
        <w:rPr>
          <w:sz w:val="20"/>
          <w:szCs w:val="20"/>
          <w:color w:val="auto"/>
        </w:rPr>
      </w:pPr>
    </w:p>
    <w:p>
      <w:pPr>
        <w:ind w:left="1060"/>
        <w:spacing w:after="0"/>
        <w:rPr>
          <w:sz w:val="20"/>
          <w:szCs w:val="20"/>
          <w:color w:val="auto"/>
        </w:rPr>
      </w:pPr>
      <w:r>
        <w:rPr>
          <w:rFonts w:ascii="Arial" w:cs="Arial" w:eastAsia="Arial" w:hAnsi="Arial"/>
          <w:sz w:val="18"/>
          <w:szCs w:val="18"/>
          <w:color w:val="auto"/>
        </w:rPr>
        <w:t>The following table summarizes the activity under this share repurchase program:</w:t>
      </w:r>
    </w:p>
    <w:p>
      <w:pPr>
        <w:spacing w:after="0" w:line="234" w:lineRule="exact"/>
        <w:rPr>
          <w:sz w:val="20"/>
          <w:szCs w:val="20"/>
          <w:color w:val="auto"/>
        </w:rPr>
      </w:pPr>
    </w:p>
    <w:tbl>
      <w:tblPr>
        <w:tblLayout w:type="fixed"/>
        <w:tblInd w:w="1160" w:type="dxa"/>
        <w:tblCellMar>
          <w:top w:w="0" w:type="dxa"/>
          <w:left w:w="0" w:type="dxa"/>
          <w:bottom w:w="0" w:type="dxa"/>
          <w:right w:w="0" w:type="dxa"/>
        </w:tblCellMar>
      </w:tblPr>
      <w:tr>
        <w:trPr>
          <w:trHeight w:val="182"/>
        </w:trPr>
        <w:tc>
          <w:tcPr>
            <w:tcW w:w="39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20" w:type="dxa"/>
            <w:vAlign w:val="bottom"/>
            <w:gridSpan w:val="7"/>
          </w:tcPr>
          <w:p>
            <w:pPr>
              <w:jc w:val="right"/>
              <w:ind w:right="100"/>
              <w:spacing w:after="0"/>
              <w:rPr>
                <w:sz w:val="20"/>
                <w:szCs w:val="20"/>
                <w:color w:val="auto"/>
              </w:rPr>
            </w:pPr>
            <w:r>
              <w:rPr>
                <w:rFonts w:ascii="Arial" w:cs="Arial" w:eastAsia="Arial" w:hAnsi="Arial"/>
                <w:sz w:val="14"/>
                <w:szCs w:val="14"/>
                <w:i w:val="1"/>
                <w:iCs w:val="1"/>
                <w:color w:val="auto"/>
              </w:rPr>
              <w:t>(Stated in millions, except per share amounts)</w:t>
            </w:r>
          </w:p>
        </w:tc>
      </w:tr>
      <w:tr>
        <w:trPr>
          <w:trHeight w:val="424"/>
        </w:trPr>
        <w:tc>
          <w:tcPr>
            <w:tcW w:w="39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9"/>
              </w:rPr>
              <w:t>Total cost</w:t>
            </w:r>
          </w:p>
        </w:tc>
        <w:tc>
          <w:tcPr>
            <w:tcW w:w="128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Total number</w:t>
            </w:r>
          </w:p>
        </w:tc>
        <w:tc>
          <w:tcPr>
            <w:tcW w:w="100" w:type="dxa"/>
            <w:vAlign w:val="bottom"/>
          </w:tcPr>
          <w:p>
            <w:pPr>
              <w:spacing w:after="0"/>
              <w:rPr>
                <w:sz w:val="24"/>
                <w:szCs w:val="24"/>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1"/>
              </w:rPr>
              <w:t>Average price</w:t>
            </w:r>
          </w:p>
        </w:tc>
      </w:tr>
      <w:tr>
        <w:trPr>
          <w:trHeight w:val="216"/>
        </w:trPr>
        <w:tc>
          <w:tcPr>
            <w:tcW w:w="39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of shares</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of shares</w:t>
            </w:r>
          </w:p>
        </w:tc>
        <w:tc>
          <w:tcPr>
            <w:tcW w:w="10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93"/>
              </w:rPr>
              <w:t>paid per</w:t>
            </w:r>
          </w:p>
        </w:tc>
      </w:tr>
      <w:tr>
        <w:trPr>
          <w:trHeight w:val="219"/>
        </w:trPr>
        <w:tc>
          <w:tcPr>
            <w:tcW w:w="39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6"/>
                <w:szCs w:val="16"/>
                <w:color w:val="auto"/>
                <w:w w:val="88"/>
              </w:rPr>
              <w:t>purchased</w:t>
            </w:r>
          </w:p>
        </w:tc>
        <w:tc>
          <w:tcPr>
            <w:tcW w:w="1280" w:type="dxa"/>
            <w:vAlign w:val="bottom"/>
            <w:gridSpan w:val="2"/>
          </w:tcPr>
          <w:p>
            <w:pPr>
              <w:jc w:val="center"/>
              <w:ind w:right="220"/>
              <w:spacing w:after="0"/>
              <w:rPr>
                <w:sz w:val="20"/>
                <w:szCs w:val="20"/>
                <w:color w:val="auto"/>
              </w:rPr>
            </w:pPr>
            <w:r>
              <w:rPr>
                <w:rFonts w:ascii="Arial" w:cs="Arial" w:eastAsia="Arial" w:hAnsi="Arial"/>
                <w:sz w:val="16"/>
                <w:szCs w:val="16"/>
                <w:color w:val="auto"/>
                <w:w w:val="88"/>
              </w:rPr>
              <w:t>purchased</w:t>
            </w:r>
          </w:p>
        </w:tc>
        <w:tc>
          <w:tcPr>
            <w:tcW w:w="100" w:type="dxa"/>
            <w:vAlign w:val="bottom"/>
          </w:tcPr>
          <w:p>
            <w:pPr>
              <w:spacing w:after="0"/>
              <w:rPr>
                <w:sz w:val="19"/>
                <w:szCs w:val="19"/>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6"/>
                <w:szCs w:val="16"/>
                <w:color w:val="auto"/>
                <w:w w:val="84"/>
              </w:rPr>
              <w:t>share</w:t>
            </w:r>
          </w:p>
        </w:tc>
      </w:tr>
      <w:tr>
        <w:trPr>
          <w:trHeight w:val="226"/>
        </w:trPr>
        <w:tc>
          <w:tcPr>
            <w:tcW w:w="39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Six months ended June 30, 2016</w:t>
            </w:r>
          </w:p>
        </w:tc>
        <w:tc>
          <w:tcPr>
            <w:tcW w:w="1440" w:type="dxa"/>
            <w:vAlign w:val="bottom"/>
            <w:tcBorders>
              <w:top w:val="single" w:sz="8" w:color="CFF0FC"/>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506</w:t>
            </w:r>
          </w:p>
        </w:tc>
        <w:tc>
          <w:tcPr>
            <w:tcW w:w="200" w:type="dxa"/>
            <w:vAlign w:val="bottom"/>
            <w:tcBorders>
              <w:top w:val="single" w:sz="8" w:color="CFF0FC"/>
            </w:tcBorders>
            <w:shd w:val="clear" w:color="auto" w:fill="CFF0FC"/>
          </w:tcPr>
          <w:p>
            <w:pPr>
              <w:spacing w:after="0"/>
              <w:rPr>
                <w:sz w:val="19"/>
                <w:szCs w:val="19"/>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7.5</w:t>
            </w:r>
          </w:p>
        </w:tc>
        <w:tc>
          <w:tcPr>
            <w:tcW w:w="20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b w:val="1"/>
                <w:bCs w:val="1"/>
                <w:color w:val="auto"/>
              </w:rPr>
              <w:t>67.65</w:t>
            </w:r>
          </w:p>
        </w:tc>
        <w:tc>
          <w:tcPr>
            <w:tcW w:w="80" w:type="dxa"/>
            <w:vAlign w:val="bottom"/>
            <w:tcBorders>
              <w:top w:val="single" w:sz="8" w:color="CFF0FC"/>
            </w:tcBorders>
            <w:shd w:val="clear" w:color="auto" w:fill="CFF0FC"/>
          </w:tcPr>
          <w:p>
            <w:pPr>
              <w:spacing w:after="0"/>
              <w:rPr>
                <w:sz w:val="19"/>
                <w:szCs w:val="19"/>
                <w:color w:val="auto"/>
              </w:rPr>
            </w:pP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Six months ended June 30, 2015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1,239</w:t>
            </w:r>
          </w:p>
        </w:tc>
        <w:tc>
          <w:tcPr>
            <w:tcW w:w="2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85.80</w:t>
            </w:r>
          </w:p>
        </w:tc>
        <w:tc>
          <w:tcPr>
            <w:tcW w:w="80" w:type="dxa"/>
            <w:vAlign w:val="bottom"/>
          </w:tcPr>
          <w:p>
            <w:pPr>
              <w:spacing w:after="0"/>
              <w:rPr>
                <w:sz w:val="20"/>
                <w:szCs w:val="20"/>
                <w:color w:val="auto"/>
              </w:rPr>
            </w:pPr>
          </w:p>
        </w:tc>
      </w:tr>
    </w:tbl>
    <w:p>
      <w:pPr>
        <w:spacing w:after="0" w:line="200" w:lineRule="exact"/>
        <w:rPr>
          <w:sz w:val="20"/>
          <w:szCs w:val="20"/>
          <w:color w:val="auto"/>
        </w:rPr>
      </w:pPr>
    </w:p>
    <w:p>
      <w:pPr>
        <w:spacing w:after="0" w:line="216" w:lineRule="exact"/>
        <w:rPr>
          <w:sz w:val="20"/>
          <w:szCs w:val="20"/>
          <w:color w:val="auto"/>
        </w:rPr>
      </w:pPr>
    </w:p>
    <w:p>
      <w:pPr>
        <w:ind w:left="1060" w:right="80"/>
        <w:spacing w:after="0" w:line="341" w:lineRule="auto"/>
        <w:rPr>
          <w:sz w:val="20"/>
          <w:szCs w:val="20"/>
          <w:color w:val="auto"/>
        </w:rPr>
      </w:pPr>
      <w:r>
        <w:rPr>
          <w:rFonts w:ascii="Arial" w:cs="Arial" w:eastAsia="Arial" w:hAnsi="Arial"/>
          <w:sz w:val="16"/>
          <w:szCs w:val="16"/>
          <w:color w:val="auto"/>
        </w:rPr>
        <w:t>On January 21, 2016, the Board of Directors approved a new $10 billion share repurchase program for Schlumberger common stock. The new program will take effect once the remaining $0.9 billion authorized to be repurchased under the July 18, 2013 program is exhausted.</w:t>
      </w:r>
    </w:p>
    <w:p>
      <w:pPr>
        <w:spacing w:after="0" w:line="165" w:lineRule="exact"/>
        <w:rPr>
          <w:sz w:val="20"/>
          <w:szCs w:val="20"/>
          <w:color w:val="auto"/>
        </w:rPr>
      </w:pPr>
    </w:p>
    <w:p>
      <w:pPr>
        <w:ind w:left="1040" w:hanging="385"/>
        <w:spacing w:after="0" w:line="307"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Capital expenditures were $1.0 billion during the first six months of 2016 compared to $1.2 billion during the first six months of 2015. Capital expenditures for full-year 2016 are expected to be approximately $2.2 billion as compared to expenditures of $2.4 billion in 2015.</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Schlumberger operates in more than 85 countries. At June 30, 2016, only five of those countries individually accounted for greater than 5% of Schlumberger’s accounts receivable balances, of which only Venezuela, where Schlumberger has experienced delays in payment from its customers, accounted for greater than 10%. Schlumberger’s net receivable balance in Venezuela as of June 30, 2016 was approximately $1.2 billion.</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June 30, 2016, Schlumberger had $11.2 billion of cash and short-term investments on hand. Schlumberger had separate committed debt facility agreements aggregating $6.8 billion with commercial banks, of which $3.6 billion was available and unused as of June 30, 2016. The $6.8 billion of committed debt facility agreements included $6.5 billion of committed facilities that support commercial paper programs. Schlumberger believes that these amounts are sufficient to meet future business requirements for at least the next 12 months.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Borrowings under the commercial paper programs at June 30, 2016 were $3.2 billion.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20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This Form 10-Q and other statements we make contain “forward-looking statements” within the meaning of the federal securities laws, which include any statements that are not historical facts, such as our forecasts or expectations regarding business outlook; growth for Schlumberger as a whole and for each of its Groups and segments (and for specified products or geographic areas within each segment); oil and natural gas demand and production growth; oil and natural gas prices; improvements in operating procedures and technology, including our transformation program; capital expenditures by Schlumberger and the oil and gas industry; the business strategies of Schlumberger’s customers; the anticipated benefits of the Cameron transaction; the success of Schlumberger’s joint ventures and alliances; future global economic conditions; and future results of operations. These statements are subject to risks and uncertainties, including, but not limited to, global economic conditions; changes in exploration and production spending by Schlumberger’s customers and changes in the level of oil and natural gas exploration and development; demand for our integrated services and new technologies; our future cash flows; the success of our transformation efforts; general economic, political and business conditions in key regions of the world; foreign currency risk; pricing pressure; weather and seasonal factors; operational modifications, delays or cancellations; production declines; changes in government regulations and regulatory requirements, including those related to offshore oil and gas exploration, radioactive sources, explosives, chemicals, hydraulic fracturing services and climate-related initiatives; the inability of technology to meet new challenges in exploration; the inability to integrate the Cameron business and to realize expected synergies; the inability to retain key employees; and other risks and uncertainties detailed in this second-quarter 2016 Form 10-Q and our most recent Forms 10-K, 10-Q and 8-K filed with or furnished to the Securities and Exchange Commission. If one or more of these or other risks or uncertainties materialize (or the consequences of any such development changes), or should our underlying assumptions prove incorrect, actual outcomes may vary materially from those reflected in our forward-looking statements. Schlumberger disclaims any intention or obligation to update publicly or revise such statements, whether as a result of new information, future events or otherwise.</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Quantitative and Qualitative Disclosures about Market Risk.</w:t>
      </w:r>
    </w:p>
    <w:p>
      <w:pPr>
        <w:spacing w:after="0" w:line="121"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quantitative and qualitative disclosures about market risk affecting Schlumberger, see Item 7A, “Quantitative and Qualitative Disclosures about Market Risk,” of the Schlumberger Annual Report on Form 10-K for the fiscal year ended December 31, 2015. Schlumberger’s exposure to market risk has not changed materially since December 31, 2015.</w:t>
      </w: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Controls and Procedures.</w:t>
      </w:r>
    </w:p>
    <w:p>
      <w:pPr>
        <w:spacing w:after="0" w:line="12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Schlumberger has carried out an evaluation under the supervision and with the participation of Schlumberger’s management, including the Chief Executive Officer (“CEO”) and the Chief Financial Officer (“CFO”), of the effectiveness of Schlumberger’s “disclosure controls and procedures” (as such term is defined in Rules 13a-15(e) and 15d-15(e) under the Securities Exchange Act of 1934 (the “Exchange Act”)) as of the end of the period covered by this report. Based on this evaluation, the CEO and the CFO have concluded that, as of the end of the period covered by this report, Schlumberger’s disclosure controls and procedures were effective to provide reasonable assurance that information required to be disclosed in the reports that Schlumberger files or submits under the Exchange Act is recorded, processed, summarized and reported within the time periods specified in the Securities and Exchange Commission’s rules and forms. Schlumberger’s disclosure controls and procedures include controls and procedures designed to ensure that information required to be disclosed in reports filed or submitted under the Exchange Act is accumulated and communicated to its management, including the CEO and the CFO, as appropriate, to allow timely decisions regarding required disclosure. There was no change in Schlumberger’s internal control over financial reporting during the quarter to which this report relates that has materially affected, or is reasonably likely to materially affect, Schlumberger’s internal control over financial reporting.</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PART II. 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with respect to this Item 1 is set forth under Note 13—</w:t>
      </w:r>
      <w:r>
        <w:rPr>
          <w:rFonts w:ascii="Arial" w:cs="Arial" w:eastAsia="Arial" w:hAnsi="Arial"/>
          <w:sz w:val="18"/>
          <w:szCs w:val="18"/>
          <w:i w:val="1"/>
          <w:iCs w:val="1"/>
          <w:color w:val="auto"/>
        </w:rPr>
        <w:t>Contingencies,</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w:t>
      </w:r>
    </w:p>
    <w:p>
      <w:pPr>
        <w:spacing w:after="0" w:line="3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1A. Risk Factors.</w:t>
      </w:r>
    </w:p>
    <w:p>
      <w:pPr>
        <w:spacing w:after="0" w:line="12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1, 2016, Schlumberger completed the acquisition of Cameron and therefore no longer faces risks associated with the ability to complete the Cameron Merger. Except as described in the foregoing sentence, as of the date of this filing, there have been no material changes from the risk factors previously disclosed in Part 1, Item 1A, of Schlumberger’s Annual Report on Form 10-K for the fiscal year ended December 31, 2015.</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2. Unregistered Sales of Equity Securities and Use of Proceeds.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Unregistered Sales of Equity Securities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5"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color w:val="auto"/>
        </w:rPr>
        <w:t>None.</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Issuer Repurchases of Equity Securities</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18, 2013, the Schlumberger Board of Directors (the “Board”) approved a $10 billion share repurchase program for shares of Schlumberger common stock, to be completed at the latest by June 30,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Schlumberger’s common stock repurchase program activity for the three months ended June 30, 2016 was as follows:</w:t>
      </w:r>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960" w:type="dxa"/>
            <w:vAlign w:val="bottom"/>
            <w:gridSpan w:val="6"/>
          </w:tcPr>
          <w:p>
            <w:pPr>
              <w:jc w:val="right"/>
              <w:ind w:right="120"/>
              <w:spacing w:after="0"/>
              <w:rPr>
                <w:sz w:val="20"/>
                <w:szCs w:val="20"/>
                <w:color w:val="auto"/>
              </w:rPr>
            </w:pPr>
            <w:r>
              <w:rPr>
                <w:rFonts w:ascii="Arial" w:cs="Arial" w:eastAsia="Arial" w:hAnsi="Arial"/>
                <w:sz w:val="14"/>
                <w:szCs w:val="14"/>
                <w:i w:val="1"/>
                <w:iCs w:val="1"/>
                <w:color w:val="auto"/>
                <w:w w:val="93"/>
              </w:rPr>
              <w:t>(Stated in thousands, except per share amounts)</w:t>
            </w:r>
          </w:p>
        </w:tc>
      </w:tr>
      <w:tr>
        <w:trPr>
          <w:trHeight w:val="420"/>
        </w:trPr>
        <w:tc>
          <w:tcPr>
            <w:tcW w:w="58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2"/>
              </w:rPr>
              <w:t>Total number of</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2"/>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6"/>
              </w:rPr>
              <w:t>shares purchased</w:t>
            </w:r>
          </w:p>
        </w:tc>
        <w:tc>
          <w:tcPr>
            <w:tcW w:w="24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94"/>
              </w:rPr>
              <w:t>Maximum value</w:t>
            </w:r>
          </w:p>
        </w:tc>
      </w:tr>
      <w:tr>
        <w:trPr>
          <w:trHeight w:val="202"/>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9"/>
              </w:rPr>
              <w:t>as part of</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88"/>
              </w:rPr>
              <w:t>of shares that</w:t>
            </w:r>
          </w:p>
        </w:tc>
      </w:tr>
      <w:tr>
        <w:trPr>
          <w:trHeight w:val="202"/>
        </w:trPr>
        <w:tc>
          <w:tcPr>
            <w:tcW w:w="58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rPr>
              <w:t>publicly</w:t>
            </w: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89"/>
              </w:rPr>
              <w:t>may yet be</w:t>
            </w:r>
          </w:p>
        </w:tc>
      </w:tr>
      <w:tr>
        <w:trPr>
          <w:trHeight w:val="202"/>
        </w:trPr>
        <w:tc>
          <w:tcPr>
            <w:tcW w:w="58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w w:val="96"/>
              </w:rPr>
              <w:t>Total number of</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91"/>
              </w:rPr>
              <w:t>Average price</w:t>
            </w:r>
          </w:p>
        </w:tc>
        <w:tc>
          <w:tcPr>
            <w:tcW w:w="240" w:type="dxa"/>
            <w:vAlign w:val="bottom"/>
          </w:tcPr>
          <w:p>
            <w:pPr>
              <w:spacing w:after="0"/>
              <w:rPr>
                <w:sz w:val="17"/>
                <w:szCs w:val="17"/>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88"/>
              </w:rPr>
              <w:t>announced</w:t>
            </w:r>
          </w:p>
        </w:tc>
        <w:tc>
          <w:tcPr>
            <w:tcW w:w="240" w:type="dxa"/>
            <w:vAlign w:val="bottom"/>
          </w:tcPr>
          <w:p>
            <w:pPr>
              <w:spacing w:after="0"/>
              <w:rPr>
                <w:sz w:val="17"/>
                <w:szCs w:val="17"/>
                <w:color w:val="auto"/>
              </w:rPr>
            </w:pPr>
          </w:p>
        </w:tc>
        <w:tc>
          <w:tcPr>
            <w:tcW w:w="1300" w:type="dxa"/>
            <w:vAlign w:val="bottom"/>
            <w:gridSpan w:val="3"/>
          </w:tcPr>
          <w:p>
            <w:pPr>
              <w:jc w:val="center"/>
              <w:ind w:right="120"/>
              <w:spacing w:after="0"/>
              <w:rPr>
                <w:sz w:val="20"/>
                <w:szCs w:val="20"/>
                <w:color w:val="auto"/>
              </w:rPr>
            </w:pPr>
            <w:r>
              <w:rPr>
                <w:rFonts w:ascii="Arial" w:cs="Arial" w:eastAsia="Arial" w:hAnsi="Arial"/>
                <w:sz w:val="16"/>
                <w:szCs w:val="16"/>
                <w:color w:val="auto"/>
                <w:w w:val="88"/>
              </w:rPr>
              <w:t>purchased under</w:t>
            </w:r>
          </w:p>
        </w:tc>
      </w:tr>
      <w:tr>
        <w:trPr>
          <w:trHeight w:val="209"/>
        </w:trPr>
        <w:tc>
          <w:tcPr>
            <w:tcW w:w="58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w w:val="88"/>
              </w:rPr>
              <w:t>shares purchased</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ind w:right="53"/>
              <w:spacing w:after="0"/>
              <w:rPr>
                <w:sz w:val="20"/>
                <w:szCs w:val="20"/>
                <w:color w:val="auto"/>
              </w:rPr>
            </w:pPr>
            <w:r>
              <w:rPr>
                <w:rFonts w:ascii="Arial" w:cs="Arial" w:eastAsia="Arial" w:hAnsi="Arial"/>
                <w:sz w:val="16"/>
                <w:szCs w:val="16"/>
                <w:color w:val="auto"/>
                <w:w w:val="87"/>
              </w:rPr>
              <w:t>paid per share</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6"/>
                <w:szCs w:val="16"/>
                <w:color w:val="auto"/>
                <w:w w:val="90"/>
              </w:rPr>
              <w:t>program</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6"/>
                <w:szCs w:val="16"/>
                <w:color w:val="auto"/>
                <w:w w:val="90"/>
              </w:rPr>
              <w:t>the program</w:t>
            </w:r>
          </w:p>
        </w:tc>
      </w:tr>
      <w:tr>
        <w:trPr>
          <w:trHeight w:val="226"/>
        </w:trPr>
        <w:tc>
          <w:tcPr>
            <w:tcW w:w="58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April 1 through April 30, 2016</w:t>
            </w:r>
          </w:p>
        </w:tc>
        <w:tc>
          <w:tcPr>
            <w:tcW w:w="1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6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72.06</w:t>
            </w:r>
          </w:p>
        </w:tc>
        <w:tc>
          <w:tcPr>
            <w:tcW w:w="240" w:type="dxa"/>
            <w:vAlign w:val="bottom"/>
            <w:tcBorders>
              <w:top w:val="single" w:sz="8" w:color="CFF0FC"/>
            </w:tcBorders>
            <w:shd w:val="clear" w:color="auto" w:fill="CFF0FC"/>
          </w:tcPr>
          <w:p>
            <w:pPr>
              <w:spacing w:after="0"/>
              <w:rPr>
                <w:sz w:val="19"/>
                <w:szCs w:val="19"/>
                <w:color w:val="auto"/>
              </w:rPr>
            </w:pPr>
          </w:p>
        </w:tc>
        <w:tc>
          <w:tcPr>
            <w:tcW w:w="11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265.2</w:t>
            </w:r>
          </w:p>
        </w:tc>
        <w:tc>
          <w:tcPr>
            <w:tcW w:w="240" w:type="dxa"/>
            <w:vAlign w:val="bottom"/>
            <w:tcBorders>
              <w:top w:val="single" w:sz="8" w:color="CFF0FC"/>
            </w:tcBorders>
            <w:shd w:val="clear" w:color="auto" w:fill="CFF0FC"/>
          </w:tcPr>
          <w:p>
            <w:pPr>
              <w:spacing w:after="0"/>
              <w:rPr>
                <w:sz w:val="19"/>
                <w:szCs w:val="19"/>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928,918</w:t>
            </w:r>
          </w:p>
        </w:tc>
        <w:tc>
          <w:tcPr>
            <w:tcW w:w="100" w:type="dxa"/>
            <w:vAlign w:val="bottom"/>
            <w:tcBorders>
              <w:top w:val="single" w:sz="8" w:color="CFF0FC"/>
            </w:tcBorders>
            <w:shd w:val="clear" w:color="auto" w:fill="CFF0FC"/>
          </w:tcPr>
          <w:p>
            <w:pPr>
              <w:spacing w:after="0"/>
              <w:rPr>
                <w:sz w:val="19"/>
                <w:szCs w:val="19"/>
                <w:color w:val="auto"/>
              </w:rPr>
            </w:pPr>
          </w:p>
        </w:tc>
      </w:tr>
      <w:tr>
        <w:trPr>
          <w:trHeight w:val="229"/>
        </w:trPr>
        <w:tc>
          <w:tcPr>
            <w:tcW w:w="5880" w:type="dxa"/>
            <w:vAlign w:val="bottom"/>
          </w:tcPr>
          <w:p>
            <w:pPr>
              <w:spacing w:after="0"/>
              <w:rPr>
                <w:sz w:val="20"/>
                <w:szCs w:val="20"/>
                <w:color w:val="auto"/>
              </w:rPr>
            </w:pPr>
            <w:r>
              <w:rPr>
                <w:rFonts w:ascii="Arial" w:cs="Arial" w:eastAsia="Arial" w:hAnsi="Arial"/>
                <w:sz w:val="18"/>
                <w:szCs w:val="18"/>
                <w:color w:val="auto"/>
              </w:rPr>
              <w:t>May 1 through May 31, 2016</w:t>
            </w:r>
          </w:p>
        </w:tc>
        <w:tc>
          <w:tcPr>
            <w:tcW w:w="1160" w:type="dxa"/>
            <w:vAlign w:val="bottom"/>
          </w:tcPr>
          <w:p>
            <w:pPr>
              <w:jc w:val="right"/>
              <w:spacing w:after="0"/>
              <w:rPr>
                <w:sz w:val="20"/>
                <w:szCs w:val="20"/>
                <w:color w:val="auto"/>
              </w:rPr>
            </w:pPr>
            <w:r>
              <w:rPr>
                <w:rFonts w:ascii="Arial" w:cs="Arial" w:eastAsia="Arial" w:hAnsi="Arial"/>
                <w:sz w:val="18"/>
                <w:szCs w:val="18"/>
                <w:color w:val="auto"/>
              </w:rPr>
              <w:t>57.0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72.32</w:t>
            </w:r>
          </w:p>
        </w:tc>
        <w:tc>
          <w:tcPr>
            <w:tcW w:w="1420" w:type="dxa"/>
            <w:vAlign w:val="bottom"/>
            <w:gridSpan w:val="2"/>
          </w:tcPr>
          <w:p>
            <w:pPr>
              <w:jc w:val="right"/>
              <w:spacing w:after="0"/>
              <w:rPr>
                <w:sz w:val="20"/>
                <w:szCs w:val="20"/>
                <w:color w:val="auto"/>
              </w:rPr>
            </w:pPr>
            <w:r>
              <w:rPr>
                <w:rFonts w:ascii="Arial" w:cs="Arial" w:eastAsia="Arial" w:hAnsi="Arial"/>
                <w:sz w:val="18"/>
                <w:szCs w:val="18"/>
                <w:color w:val="auto"/>
              </w:rPr>
              <w:t>57.0</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924,795</w:t>
            </w:r>
          </w:p>
        </w:tc>
        <w:tc>
          <w:tcPr>
            <w:tcW w:w="100" w:type="dxa"/>
            <w:vAlign w:val="bottom"/>
          </w:tcPr>
          <w:p>
            <w:pPr>
              <w:spacing w:after="0"/>
              <w:rPr>
                <w:sz w:val="19"/>
                <w:szCs w:val="19"/>
                <w:color w:val="auto"/>
              </w:rPr>
            </w:pPr>
          </w:p>
        </w:tc>
      </w:tr>
      <w:tr>
        <w:trPr>
          <w:trHeight w:val="229"/>
        </w:trPr>
        <w:tc>
          <w:tcPr>
            <w:tcW w:w="5880" w:type="dxa"/>
            <w:vAlign w:val="bottom"/>
            <w:shd w:val="clear" w:color="auto" w:fill="CFF0FC"/>
          </w:tcPr>
          <w:p>
            <w:pPr>
              <w:spacing w:after="0"/>
              <w:rPr>
                <w:sz w:val="20"/>
                <w:szCs w:val="20"/>
                <w:color w:val="auto"/>
              </w:rPr>
            </w:pPr>
            <w:r>
              <w:rPr>
                <w:rFonts w:ascii="Arial" w:cs="Arial" w:eastAsia="Arial" w:hAnsi="Arial"/>
                <w:sz w:val="18"/>
                <w:szCs w:val="18"/>
                <w:color w:val="auto"/>
              </w:rPr>
              <w:t>June 1 through June 30, 2016</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74.78</w:t>
            </w:r>
          </w:p>
        </w:tc>
        <w:tc>
          <w:tcPr>
            <w:tcW w:w="1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106.0</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916,872</w:t>
            </w:r>
          </w:p>
        </w:tc>
        <w:tc>
          <w:tcPr>
            <w:tcW w:w="100" w:type="dxa"/>
            <w:vAlign w:val="bottom"/>
            <w:shd w:val="clear" w:color="auto" w:fill="CFF0FC"/>
          </w:tcPr>
          <w:p>
            <w:pPr>
              <w:spacing w:after="0"/>
              <w:rPr>
                <w:sz w:val="19"/>
                <w:szCs w:val="19"/>
                <w:color w:val="auto"/>
              </w:rPr>
            </w:pPr>
          </w:p>
        </w:tc>
      </w:tr>
      <w:tr>
        <w:trPr>
          <w:trHeight w:val="223"/>
        </w:trPr>
        <w:tc>
          <w:tcPr>
            <w:tcW w:w="5880" w:type="dxa"/>
            <w:vAlign w:val="bottom"/>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72.77</w:t>
            </w:r>
          </w:p>
        </w:tc>
        <w:tc>
          <w:tcPr>
            <w:tcW w:w="240" w:type="dxa"/>
            <w:vAlign w:val="bottom"/>
          </w:tcPr>
          <w:p>
            <w:pPr>
              <w:spacing w:after="0"/>
              <w:rPr>
                <w:sz w:val="19"/>
                <w:szCs w:val="19"/>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428.2</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0"/>
        </w:trPr>
        <w:tc>
          <w:tcPr>
            <w:tcW w:w="58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exercise of stock options under Schlumberger’s incentive compensation plans, Schlumberger routinely receives shares of its common stock from optionholders in consideration of the exercise price of the stock options. Schlumberger does not view these transactions as requiring disclosure under this Item as the number of shares of Schlumberger common stock received from optionholders is not material.</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21, 2016, the Board approved a new $10 billion share repurchase program for Schlumberger common stock. This new program will take effect once the remaining $0.9 billion authorized to be repurchased under the July 18, 2013 program is exhausted.</w:t>
      </w:r>
    </w:p>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3. Defaults Upon Senior Securities.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None</w:t>
      </w:r>
      <w:r>
        <w:rPr>
          <w:rFonts w:ascii="Arial" w:cs="Arial" w:eastAsia="Arial" w:hAnsi="Arial"/>
          <w:sz w:val="18"/>
          <w:szCs w:val="18"/>
          <w:b w:val="1"/>
          <w:bCs w:val="1"/>
          <w:color w:val="auto"/>
        </w:rPr>
        <w:t>.</w:t>
      </w: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4. Mine Safety Disclosures.</w:t>
      </w:r>
    </w:p>
    <w:p>
      <w:pPr>
        <w:spacing w:after="0" w:line="121"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The barite and bentonite mining operations of M-I LLC, an indirect wholly-owned subsidiary, are subject to regulation by the federal Mine Safety and Health Administration under the Federal Mine Safety and Health Act of 1977. Information concerning mine safety violations or other regulatory matters required by section 1503(a) of the Dodd-Frank Wall Street Reform and Consumer Protection Act and Item 104 of Regulation S-K is included in Exhibit 95 to this report.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Item 5. Other Information.</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Schlumberger completed the wind down of its service operations in Iran during the second quarter of 2013. Prior to this, certain non-US subsidiaries of Schlumberger provided oilfield services to the National Iranian Oil Company and certain of its affiliates (“NIOC”).</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Schlumberger’s residual transactions or dealings with the government of Iran in the second quarter of 2016 consisted of payments of taxes and other typical governmental charges. Certain non-US subsidiaries of Schlumberger maintain depository accounts at the Dubai branch of Bank Saderat Iran (“Saderat”), and at Bank Tejarat (“Tejarat”) in Tehran and in Kish for the deposit by NIOC of amounts owed to non-US subsidiaries of Schlumberger for prior services rendered in Iran and for the maintenance of such amounts previously received. One non-US subsidiary also maintains an account at Tejarat for payment of local expenses such as taxes. Schlumberger anticipates that it will discontinue dealings with Saderat and Tejarat following the receipt of all amounts owed to Schlumberger for prior services rendered in Iran.</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u w:val="single" w:color="auto"/>
          <w:color w:val="auto"/>
        </w:rPr>
        <w:t>Item 6. Exhibits.</w:t>
      </w:r>
    </w:p>
    <w:p>
      <w:pPr>
        <w:spacing w:after="0" w:line="229" w:lineRule="exact"/>
        <w:rPr>
          <w:sz w:val="20"/>
          <w:szCs w:val="20"/>
          <w:color w:val="auto"/>
        </w:rPr>
      </w:pPr>
    </w:p>
    <w:p>
      <w:pPr>
        <w:ind w:left="440" w:right="460"/>
        <w:spacing w:after="0" w:line="277" w:lineRule="auto"/>
        <w:rPr>
          <w:sz w:val="20"/>
          <w:szCs w:val="20"/>
          <w:color w:val="auto"/>
        </w:rPr>
      </w:pPr>
      <w:r>
        <w:rPr>
          <w:rFonts w:ascii="Arial" w:cs="Arial" w:eastAsia="Arial" w:hAnsi="Arial"/>
          <w:sz w:val="18"/>
          <w:szCs w:val="18"/>
          <w:color w:val="auto"/>
        </w:rPr>
        <w:t>Exhibit 3.1—Articles of Incorporation of Schlumberger Limited (Schlumberger N.V.) (incorporated by reference to Exhibit 3.1 to Schlumberger’s Current Report on Form 8-K filed on April 6, 2016)</w:t>
      </w:r>
    </w:p>
    <w:p>
      <w:pPr>
        <w:spacing w:after="0" w:line="75" w:lineRule="exact"/>
        <w:rPr>
          <w:sz w:val="20"/>
          <w:szCs w:val="20"/>
          <w:color w:val="auto"/>
        </w:rPr>
      </w:pPr>
    </w:p>
    <w:p>
      <w:pPr>
        <w:ind w:left="440" w:right="1120"/>
        <w:spacing w:after="0" w:line="277" w:lineRule="auto"/>
        <w:rPr>
          <w:sz w:val="20"/>
          <w:szCs w:val="20"/>
          <w:color w:val="auto"/>
        </w:rPr>
      </w:pPr>
      <w:r>
        <w:rPr>
          <w:rFonts w:ascii="Arial" w:cs="Arial" w:eastAsia="Arial" w:hAnsi="Arial"/>
          <w:sz w:val="18"/>
          <w:szCs w:val="18"/>
          <w:color w:val="auto"/>
        </w:rPr>
        <w:t>Exhibit 3.2—Amended and Restated By-laws of Schlumberger Limited (Schlumberger N.V.) (incorporated by reference to Exhibit 3.1 to Schlumberger’s Current Report on Form 8-K filed on May 14, 2015)</w:t>
      </w:r>
    </w:p>
    <w:p>
      <w:pPr>
        <w:spacing w:after="0" w:line="75" w:lineRule="exact"/>
        <w:rPr>
          <w:sz w:val="20"/>
          <w:szCs w:val="20"/>
          <w:color w:val="auto"/>
        </w:rPr>
      </w:pPr>
    </w:p>
    <w:p>
      <w:pPr>
        <w:ind w:left="580" w:hanging="132"/>
        <w:spacing w:after="0"/>
        <w:tabs>
          <w:tab w:leader="none" w:pos="5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Exhibit 10.1—Employment Agreement dated May 31, 2016 and effective as of June 1, 2016, between Schlumberger Limited and Sherif Foda (+)</w:t>
      </w:r>
    </w:p>
    <w:p>
      <w:pPr>
        <w:spacing w:after="0" w:line="153" w:lineRule="exact"/>
        <w:rPr>
          <w:rFonts w:ascii="Arial" w:cs="Arial" w:eastAsia="Arial" w:hAnsi="Arial"/>
          <w:sz w:val="16"/>
          <w:szCs w:val="16"/>
          <w:color w:val="auto"/>
        </w:rPr>
      </w:pPr>
    </w:p>
    <w:p>
      <w:pPr>
        <w:ind w:left="440" w:right="500" w:firstLine="8"/>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10.2—Amended and Restated French Sub Plan for Restricted Units (incorporated by reference to Exhibit 10.1 to Schlumberger Current Report on Form 8-K filed on April 6, 2016)</w:t>
      </w:r>
    </w:p>
    <w:p>
      <w:pPr>
        <w:spacing w:after="0" w:line="75" w:lineRule="exact"/>
        <w:rPr>
          <w:rFonts w:ascii="Arial" w:cs="Arial" w:eastAsia="Arial" w:hAnsi="Arial"/>
          <w:sz w:val="18"/>
          <w:szCs w:val="18"/>
          <w:color w:val="auto"/>
        </w:rPr>
      </w:pPr>
    </w:p>
    <w:p>
      <w:pPr>
        <w:ind w:left="440" w:right="260" w:firstLine="8"/>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31.1—Certification of Chief Executive Officer pursuant to Rule 13a-14(a) of the Securities Exchange Act of 1934, as amended, as adopted pursuant to Section 302 of the Sarbanes-Oxley Act of 2002</w:t>
      </w:r>
    </w:p>
    <w:p>
      <w:pPr>
        <w:spacing w:after="0" w:line="75" w:lineRule="exact"/>
        <w:rPr>
          <w:rFonts w:ascii="Arial" w:cs="Arial" w:eastAsia="Arial" w:hAnsi="Arial"/>
          <w:sz w:val="18"/>
          <w:szCs w:val="18"/>
          <w:color w:val="auto"/>
        </w:rPr>
      </w:pPr>
    </w:p>
    <w:p>
      <w:pPr>
        <w:ind w:left="440" w:right="320" w:firstLine="8"/>
        <w:spacing w:after="0" w:line="277" w:lineRule="auto"/>
        <w:tabs>
          <w:tab w:leader="none" w:pos="575"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Exhibit 31.2—Certification of Chief Financial Officer pursuant to Rule 13a-14(a) of the Securities Exchange Act of 1934, as amended, as adopted pursuant to Section 302 of the Sarbanes-Oxley Act of 2002</w:t>
      </w:r>
    </w:p>
    <w:p>
      <w:pPr>
        <w:spacing w:after="0" w:line="75" w:lineRule="exact"/>
        <w:rPr>
          <w:sz w:val="20"/>
          <w:szCs w:val="20"/>
          <w:color w:val="auto"/>
        </w:rPr>
      </w:pPr>
    </w:p>
    <w:p>
      <w:pPr>
        <w:ind w:left="440" w:right="400" w:firstLine="8"/>
        <w:spacing w:after="0" w:line="277"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32.1—Certification of Chief Executive Officer pursuant to 18 U.S.C. Section 1350, as adopted pursuant to Section 906 of the Sarbanes-Oxley Act of 2002</w:t>
      </w:r>
    </w:p>
    <w:p>
      <w:pPr>
        <w:spacing w:after="0" w:line="75" w:lineRule="exact"/>
        <w:rPr>
          <w:rFonts w:ascii="Arial" w:cs="Arial" w:eastAsia="Arial" w:hAnsi="Arial"/>
          <w:sz w:val="18"/>
          <w:szCs w:val="18"/>
          <w:color w:val="auto"/>
        </w:rPr>
      </w:pPr>
    </w:p>
    <w:p>
      <w:pPr>
        <w:ind w:left="440" w:firstLine="8"/>
        <w:spacing w:after="0" w:line="277" w:lineRule="auto"/>
        <w:tabs>
          <w:tab w:leader="none" w:pos="665"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Exhibit 32.2—Certification of Chief Financial Officer pursuant to 18 U.S.C. Section 1350, as adopted pursuant to Section 906 of the Sarbanes-Oxley Act of 2002</w:t>
      </w:r>
    </w:p>
    <w:p>
      <w:pPr>
        <w:spacing w:after="0" w:line="75" w:lineRule="exact"/>
        <w:rPr>
          <w:sz w:val="20"/>
          <w:szCs w:val="20"/>
          <w:color w:val="auto"/>
        </w:rPr>
      </w:pPr>
    </w:p>
    <w:p>
      <w:pPr>
        <w:ind w:left="580" w:hanging="13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95—Mine Safety Disclosures</w:t>
      </w:r>
    </w:p>
    <w:p>
      <w:pPr>
        <w:spacing w:after="0" w:line="130" w:lineRule="exact"/>
        <w:rPr>
          <w:rFonts w:ascii="Arial" w:cs="Arial" w:eastAsia="Arial" w:hAnsi="Arial"/>
          <w:sz w:val="18"/>
          <w:szCs w:val="18"/>
          <w:color w:val="auto"/>
        </w:rPr>
      </w:pPr>
    </w:p>
    <w:p>
      <w:pPr>
        <w:ind w:left="440" w:right="40" w:firstLine="8"/>
        <w:spacing w:after="0" w:line="259" w:lineRule="auto"/>
        <w:tabs>
          <w:tab w:leader="none" w:pos="57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Exhibit 101—The following materials from Schlumberger Limited’s Quarterly Report on Form 10-Q for the quarter ended June 30 2016, formatted in XBRL (Extensible Business Reporting Language): (i) Consolidated Statement of Income; (ii) Consolidated Statement of Comprehensive Income; (iii) Consolidated Balance Sheet; (iv) Consolidated Statement of Cash Flows; (v) Consolidated Statement of Equity and (vi) Notes to Consolidated Financial Statements.</w:t>
      </w:r>
    </w:p>
    <w:p>
      <w:pPr>
        <w:spacing w:after="0" w:line="91" w:lineRule="exact"/>
        <w:rPr>
          <w:rFonts w:ascii="Arial" w:cs="Arial" w:eastAsia="Arial" w:hAnsi="Arial"/>
          <w:sz w:val="18"/>
          <w:szCs w:val="18"/>
          <w:color w:val="auto"/>
        </w:rPr>
      </w:pPr>
    </w:p>
    <w:p>
      <w:pPr>
        <w:ind w:left="580" w:hanging="132"/>
        <w:spacing w:after="0"/>
        <w:tabs>
          <w:tab w:leader="none" w:pos="5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Filed with this Form 10-Q.</w:t>
      </w:r>
    </w:p>
    <w:p>
      <w:pPr>
        <w:spacing w:after="0" w:line="2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Furnished with this Form 10-Q.</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 Compensatory plan or arrangement.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28916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jc w:val="center"/>
        <w:ind w:right="-239"/>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 and in his capacity as Chief Accounting Officer.</w:t>
      </w:r>
    </w:p>
    <w:p>
      <w:pPr>
        <w:spacing w:after="0" w:line="197"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Schlumberger Limited</w:t>
      </w:r>
    </w:p>
    <w:p>
      <w:pPr>
        <w:spacing w:after="0" w:line="23"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(Registrant)</w:t>
      </w:r>
    </w:p>
    <w:p>
      <w:pPr>
        <w:spacing w:after="0" w:line="210" w:lineRule="exact"/>
        <w:rPr>
          <w:sz w:val="20"/>
          <w:szCs w:val="20"/>
          <w:color w:val="auto"/>
        </w:rPr>
      </w:pPr>
    </w:p>
    <w:p>
      <w:pPr>
        <w:spacing w:after="0"/>
        <w:tabs>
          <w:tab w:leader="none" w:pos="780" w:val="left"/>
          <w:tab w:leader="none" w:pos="676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July 27, 2016</w:t>
      </w:r>
      <w:r>
        <w:rPr>
          <w:sz w:val="20"/>
          <w:szCs w:val="20"/>
          <w:color w:val="auto"/>
        </w:rPr>
        <w:tab/>
      </w:r>
      <w:r>
        <w:rPr>
          <w:rFonts w:ascii="Arial" w:cs="Arial" w:eastAsia="Arial" w:hAnsi="Arial"/>
          <w:sz w:val="16"/>
          <w:szCs w:val="16"/>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4305300</wp:posOffset>
            </wp:positionH>
            <wp:positionV relativeFrom="paragraph">
              <wp:posOffset>14605</wp:posOffset>
            </wp:positionV>
            <wp:extent cx="291211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912110" cy="8255"/>
                    </a:xfrm>
                    <a:prstGeom prst="rect">
                      <a:avLst/>
                    </a:prstGeom>
                    <a:noFill/>
                  </pic:spPr>
                </pic:pic>
              </a:graphicData>
            </a:graphic>
          </wp:anchor>
        </w:drawing>
      </w:r>
    </w:p>
    <w:p>
      <w:pPr>
        <w:spacing w:after="0" w:line="3"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Howard Guild</w:t>
      </w:r>
    </w:p>
    <w:p>
      <w:pPr>
        <w:spacing w:after="0" w:line="73" w:lineRule="exact"/>
        <w:rPr>
          <w:sz w:val="20"/>
          <w:szCs w:val="20"/>
          <w:color w:val="auto"/>
        </w:rPr>
      </w:pPr>
    </w:p>
    <w:p>
      <w:pPr>
        <w:ind w:left="6780"/>
        <w:spacing w:after="0"/>
        <w:rPr>
          <w:sz w:val="20"/>
          <w:szCs w:val="20"/>
          <w:color w:val="auto"/>
        </w:rPr>
      </w:pPr>
      <w:r>
        <w:rPr>
          <w:rFonts w:ascii="Arial" w:cs="Arial" w:eastAsia="Arial" w:hAnsi="Arial"/>
          <w:sz w:val="14"/>
          <w:szCs w:val="14"/>
          <w:b w:val="1"/>
          <w:bCs w:val="1"/>
          <w:color w:val="auto"/>
        </w:rPr>
        <w:t>Chief Accounting Officer and Duly Authorized Signatory</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240" w:top="125" w:right="45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u w:val="single" w:color="auto"/>
          <w:color w:val="auto"/>
        </w:rPr>
        <w:t>Exhibit 10.1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EMPLOYMENT AGREEMENT</w:t>
      </w:r>
    </w:p>
    <w:p>
      <w:pPr>
        <w:spacing w:after="0" w:line="200" w:lineRule="exact"/>
        <w:rPr>
          <w:sz w:val="20"/>
          <w:szCs w:val="20"/>
          <w:color w:val="auto"/>
        </w:rPr>
      </w:pPr>
    </w:p>
    <w:p>
      <w:pPr>
        <w:spacing w:after="0" w:line="254" w:lineRule="exact"/>
        <w:rPr>
          <w:sz w:val="20"/>
          <w:szCs w:val="20"/>
          <w:color w:val="auto"/>
        </w:rPr>
      </w:pPr>
    </w:p>
    <w:p>
      <w:pPr>
        <w:ind w:firstLine="761"/>
        <w:spacing w:after="0" w:line="250" w:lineRule="auto"/>
        <w:rPr>
          <w:sz w:val="20"/>
          <w:szCs w:val="20"/>
          <w:color w:val="auto"/>
        </w:rPr>
      </w:pPr>
      <w:r>
        <w:rPr>
          <w:rFonts w:ascii="Arial" w:cs="Arial" w:eastAsia="Arial" w:hAnsi="Arial"/>
          <w:sz w:val="22"/>
          <w:szCs w:val="22"/>
          <w:color w:val="auto"/>
        </w:rPr>
        <w:t>THIS EMPLOYMENT AGREEMENT (“Agreement”) is effective as of June 1</w:t>
      </w:r>
      <w:r>
        <w:rPr>
          <w:rFonts w:ascii="Arial" w:cs="Arial" w:eastAsia="Arial" w:hAnsi="Arial"/>
          <w:sz w:val="18"/>
          <w:szCs w:val="18"/>
          <w:color w:val="auto"/>
        </w:rPr>
        <w:t>st</w:t>
      </w:r>
      <w:r>
        <w:rPr>
          <w:rFonts w:ascii="Arial" w:cs="Arial" w:eastAsia="Arial" w:hAnsi="Arial"/>
          <w:sz w:val="22"/>
          <w:szCs w:val="22"/>
          <w:color w:val="auto"/>
        </w:rPr>
        <w:t xml:space="preserve">, 2016, by and between </w:t>
      </w:r>
      <w:r>
        <w:rPr>
          <w:rFonts w:ascii="Arial" w:cs="Arial" w:eastAsia="Arial" w:hAnsi="Arial"/>
          <w:sz w:val="22"/>
          <w:szCs w:val="22"/>
          <w:b w:val="1"/>
          <w:bCs w:val="1"/>
          <w:color w:val="auto"/>
        </w:rPr>
        <w:t>SCHLUMBERGER LIMITED</w:t>
      </w:r>
      <w:r>
        <w:rPr>
          <w:rFonts w:ascii="Arial" w:cs="Arial" w:eastAsia="Arial" w:hAnsi="Arial"/>
          <w:sz w:val="22"/>
          <w:szCs w:val="22"/>
          <w:color w:val="auto"/>
        </w:rPr>
        <w:t>, a Curaçao corporation (the “Company”), and Sherif Foda (“Executive”).</w:t>
      </w:r>
    </w:p>
    <w:p>
      <w:pPr>
        <w:spacing w:after="0" w:line="188" w:lineRule="exact"/>
        <w:rPr>
          <w:sz w:val="20"/>
          <w:szCs w:val="20"/>
          <w:color w:val="auto"/>
        </w:rPr>
      </w:pPr>
    </w:p>
    <w:p>
      <w:pPr>
        <w:jc w:val="both"/>
        <w:ind w:right="20" w:firstLine="769"/>
        <w:spacing w:after="0" w:line="287" w:lineRule="auto"/>
        <w:tabs>
          <w:tab w:leader="none" w:pos="1570" w:val="left"/>
        </w:tabs>
        <w:numPr>
          <w:ilvl w:val="0"/>
          <w:numId w:val="33"/>
        </w:numPr>
        <w:rPr>
          <w:rFonts w:ascii="Arial" w:cs="Arial" w:eastAsia="Arial" w:hAnsi="Arial"/>
          <w:sz w:val="19"/>
          <w:szCs w:val="19"/>
          <w:color w:val="auto"/>
        </w:rPr>
      </w:pPr>
      <w:r>
        <w:rPr>
          <w:rFonts w:ascii="Arial" w:cs="Arial" w:eastAsia="Arial" w:hAnsi="Arial"/>
          <w:sz w:val="19"/>
          <w:szCs w:val="19"/>
          <w:u w:val="single" w:color="auto"/>
          <w:color w:val="auto"/>
        </w:rPr>
        <w:t>Employment of Executive</w:t>
      </w:r>
      <w:r>
        <w:rPr>
          <w:rFonts w:ascii="Arial" w:cs="Arial" w:eastAsia="Arial" w:hAnsi="Arial"/>
          <w:sz w:val="19"/>
          <w:szCs w:val="19"/>
          <w:color w:val="auto"/>
        </w:rPr>
        <w:t>: In consideration of the mutual covenants and agreements herein contained, including Executive’s execution of a release of claims as provided in as Exhibit A to this Agreement within 21 days of the Effective Date, the Company and Executive enter into an agreement retaining Executive’s services as described herein, establishing certain incentive, tenure and performance criteria related to such employment and otherwise fixing Executive’s benefits.</w:t>
      </w:r>
    </w:p>
    <w:p>
      <w:pPr>
        <w:spacing w:after="0" w:line="155" w:lineRule="exact"/>
        <w:rPr>
          <w:rFonts w:ascii="Arial" w:cs="Arial" w:eastAsia="Arial" w:hAnsi="Arial"/>
          <w:sz w:val="19"/>
          <w:szCs w:val="19"/>
          <w:color w:val="auto"/>
        </w:rPr>
      </w:pPr>
    </w:p>
    <w:p>
      <w:pPr>
        <w:jc w:val="both"/>
        <w:ind w:firstLine="769"/>
        <w:spacing w:after="0" w:line="245" w:lineRule="auto"/>
        <w:tabs>
          <w:tab w:leader="none" w:pos="1570" w:val="left"/>
        </w:tabs>
        <w:numPr>
          <w:ilvl w:val="0"/>
          <w:numId w:val="33"/>
        </w:numPr>
        <w:rPr>
          <w:rFonts w:ascii="Arial" w:cs="Arial" w:eastAsia="Arial" w:hAnsi="Arial"/>
          <w:sz w:val="21"/>
          <w:szCs w:val="21"/>
          <w:color w:val="auto"/>
        </w:rPr>
      </w:pPr>
      <w:r>
        <w:rPr>
          <w:rFonts w:ascii="Arial" w:cs="Arial" w:eastAsia="Arial" w:hAnsi="Arial"/>
          <w:sz w:val="21"/>
          <w:szCs w:val="21"/>
          <w:u w:val="single" w:color="auto"/>
          <w:color w:val="auto"/>
        </w:rPr>
        <w:t>Term and Extent of Services</w:t>
      </w:r>
      <w:r>
        <w:rPr>
          <w:rFonts w:ascii="Arial" w:cs="Arial" w:eastAsia="Arial" w:hAnsi="Arial"/>
          <w:sz w:val="21"/>
          <w:szCs w:val="21"/>
          <w:color w:val="auto"/>
        </w:rPr>
        <w:t>: The term shall commence the 1st of June, 2016 (the “Effective Date”) and shall continue until the close of business on the 28th of February, 2019 (the “Term”). This Agreement does not constitute a guarantee of continued employment but instead provides for certain rights and benefits for the Executive during his employment, and in the event his employment with the Company terminates under the circumstances described herein. Effective the 31st of May, 2016, Executive resigns from his position as President Production Group of the Company and will remain employed by the Company during the Term, unless otherwise terminated under Section 4. During the Term, the Executive shall be employed as a Senior Advisor reporting to the Chief Executive Officer. At the expiration of the Term, Executive’s employment with the Company and all of its Affiliates (as defined below) shall terminate. An option of continuing on Leave of Absence status for a further 2 years will be available to the Executive.</w:t>
      </w:r>
    </w:p>
    <w:p>
      <w:pPr>
        <w:spacing w:after="0" w:line="196" w:lineRule="exact"/>
        <w:rPr>
          <w:sz w:val="20"/>
          <w:szCs w:val="20"/>
          <w:color w:val="auto"/>
        </w:rPr>
      </w:pPr>
    </w:p>
    <w:p>
      <w:pPr>
        <w:spacing w:after="0" w:line="276" w:lineRule="auto"/>
        <w:rPr>
          <w:sz w:val="20"/>
          <w:szCs w:val="20"/>
          <w:color w:val="auto"/>
        </w:rPr>
      </w:pPr>
      <w:r>
        <w:rPr>
          <w:rFonts w:ascii="Arial" w:cs="Arial" w:eastAsia="Arial" w:hAnsi="Arial"/>
          <w:sz w:val="19"/>
          <w:szCs w:val="19"/>
          <w:color w:val="auto"/>
        </w:rPr>
        <w:t>Nothing herein shall prohibit Executive, during the Term, from being engaged as a consultant or employee to organizations and businesses or to be appointed to their board of directors except those specifically identified as Unauthorized Competitors in Section</w:t>
      </w:r>
    </w:p>
    <w:p>
      <w:pPr>
        <w:spacing w:after="0" w:line="1" w:lineRule="exact"/>
        <w:rPr>
          <w:sz w:val="20"/>
          <w:szCs w:val="20"/>
          <w:color w:val="auto"/>
        </w:rPr>
      </w:pPr>
    </w:p>
    <w:p>
      <w:pPr>
        <w:ind w:right="20" w:firstLine="8"/>
        <w:spacing w:after="0" w:line="256" w:lineRule="auto"/>
        <w:tabs>
          <w:tab w:leader="none" w:pos="276" w:val="left"/>
        </w:tabs>
        <w:numPr>
          <w:ilvl w:val="0"/>
          <w:numId w:val="34"/>
        </w:numPr>
        <w:rPr>
          <w:rFonts w:ascii="Arial" w:cs="Arial" w:eastAsia="Arial" w:hAnsi="Arial"/>
          <w:sz w:val="21"/>
          <w:szCs w:val="21"/>
          <w:color w:val="auto"/>
        </w:rPr>
      </w:pPr>
      <w:r>
        <w:rPr>
          <w:rFonts w:ascii="Arial" w:cs="Arial" w:eastAsia="Arial" w:hAnsi="Arial"/>
          <w:sz w:val="21"/>
          <w:szCs w:val="21"/>
          <w:color w:val="auto"/>
        </w:rPr>
        <w:t>Executive agrees to inform the Chief Executive Officer before accepting employment with an oil and gas related company. For the avoidance of doubt, “oil and gas related company” expressly excludes any Unauthorized Competitor.</w:t>
      </w:r>
    </w:p>
    <w:p>
      <w:pPr>
        <w:spacing w:after="0" w:line="182"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In the event of a move from the United States, during the Term, this Agreement will be transferred to the relevant Schlumberger entity for the remaining portion of the Term. Company agrees to sponsor the visa if required in Dubai.</w:t>
      </w:r>
    </w:p>
    <w:p>
      <w:pPr>
        <w:spacing w:after="0" w:line="201" w:lineRule="exact"/>
        <w:rPr>
          <w:sz w:val="20"/>
          <w:szCs w:val="20"/>
          <w:color w:val="auto"/>
        </w:rPr>
      </w:pPr>
    </w:p>
    <w:p>
      <w:pPr>
        <w:ind w:left="1580" w:hanging="811"/>
        <w:spacing w:after="0"/>
        <w:tabs>
          <w:tab w:leader="none" w:pos="15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Noncompetition Payments and Benefits</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2280" w:hanging="761"/>
        <w:spacing w:after="0" w:line="237" w:lineRule="auto"/>
        <w:tabs>
          <w:tab w:leader="none" w:pos="228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Payments</w:t>
      </w:r>
      <w:r>
        <w:rPr>
          <w:rFonts w:ascii="Arial" w:cs="Arial" w:eastAsia="Arial" w:hAnsi="Arial"/>
          <w:sz w:val="22"/>
          <w:szCs w:val="22"/>
          <w:color w:val="auto"/>
        </w:rPr>
        <w:t>: In consideration for the Executive’s services as described herein, and in exchange for his agreement to the covenants as set forth in Section 5, Executive shall receive an amount equal to $1,540,000 payable in 24 equal monthly installments over the course of the Term, the first installment payment of which is referred to as the “Release Payment.”</w:t>
      </w:r>
    </w:p>
    <w:p>
      <w:pPr>
        <w:spacing w:after="0" w:line="201" w:lineRule="exact"/>
        <w:rPr>
          <w:rFonts w:ascii="Arial" w:cs="Arial" w:eastAsia="Arial" w:hAnsi="Arial"/>
          <w:sz w:val="22"/>
          <w:szCs w:val="22"/>
          <w:color w:val="auto"/>
        </w:rPr>
      </w:pPr>
    </w:p>
    <w:p>
      <w:pPr>
        <w:ind w:left="2280" w:hanging="761"/>
        <w:spacing w:after="0"/>
        <w:tabs>
          <w:tab w:leader="none" w:pos="2280" w:val="left"/>
        </w:tabs>
        <w:numPr>
          <w:ilvl w:val="1"/>
          <w:numId w:val="35"/>
        </w:numPr>
        <w:rPr>
          <w:rFonts w:ascii="Arial" w:cs="Arial" w:eastAsia="Arial" w:hAnsi="Arial"/>
          <w:sz w:val="22"/>
          <w:szCs w:val="22"/>
          <w:color w:val="auto"/>
        </w:rPr>
      </w:pPr>
      <w:r>
        <w:rPr>
          <w:rFonts w:ascii="Arial" w:cs="Arial" w:eastAsia="Arial" w:hAnsi="Arial"/>
          <w:sz w:val="22"/>
          <w:szCs w:val="22"/>
          <w:u w:val="single" w:color="auto"/>
          <w:color w:val="auto"/>
        </w:rPr>
        <w:t>Incentive Plans</w:t>
      </w:r>
      <w:r>
        <w:rPr>
          <w:rFonts w:ascii="Arial" w:cs="Arial" w:eastAsia="Arial" w:hAnsi="Arial"/>
          <w:sz w:val="22"/>
          <w:szCs w:val="22"/>
          <w:color w:val="auto"/>
        </w:rPr>
        <w:t>:</w:t>
      </w:r>
    </w:p>
    <w:p>
      <w:pPr>
        <w:spacing w:after="0" w:line="124" w:lineRule="exact"/>
        <w:rPr>
          <w:rFonts w:ascii="Arial" w:cs="Arial" w:eastAsia="Arial" w:hAnsi="Arial"/>
          <w:sz w:val="22"/>
          <w:szCs w:val="22"/>
          <w:color w:val="auto"/>
        </w:rPr>
      </w:pPr>
    </w:p>
    <w:p>
      <w:pPr>
        <w:ind w:left="2660" w:right="20" w:hanging="183"/>
        <w:spacing w:after="0" w:line="238" w:lineRule="auto"/>
        <w:tabs>
          <w:tab w:leader="none" w:pos="2660" w:val="left"/>
        </w:tabs>
        <w:numPr>
          <w:ilvl w:val="2"/>
          <w:numId w:val="35"/>
        </w:numPr>
        <w:rPr>
          <w:rFonts w:ascii="Arial" w:cs="Arial" w:eastAsia="Arial" w:hAnsi="Arial"/>
          <w:sz w:val="22"/>
          <w:szCs w:val="22"/>
          <w:color w:val="auto"/>
        </w:rPr>
      </w:pPr>
      <w:r>
        <w:rPr>
          <w:rFonts w:ascii="Arial" w:cs="Arial" w:eastAsia="Arial" w:hAnsi="Arial"/>
          <w:sz w:val="22"/>
          <w:szCs w:val="22"/>
          <w:color w:val="auto"/>
        </w:rPr>
        <w:t>During the Term, or if Executive’s employment is terminated sooner pursuant to Section 4, until such termination, Executive will</w:t>
      </w:r>
    </w:p>
    <w:p>
      <w:pPr>
        <w:spacing w:after="0" w:line="1" w:lineRule="exact"/>
        <w:rPr>
          <w:rFonts w:ascii="Arial" w:cs="Arial" w:eastAsia="Arial" w:hAnsi="Arial"/>
          <w:sz w:val="22"/>
          <w:szCs w:val="22"/>
          <w:color w:val="auto"/>
        </w:rPr>
      </w:pPr>
    </w:p>
    <w:p>
      <w:pPr>
        <w:jc w:val="both"/>
        <w:ind w:left="3420" w:hanging="377"/>
        <w:spacing w:after="0" w:line="234" w:lineRule="auto"/>
        <w:tabs>
          <w:tab w:leader="none" w:pos="3420" w:val="left"/>
        </w:tabs>
        <w:numPr>
          <w:ilvl w:val="3"/>
          <w:numId w:val="35"/>
        </w:numPr>
        <w:rPr>
          <w:rFonts w:ascii="Arial" w:cs="Arial" w:eastAsia="Arial" w:hAnsi="Arial"/>
          <w:sz w:val="22"/>
          <w:szCs w:val="22"/>
          <w:color w:val="auto"/>
        </w:rPr>
      </w:pPr>
      <w:r>
        <w:rPr>
          <w:rFonts w:ascii="Arial" w:cs="Arial" w:eastAsia="Arial" w:hAnsi="Arial"/>
          <w:sz w:val="22"/>
          <w:szCs w:val="22"/>
          <w:color w:val="auto"/>
        </w:rPr>
        <w:t>receive an incentive payment of $770,000 on the first payroll of February 2017 and a second and final incentive payment of $770,000 on the first payroll of February 2018 with an option pending mutual agreement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333375</wp:posOffset>
            </wp:positionV>
            <wp:extent cx="728916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2" w:name="page33"/>
    <w:bookmarkEnd w:id="32"/>
    <w:p>
      <w:pPr>
        <w:ind w:left="3420"/>
        <w:spacing w:after="0" w:line="238" w:lineRule="auto"/>
        <w:rPr>
          <w:sz w:val="20"/>
          <w:szCs w:val="20"/>
          <w:color w:val="auto"/>
        </w:rPr>
      </w:pPr>
      <w:r>
        <w:rPr>
          <w:rFonts w:ascii="Arial" w:cs="Arial" w:eastAsia="Arial" w:hAnsi="Arial"/>
          <w:sz w:val="22"/>
          <w:szCs w:val="22"/>
          <w:color w:val="auto"/>
        </w:rPr>
        <w:t>Executive and Company of receiving the second incentive payment as well on the payroll of February 2017.</w:t>
      </w:r>
    </w:p>
    <w:p>
      <w:pPr>
        <w:spacing w:after="0" w:line="2" w:lineRule="exact"/>
        <w:rPr>
          <w:sz w:val="20"/>
          <w:szCs w:val="20"/>
          <w:color w:val="auto"/>
        </w:rPr>
      </w:pPr>
    </w:p>
    <w:p>
      <w:pPr>
        <w:ind w:left="3420" w:hanging="377"/>
        <w:spacing w:after="0" w:line="230" w:lineRule="auto"/>
        <w:tabs>
          <w:tab w:leader="none" w:pos="3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continue to vest in stock options in accordance with the terms of those plans and any applicable agreement.</w:t>
      </w:r>
    </w:p>
    <w:p>
      <w:pPr>
        <w:ind w:left="3420" w:hanging="377"/>
        <w:spacing w:after="0" w:line="230" w:lineRule="auto"/>
        <w:tabs>
          <w:tab w:leader="none" w:pos="3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have his 2014 PSU grant canceled. Executive will receive time-based RSUs covering 12,667 shares that will vest on January 16, 2017.</w:t>
      </w:r>
    </w:p>
    <w:p>
      <w:pPr>
        <w:ind w:left="3420" w:hanging="377"/>
        <w:spacing w:after="0" w:line="230" w:lineRule="auto"/>
        <w:tabs>
          <w:tab w:leader="none" w:pos="3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have his 2015 PSU grant canceled. Executive will receive time-based RSUs covering 7,467 shares that will vest on January 15, 2018.</w:t>
      </w:r>
    </w:p>
    <w:p>
      <w:pPr>
        <w:ind w:left="3420" w:hanging="377"/>
        <w:spacing w:after="0"/>
        <w:tabs>
          <w:tab w:leader="none" w:pos="3420" w:val="left"/>
        </w:tabs>
        <w:numPr>
          <w:ilvl w:val="0"/>
          <w:numId w:val="36"/>
        </w:numPr>
        <w:rPr>
          <w:rFonts w:ascii="Arial" w:cs="Arial" w:eastAsia="Arial" w:hAnsi="Arial"/>
          <w:sz w:val="22"/>
          <w:szCs w:val="22"/>
          <w:color w:val="auto"/>
        </w:rPr>
      </w:pPr>
      <w:r>
        <w:rPr>
          <w:rFonts w:ascii="Arial" w:cs="Arial" w:eastAsia="Arial" w:hAnsi="Arial"/>
          <w:sz w:val="22"/>
          <w:szCs w:val="22"/>
          <w:color w:val="auto"/>
        </w:rPr>
        <w:t>2016 PSU Plan will be as plan rules.</w:t>
      </w:r>
    </w:p>
    <w:p>
      <w:pPr>
        <w:spacing w:after="0" w:line="201" w:lineRule="exact"/>
        <w:rPr>
          <w:sz w:val="20"/>
          <w:szCs w:val="20"/>
          <w:color w:val="auto"/>
        </w:rPr>
      </w:pPr>
    </w:p>
    <w:p>
      <w:pPr>
        <w:jc w:val="both"/>
        <w:ind w:left="2660" w:hanging="188"/>
        <w:spacing w:after="0" w:line="237" w:lineRule="auto"/>
        <w:rPr>
          <w:sz w:val="20"/>
          <w:szCs w:val="20"/>
          <w:color w:val="auto"/>
        </w:rPr>
      </w:pPr>
      <w:r>
        <w:rPr>
          <w:rFonts w:ascii="Arial" w:cs="Arial" w:eastAsia="Arial" w:hAnsi="Arial"/>
          <w:sz w:val="22"/>
          <w:szCs w:val="22"/>
          <w:color w:val="auto"/>
        </w:rPr>
        <w:t>ii.Upon termination of employment, except for a termination for Cause pursuant to Section 4 (c) or upon Executive’s employment with an Unauthorized Competitor identified in Section 5 (c) (i), Executive shall have the period to exercise stock options as per the plan rules, to the extent that such options were exercisable as of the date of such termination.</w:t>
      </w:r>
    </w:p>
    <w:p>
      <w:pPr>
        <w:spacing w:after="0" w:line="201" w:lineRule="exact"/>
        <w:rPr>
          <w:sz w:val="20"/>
          <w:szCs w:val="20"/>
          <w:color w:val="auto"/>
        </w:rPr>
      </w:pPr>
    </w:p>
    <w:p>
      <w:pPr>
        <w:jc w:val="both"/>
        <w:ind w:left="2280" w:hanging="761"/>
        <w:spacing w:after="0" w:line="247" w:lineRule="auto"/>
        <w:tabs>
          <w:tab w:leader="none" w:pos="2280" w:val="left"/>
        </w:tabs>
        <w:numPr>
          <w:ilvl w:val="1"/>
          <w:numId w:val="37"/>
        </w:numPr>
        <w:rPr>
          <w:rFonts w:ascii="Arial" w:cs="Arial" w:eastAsia="Arial" w:hAnsi="Arial"/>
          <w:sz w:val="21"/>
          <w:szCs w:val="21"/>
          <w:color w:val="auto"/>
        </w:rPr>
      </w:pPr>
      <w:r>
        <w:rPr>
          <w:rFonts w:ascii="Arial" w:cs="Arial" w:eastAsia="Arial" w:hAnsi="Arial"/>
          <w:sz w:val="21"/>
          <w:szCs w:val="21"/>
          <w:u w:val="single" w:color="auto"/>
          <w:color w:val="auto"/>
        </w:rPr>
        <w:t>Pension and Profit Sharing</w:t>
      </w:r>
      <w:r>
        <w:rPr>
          <w:rFonts w:ascii="Arial" w:cs="Arial" w:eastAsia="Arial" w:hAnsi="Arial"/>
          <w:sz w:val="21"/>
          <w:szCs w:val="21"/>
          <w:color w:val="auto"/>
        </w:rPr>
        <w:t>: During the Term, Executive will continue to accrue additional benefits under the Company’s qualified and non-qualified pension and profit sharing plans. Payments under the Company’s non-qualified pension and profit sharing plans will be made in accordance with the terms of the relevant plan upon separation from service with the Company. In the event of a move to Dubai, Executive will be placed on the International Staff Payroll and will be eligible to participate in the International Staff Pension and Profit Sharing Plans.</w:t>
      </w:r>
    </w:p>
    <w:p>
      <w:pPr>
        <w:spacing w:after="0" w:line="195" w:lineRule="exact"/>
        <w:rPr>
          <w:rFonts w:ascii="Arial" w:cs="Arial" w:eastAsia="Arial" w:hAnsi="Arial"/>
          <w:sz w:val="21"/>
          <w:szCs w:val="21"/>
          <w:color w:val="auto"/>
        </w:rPr>
      </w:pPr>
    </w:p>
    <w:p>
      <w:pPr>
        <w:jc w:val="both"/>
        <w:ind w:left="2280" w:hanging="761"/>
        <w:spacing w:after="0" w:line="287" w:lineRule="auto"/>
        <w:tabs>
          <w:tab w:leader="none" w:pos="2280"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Welfare Benefits</w:t>
      </w:r>
      <w:r>
        <w:rPr>
          <w:rFonts w:ascii="Arial" w:cs="Arial" w:eastAsia="Arial" w:hAnsi="Arial"/>
          <w:sz w:val="19"/>
          <w:szCs w:val="19"/>
          <w:color w:val="auto"/>
        </w:rPr>
        <w:t>: During the Term, Executive shall be eligible to participate in the Company’s group health plans only (medical and dental) on a basis comparable to that of other U.S. employees. Executive will not participate in any other welfare programs of the Company or any affiliate. In the event of a transfer to Dubai, Executive will participate in the International Health Care Plan for IMs.</w:t>
      </w:r>
    </w:p>
    <w:p>
      <w:pPr>
        <w:spacing w:after="0" w:line="155" w:lineRule="exact"/>
        <w:rPr>
          <w:rFonts w:ascii="Arial" w:cs="Arial" w:eastAsia="Arial" w:hAnsi="Arial"/>
          <w:sz w:val="19"/>
          <w:szCs w:val="19"/>
          <w:color w:val="auto"/>
        </w:rPr>
      </w:pPr>
    </w:p>
    <w:p>
      <w:pPr>
        <w:jc w:val="both"/>
        <w:ind w:left="2280" w:hanging="761"/>
        <w:spacing w:after="0"/>
        <w:tabs>
          <w:tab w:leader="none" w:pos="2280" w:val="left"/>
        </w:tabs>
        <w:numPr>
          <w:ilvl w:val="1"/>
          <w:numId w:val="37"/>
        </w:numPr>
        <w:rPr>
          <w:rFonts w:ascii="Arial" w:cs="Arial" w:eastAsia="Arial" w:hAnsi="Arial"/>
          <w:sz w:val="22"/>
          <w:szCs w:val="22"/>
          <w:color w:val="auto"/>
        </w:rPr>
      </w:pPr>
      <w:r>
        <w:rPr>
          <w:rFonts w:ascii="Arial" w:cs="Arial" w:eastAsia="Arial" w:hAnsi="Arial"/>
          <w:sz w:val="22"/>
          <w:szCs w:val="22"/>
          <w:u w:val="single" w:color="auto"/>
          <w:color w:val="auto"/>
        </w:rPr>
        <w:t>Vacation</w:t>
      </w:r>
      <w:r>
        <w:rPr>
          <w:rFonts w:ascii="Arial" w:cs="Arial" w:eastAsia="Arial" w:hAnsi="Arial"/>
          <w:sz w:val="22"/>
          <w:szCs w:val="22"/>
          <w:color w:val="auto"/>
        </w:rPr>
        <w:t>: Executive shall be paid a cash amount representing his accrued and unused vacation accumulated as of the 31st of May 2016. During the Term, Executive shall not be eligible to accrue vacation pay.</w:t>
      </w:r>
    </w:p>
    <w:p>
      <w:pPr>
        <w:spacing w:after="0" w:line="198" w:lineRule="exact"/>
        <w:rPr>
          <w:rFonts w:ascii="Arial" w:cs="Arial" w:eastAsia="Arial" w:hAnsi="Arial"/>
          <w:sz w:val="22"/>
          <w:szCs w:val="22"/>
          <w:color w:val="auto"/>
        </w:rPr>
      </w:pPr>
    </w:p>
    <w:p>
      <w:pPr>
        <w:jc w:val="both"/>
        <w:ind w:left="2280" w:hanging="761"/>
        <w:spacing w:after="0" w:line="282" w:lineRule="auto"/>
        <w:tabs>
          <w:tab w:leader="none" w:pos="2280" w:val="left"/>
        </w:tabs>
        <w:numPr>
          <w:ilvl w:val="1"/>
          <w:numId w:val="37"/>
        </w:numPr>
        <w:rPr>
          <w:rFonts w:ascii="Arial" w:cs="Arial" w:eastAsia="Arial" w:hAnsi="Arial"/>
          <w:sz w:val="19"/>
          <w:szCs w:val="19"/>
          <w:color w:val="auto"/>
        </w:rPr>
      </w:pPr>
      <w:r>
        <w:rPr>
          <w:rFonts w:ascii="Arial" w:cs="Arial" w:eastAsia="Arial" w:hAnsi="Arial"/>
          <w:sz w:val="19"/>
          <w:szCs w:val="19"/>
          <w:u w:val="single" w:color="auto"/>
          <w:color w:val="auto"/>
        </w:rPr>
        <w:t>Expense Reimbursement:</w:t>
      </w:r>
      <w:r>
        <w:rPr>
          <w:rFonts w:ascii="Arial" w:cs="Arial" w:eastAsia="Arial" w:hAnsi="Arial"/>
          <w:sz w:val="19"/>
          <w:szCs w:val="19"/>
          <w:color w:val="auto"/>
        </w:rPr>
        <w:t xml:space="preserve"> Executive shall be reimbursed for reasonable business expenses incurred in the normal course of performing his duties following delivery of supporting documentation therefor. Executive shall submit all invoices for such incurred costs to the Company no later than 30 days prior to the end of the taxable year following the taxable year in which they were incurred. The Company shall reimburse Executive for any undisputed costs within 14 days of receipt of such invoices.</w:t>
      </w:r>
    </w:p>
    <w:p>
      <w:pPr>
        <w:spacing w:after="0" w:line="159" w:lineRule="exact"/>
        <w:rPr>
          <w:rFonts w:ascii="Arial" w:cs="Arial" w:eastAsia="Arial" w:hAnsi="Arial"/>
          <w:sz w:val="19"/>
          <w:szCs w:val="19"/>
          <w:color w:val="auto"/>
        </w:rPr>
      </w:pPr>
    </w:p>
    <w:p>
      <w:pPr>
        <w:ind w:firstLine="769"/>
        <w:spacing w:after="0" w:line="250" w:lineRule="auto"/>
        <w:tabs>
          <w:tab w:leader="none" w:pos="157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 Should Executive’s employment terminate prior to the end of the Term, the following provisions of this Section 4 shall govern the rights of Executive under this Agreement:</w:t>
      </w:r>
    </w:p>
    <w:p>
      <w:pPr>
        <w:spacing w:after="0" w:line="187" w:lineRule="exact"/>
        <w:rPr>
          <w:rFonts w:ascii="Arial" w:cs="Arial" w:eastAsia="Arial" w:hAnsi="Arial"/>
          <w:sz w:val="22"/>
          <w:szCs w:val="22"/>
          <w:color w:val="auto"/>
        </w:rPr>
      </w:pPr>
    </w:p>
    <w:p>
      <w:pPr>
        <w:jc w:val="both"/>
        <w:ind w:left="2280" w:hanging="761"/>
        <w:spacing w:after="0" w:line="237" w:lineRule="auto"/>
        <w:tabs>
          <w:tab w:leader="none" w:pos="2280" w:val="left"/>
        </w:tabs>
        <w:numPr>
          <w:ilvl w:val="1"/>
          <w:numId w:val="38"/>
        </w:numPr>
        <w:rPr>
          <w:rFonts w:ascii="Arial" w:cs="Arial" w:eastAsia="Arial" w:hAnsi="Arial"/>
          <w:sz w:val="22"/>
          <w:szCs w:val="22"/>
          <w:color w:val="auto"/>
        </w:rPr>
      </w:pPr>
      <w:r>
        <w:rPr>
          <w:rFonts w:ascii="Arial" w:cs="Arial" w:eastAsia="Arial" w:hAnsi="Arial"/>
          <w:sz w:val="22"/>
          <w:szCs w:val="22"/>
          <w:u w:val="single" w:color="auto"/>
          <w:color w:val="auto"/>
        </w:rPr>
        <w:t>Termination Due to Death</w:t>
      </w:r>
      <w:r>
        <w:rPr>
          <w:rFonts w:ascii="Arial" w:cs="Arial" w:eastAsia="Arial" w:hAnsi="Arial"/>
          <w:sz w:val="22"/>
          <w:szCs w:val="22"/>
          <w:color w:val="auto"/>
        </w:rPr>
        <w:t>: In the event Executive’s employment terminates during the Term as a result of Executive’s death, Executive’s beneficiary or beneficiaries shall receive any base salary and benefits accrued but unpaid as of his death, plus any amounts payable on account of Executive’s death pursuant to any other plan or program of the Company.</w:t>
      </w:r>
    </w:p>
    <w:p>
      <w:pPr>
        <w:spacing w:after="0" w:line="200" w:lineRule="exact"/>
        <w:rPr>
          <w:sz w:val="20"/>
          <w:szCs w:val="20"/>
          <w:color w:val="auto"/>
        </w:rPr>
      </w:pPr>
    </w:p>
    <w:p>
      <w:pPr>
        <w:spacing w:after="0" w:line="217"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3" w:name="page34"/>
    <w:bookmarkEnd w:id="33"/>
    <w:p>
      <w:pPr>
        <w:jc w:val="both"/>
        <w:ind w:left="1080" w:hanging="761"/>
        <w:spacing w:after="0" w:line="282" w:lineRule="auto"/>
        <w:tabs>
          <w:tab w:leader="none" w:pos="1080"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Termination Due to Disability</w:t>
      </w:r>
      <w:r>
        <w:rPr>
          <w:rFonts w:ascii="Arial" w:cs="Arial" w:eastAsia="Arial" w:hAnsi="Arial"/>
          <w:sz w:val="19"/>
          <w:szCs w:val="19"/>
          <w:color w:val="auto"/>
        </w:rPr>
        <w:t>: In the event Executive’s employment terminates during the Term due to his disability within the meaning of any long-term disability plan maintained by the Company and covering Executive as of the date of Executive’s disability, Executive shall receive any base salary and benefits accrued but unpaid as of the date of his termination due to disability, plus any amounts payable on account of Executive’s disability pursuant to any other plan or program of the Company.</w:t>
      </w:r>
    </w:p>
    <w:p>
      <w:pPr>
        <w:spacing w:after="0" w:line="159" w:lineRule="exact"/>
        <w:rPr>
          <w:rFonts w:ascii="Arial" w:cs="Arial" w:eastAsia="Arial" w:hAnsi="Arial"/>
          <w:sz w:val="19"/>
          <w:szCs w:val="19"/>
          <w:color w:val="auto"/>
        </w:rPr>
      </w:pPr>
    </w:p>
    <w:p>
      <w:pPr>
        <w:jc w:val="both"/>
        <w:ind w:left="1080" w:hanging="761"/>
        <w:spacing w:after="0" w:line="247" w:lineRule="auto"/>
        <w:tabs>
          <w:tab w:leader="none" w:pos="1080"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for Cause</w:t>
      </w:r>
      <w:r>
        <w:rPr>
          <w:rFonts w:ascii="Arial" w:cs="Arial" w:eastAsia="Arial" w:hAnsi="Arial"/>
          <w:sz w:val="21"/>
          <w:szCs w:val="21"/>
          <w:color w:val="auto"/>
        </w:rPr>
        <w:t>: In the event the Company terminates Executive’s employment during the Term for Cause, as defined below, he shall be entitled to any other amounts earned, accrued or owing as of the date of termination of employment under the applicable employee benefit plans or programs of the Company. For the avoidance of doubt, the Executive will be subject to any forfeiture or clawback provisions applicable to such termination under the terms of any plan or agreement maintained by the Company or any Affiliate.</w:t>
      </w:r>
    </w:p>
    <w:p>
      <w:pPr>
        <w:spacing w:after="0" w:line="195" w:lineRule="exact"/>
        <w:rPr>
          <w:sz w:val="20"/>
          <w:szCs w:val="20"/>
          <w:color w:val="auto"/>
        </w:rPr>
      </w:pPr>
    </w:p>
    <w:p>
      <w:pPr>
        <w:jc w:val="both"/>
        <w:ind w:left="320"/>
        <w:spacing w:after="0"/>
        <w:rPr>
          <w:sz w:val="20"/>
          <w:szCs w:val="20"/>
          <w:color w:val="auto"/>
        </w:rPr>
      </w:pPr>
      <w:r>
        <w:rPr>
          <w:rFonts w:ascii="Arial" w:cs="Arial" w:eastAsia="Arial" w:hAnsi="Arial"/>
          <w:sz w:val="22"/>
          <w:szCs w:val="22"/>
          <w:color w:val="auto"/>
        </w:rPr>
        <w:t>“Cause” means Executive’s dishonesty relating to his employment with the Company, conviction of a felony, willful unauthorized disclosure of confidential information of the Company, or breach of the Executive’s obligations in Section 5.</w:t>
      </w:r>
    </w:p>
    <w:p>
      <w:pPr>
        <w:spacing w:after="0" w:line="199" w:lineRule="exact"/>
        <w:rPr>
          <w:sz w:val="20"/>
          <w:szCs w:val="20"/>
          <w:color w:val="auto"/>
        </w:rPr>
      </w:pPr>
    </w:p>
    <w:p>
      <w:pPr>
        <w:jc w:val="both"/>
        <w:ind w:left="1080" w:hanging="761"/>
        <w:spacing w:after="0" w:line="247" w:lineRule="auto"/>
        <w:tabs>
          <w:tab w:leader="none" w:pos="1080" w:val="left"/>
        </w:tabs>
        <w:numPr>
          <w:ilvl w:val="0"/>
          <w:numId w:val="40"/>
        </w:numPr>
        <w:rPr>
          <w:rFonts w:ascii="Arial" w:cs="Arial" w:eastAsia="Arial" w:hAnsi="Arial"/>
          <w:sz w:val="21"/>
          <w:szCs w:val="21"/>
          <w:color w:val="auto"/>
        </w:rPr>
      </w:pPr>
      <w:r>
        <w:rPr>
          <w:rFonts w:ascii="Arial" w:cs="Arial" w:eastAsia="Arial" w:hAnsi="Arial"/>
          <w:sz w:val="21"/>
          <w:szCs w:val="21"/>
          <w:u w:val="single" w:color="auto"/>
          <w:color w:val="auto"/>
        </w:rPr>
        <w:t>Voluntary Termination and Termination Due to Mutual Agreement</w:t>
      </w:r>
      <w:r>
        <w:rPr>
          <w:rFonts w:ascii="Arial" w:cs="Arial" w:eastAsia="Arial" w:hAnsi="Arial"/>
          <w:sz w:val="21"/>
          <w:szCs w:val="21"/>
          <w:color w:val="auto"/>
        </w:rPr>
        <w:t>: Upon 15 days’ prior written notice to the Company (unless otherwise waived by the Company), Executive may voluntarily terminate his employment with the Company. A voluntary termination pursuant to this Section 4(d) shall not include a termination under Section 4 (a), 4 (b) or 4 (c) above, and shall not be deemed a breach of this Agreement by Executive (except if Executive accepts employment or other prohibited association with an Unauthorized Competitor during the Term of this Agreement).</w:t>
      </w:r>
    </w:p>
    <w:p>
      <w:pPr>
        <w:spacing w:after="0" w:line="195" w:lineRule="exact"/>
        <w:rPr>
          <w:rFonts w:ascii="Arial" w:cs="Arial" w:eastAsia="Arial" w:hAnsi="Arial"/>
          <w:sz w:val="21"/>
          <w:szCs w:val="21"/>
          <w:color w:val="auto"/>
        </w:rPr>
      </w:pPr>
    </w:p>
    <w:p>
      <w:pPr>
        <w:jc w:val="both"/>
        <w:ind w:left="1100"/>
        <w:spacing w:after="0" w:line="237" w:lineRule="auto"/>
        <w:rPr>
          <w:rFonts w:ascii="Arial" w:cs="Arial" w:eastAsia="Arial" w:hAnsi="Arial"/>
          <w:sz w:val="21"/>
          <w:szCs w:val="21"/>
          <w:color w:val="auto"/>
        </w:rPr>
      </w:pPr>
      <w:r>
        <w:rPr>
          <w:rFonts w:ascii="Arial" w:cs="Arial" w:eastAsia="Arial" w:hAnsi="Arial"/>
          <w:sz w:val="22"/>
          <w:szCs w:val="22"/>
          <w:color w:val="auto"/>
        </w:rPr>
        <w:t>Executive may work for another employer (excluding an Unauthorized Competitor) during the Term without terminating his employment relationship with the Company. In the event Executive voluntarily terminates his employment with the Company during the Term</w:t>
      </w:r>
      <w:r>
        <w:rPr>
          <w:rFonts w:ascii="Arial" w:cs="Arial" w:eastAsia="Arial" w:hAnsi="Arial"/>
          <w:sz w:val="22"/>
          <w:szCs w:val="22"/>
          <w:color w:val="333333"/>
        </w:rPr>
        <w:t>,</w:t>
      </w:r>
      <w:r>
        <w:rPr>
          <w:rFonts w:ascii="Arial" w:cs="Arial" w:eastAsia="Arial" w:hAnsi="Arial"/>
          <w:sz w:val="22"/>
          <w:szCs w:val="22"/>
          <w:color w:val="auto"/>
        </w:rPr>
        <w:t xml:space="preserve"> </w:t>
      </w:r>
      <w:r>
        <w:rPr>
          <w:rFonts w:ascii="Arial" w:cs="Arial" w:eastAsia="Arial" w:hAnsi="Arial"/>
          <w:sz w:val="22"/>
          <w:szCs w:val="22"/>
          <w:color w:val="191919"/>
        </w:rPr>
        <w:t>and</w:t>
      </w:r>
      <w:r>
        <w:rPr>
          <w:rFonts w:ascii="Arial" w:cs="Arial" w:eastAsia="Arial" w:hAnsi="Arial"/>
          <w:sz w:val="22"/>
          <w:szCs w:val="22"/>
          <w:color w:val="auto"/>
        </w:rPr>
        <w:t xml:space="preserve"> does not become employed by an Unauthorized Competitor he shall be entitled to:</w:t>
      </w:r>
    </w:p>
    <w:p>
      <w:pPr>
        <w:spacing w:after="0" w:line="201" w:lineRule="exact"/>
        <w:rPr>
          <w:rFonts w:ascii="Arial" w:cs="Arial" w:eastAsia="Arial" w:hAnsi="Arial"/>
          <w:sz w:val="21"/>
          <w:szCs w:val="21"/>
          <w:color w:val="auto"/>
        </w:rPr>
      </w:pPr>
    </w:p>
    <w:p>
      <w:pPr>
        <w:ind w:left="1460" w:right="20" w:hanging="183"/>
        <w:spacing w:after="0" w:line="250" w:lineRule="auto"/>
        <w:tabs>
          <w:tab w:leader="none" w:pos="1460" w:val="left"/>
        </w:tabs>
        <w:numPr>
          <w:ilvl w:val="1"/>
          <w:numId w:val="40"/>
        </w:numPr>
        <w:rPr>
          <w:rFonts w:ascii="Arial" w:cs="Arial" w:eastAsia="Arial" w:hAnsi="Arial"/>
          <w:sz w:val="22"/>
          <w:szCs w:val="22"/>
          <w:color w:val="auto"/>
        </w:rPr>
      </w:pPr>
      <w:r>
        <w:rPr>
          <w:rFonts w:ascii="Arial" w:cs="Arial" w:eastAsia="Arial" w:hAnsi="Arial"/>
          <w:sz w:val="22"/>
          <w:szCs w:val="22"/>
          <w:color w:val="auto"/>
        </w:rPr>
        <w:t>other benefits for which he is eligible in accordance with applicable plans or programs of the Company;</w:t>
      </w:r>
    </w:p>
    <w:p>
      <w:pPr>
        <w:spacing w:after="0" w:line="188" w:lineRule="exact"/>
        <w:rPr>
          <w:sz w:val="20"/>
          <w:szCs w:val="20"/>
          <w:color w:val="auto"/>
        </w:rPr>
      </w:pPr>
    </w:p>
    <w:p>
      <w:pPr>
        <w:ind w:left="1460" w:hanging="188"/>
        <w:spacing w:after="0" w:line="250" w:lineRule="auto"/>
        <w:rPr>
          <w:sz w:val="20"/>
          <w:szCs w:val="20"/>
          <w:color w:val="auto"/>
        </w:rPr>
      </w:pPr>
      <w:r>
        <w:rPr>
          <w:rFonts w:ascii="Arial" w:cs="Arial" w:eastAsia="Arial" w:hAnsi="Arial"/>
          <w:sz w:val="22"/>
          <w:szCs w:val="22"/>
          <w:color w:val="auto"/>
        </w:rPr>
        <w:t>ii.exercise any stock options granted under a plan of the Company that vested during the Term (and prior to his termination date) for the period of time specified in the plan rules.</w:t>
      </w:r>
    </w:p>
    <w:p>
      <w:pPr>
        <w:spacing w:after="0" w:line="201" w:lineRule="exact"/>
        <w:rPr>
          <w:sz w:val="20"/>
          <w:szCs w:val="20"/>
          <w:color w:val="auto"/>
        </w:rPr>
      </w:pPr>
    </w:p>
    <w:p>
      <w:pPr>
        <w:jc w:val="both"/>
        <w:ind w:left="1080" w:hanging="761"/>
        <w:spacing w:after="0" w:line="235" w:lineRule="auto"/>
        <w:tabs>
          <w:tab w:leader="none" w:pos="1080" w:val="left"/>
        </w:tabs>
        <w:numPr>
          <w:ilvl w:val="0"/>
          <w:numId w:val="41"/>
        </w:numPr>
        <w:rPr>
          <w:rFonts w:ascii="Arial" w:cs="Arial" w:eastAsia="Arial" w:hAnsi="Arial"/>
          <w:sz w:val="22"/>
          <w:szCs w:val="22"/>
          <w:color w:val="auto"/>
        </w:rPr>
      </w:pPr>
      <w:r>
        <w:rPr>
          <w:rFonts w:ascii="Arial" w:cs="Arial" w:eastAsia="Arial" w:hAnsi="Arial"/>
          <w:sz w:val="22"/>
          <w:szCs w:val="22"/>
          <w:u w:val="single" w:color="auto"/>
          <w:color w:val="auto"/>
        </w:rPr>
        <w:t>Termination due to Employment by Unauthorized Competitor</w:t>
      </w:r>
      <w:r>
        <w:rPr>
          <w:rFonts w:ascii="Arial" w:cs="Arial" w:eastAsia="Arial" w:hAnsi="Arial"/>
          <w:sz w:val="22"/>
          <w:szCs w:val="22"/>
          <w:color w:val="auto"/>
        </w:rPr>
        <w:t>: If during the Term, Executive accepts employment with an Unauthorized Competitor, Executive shall be required to reimburse all payments or value received by Executive under this Agreement no later than 30 days from the date the Company learns of the acceptance. This repayment obligation shall not apply if Executive becomes an employee of an Unauthorized Competitor as a result of a merger or acquisition involving Executive’s employer and an Unauthorized Competitor.</w:t>
      </w:r>
    </w:p>
    <w:p>
      <w:pPr>
        <w:spacing w:after="0" w:line="200" w:lineRule="exact"/>
        <w:rPr>
          <w:sz w:val="20"/>
          <w:szCs w:val="20"/>
          <w:color w:val="auto"/>
        </w:rPr>
      </w:pPr>
    </w:p>
    <w:p>
      <w:pPr>
        <w:ind w:left="320"/>
        <w:spacing w:after="0" w:line="250" w:lineRule="auto"/>
        <w:rPr>
          <w:sz w:val="20"/>
          <w:szCs w:val="20"/>
          <w:color w:val="auto"/>
        </w:rPr>
      </w:pPr>
      <w:r>
        <w:rPr>
          <w:rFonts w:ascii="Arial" w:cs="Arial" w:eastAsia="Arial" w:hAnsi="Arial"/>
          <w:sz w:val="22"/>
          <w:szCs w:val="22"/>
          <w:color w:val="auto"/>
        </w:rPr>
        <w:t>For purposes of this Agreement, an Unauthorized Competitor means those companies as specifically identified in Section 5.</w:t>
      </w:r>
    </w:p>
    <w:p>
      <w:pPr>
        <w:spacing w:after="0" w:line="174"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62865</wp:posOffset>
            </wp:positionV>
            <wp:extent cx="728916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34" w:name="page35"/>
    <w:bookmarkEnd w:id="34"/>
    <w:p>
      <w:pPr>
        <w:ind w:left="811" w:hanging="811"/>
        <w:spacing w:after="0"/>
        <w:tabs>
          <w:tab w:leader="none" w:pos="811"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Confidentiality, Return of Property, and Covenant Not to Compete</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jc w:val="both"/>
        <w:ind w:left="1511" w:hanging="761"/>
        <w:spacing w:after="0" w:line="271" w:lineRule="auto"/>
        <w:tabs>
          <w:tab w:leader="none" w:pos="151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Confidentiality</w:t>
      </w:r>
      <w:r>
        <w:rPr>
          <w:rFonts w:ascii="Arial" w:cs="Arial" w:eastAsia="Arial" w:hAnsi="Arial"/>
          <w:sz w:val="19"/>
          <w:szCs w:val="19"/>
          <w:color w:val="auto"/>
        </w:rPr>
        <w:t>: Executive agrees that he will not disclose or make available to any other person or entity, or use for his own personal gain, monetary or otherwise, any Confidential Information, except for such disclosures as required in the performance of his duties hereunder. For purposes of this Agreement, “Confidential Information” shall mean any and all information, data and knowledge that have been created, discovered, developed or otherwise become known to the Company or any of its Affiliates or ventures or in which property rights have been assigned or otherwise conveyed to the Company or any of its Affiliates or ventures, which information, data or knowledge has commercial value in the business in which the Company is engaged, except such information, data or knowledge as is or becomes known to the public without violation of the terms of this Agreement. By way of illustration, but not limitation Confidential Information includes trade secrets, processes, formulas, know-how, improvements, discoveries, developments, designs, inventions, techniques, marketing plans, manual, records of research, reports, memoranda, computer software, strategies, forecasts, new products, unpublished financial statements or parts thereof, budgets or other financial information, projections, licenses, prices, costs, and employee, customer and supplier lists or parts thereof.</w:t>
      </w:r>
    </w:p>
    <w:p>
      <w:pPr>
        <w:spacing w:after="0" w:line="174" w:lineRule="exact"/>
        <w:rPr>
          <w:rFonts w:ascii="Arial" w:cs="Arial" w:eastAsia="Arial" w:hAnsi="Arial"/>
          <w:sz w:val="19"/>
          <w:szCs w:val="19"/>
          <w:color w:val="auto"/>
        </w:rPr>
      </w:pPr>
    </w:p>
    <w:p>
      <w:pPr>
        <w:jc w:val="both"/>
        <w:ind w:left="1511" w:hanging="761"/>
        <w:spacing w:after="0" w:line="246" w:lineRule="auto"/>
        <w:tabs>
          <w:tab w:leader="none" w:pos="1511" w:val="left"/>
        </w:tabs>
        <w:numPr>
          <w:ilvl w:val="1"/>
          <w:numId w:val="42"/>
        </w:numPr>
        <w:rPr>
          <w:rFonts w:ascii="Arial" w:cs="Arial" w:eastAsia="Arial" w:hAnsi="Arial"/>
          <w:sz w:val="21"/>
          <w:szCs w:val="21"/>
          <w:color w:val="auto"/>
        </w:rPr>
      </w:pPr>
      <w:r>
        <w:rPr>
          <w:rFonts w:ascii="Arial" w:cs="Arial" w:eastAsia="Arial" w:hAnsi="Arial"/>
          <w:sz w:val="21"/>
          <w:szCs w:val="21"/>
          <w:u w:val="single" w:color="auto"/>
          <w:color w:val="auto"/>
        </w:rPr>
        <w:t>Return of Property</w:t>
      </w:r>
      <w:r>
        <w:rPr>
          <w:rFonts w:ascii="Arial" w:cs="Arial" w:eastAsia="Arial" w:hAnsi="Arial"/>
          <w:sz w:val="21"/>
          <w:szCs w:val="21"/>
          <w:color w:val="auto"/>
        </w:rPr>
        <w:t>: Executive agrees that at the time of leaving the Company’s employ, if not sooner, he will deliver to the Company (and will not keep in his possession, recreate or deliver to anyone else) all Confidential Information, as well as all other devices, records, data, notes, reports, proposals, lists, correspondence, specifications, drawings, blueprints, sketches, materials, equipment, customer or client lists or information, or any other documents or property (including all reproductions of the aforementioned items) belonging to the Company or any of its Affiliates or ventures, regardless of whether such items were prepared by Executive.</w:t>
      </w:r>
    </w:p>
    <w:p>
      <w:pPr>
        <w:spacing w:after="0" w:line="196" w:lineRule="exact"/>
        <w:rPr>
          <w:rFonts w:ascii="Arial" w:cs="Arial" w:eastAsia="Arial" w:hAnsi="Arial"/>
          <w:sz w:val="21"/>
          <w:szCs w:val="21"/>
          <w:color w:val="auto"/>
        </w:rPr>
      </w:pPr>
    </w:p>
    <w:p>
      <w:pPr>
        <w:jc w:val="both"/>
        <w:ind w:left="1511" w:hanging="761"/>
        <w:spacing w:after="0" w:line="274" w:lineRule="auto"/>
        <w:tabs>
          <w:tab w:leader="none" w:pos="1511" w:val="left"/>
        </w:tabs>
        <w:numPr>
          <w:ilvl w:val="1"/>
          <w:numId w:val="42"/>
        </w:numPr>
        <w:rPr>
          <w:rFonts w:ascii="Arial" w:cs="Arial" w:eastAsia="Arial" w:hAnsi="Arial"/>
          <w:sz w:val="19"/>
          <w:szCs w:val="19"/>
          <w:color w:val="auto"/>
        </w:rPr>
      </w:pPr>
      <w:r>
        <w:rPr>
          <w:rFonts w:ascii="Arial" w:cs="Arial" w:eastAsia="Arial" w:hAnsi="Arial"/>
          <w:sz w:val="19"/>
          <w:szCs w:val="19"/>
          <w:u w:val="single" w:color="auto"/>
          <w:color w:val="auto"/>
        </w:rPr>
        <w:t>Covenant Not to Compete</w:t>
      </w:r>
      <w:r>
        <w:rPr>
          <w:rFonts w:ascii="Arial" w:cs="Arial" w:eastAsia="Arial" w:hAnsi="Arial"/>
          <w:sz w:val="19"/>
          <w:szCs w:val="19"/>
          <w:color w:val="auto"/>
        </w:rPr>
        <w:t>: Executive acknowledges that the skills, processes and information developed at the Company are highly proprietary and global in nature and could be utilized directly and to the Company’s detriment (or the detriment of any of the Company’s Affiliates or ventures) by several other businesses. Accordingly, (1) in consideration for the Confidential Information previously provided and to be provided by the Company to Executive, (2) as part of the consideration for the payment and benefits to be paid to Executive hereunder, (3) to protect the Confidential Information of the Company disclosed or entrusted to Executive by the Company or created or developed by Executive for the Company and (4) as an additional incentive for the Company to enter into this Agreement, Executive agrees to be bound by the following restrictive covenants:</w:t>
      </w:r>
    </w:p>
    <w:p>
      <w:pPr>
        <w:spacing w:after="0" w:line="169" w:lineRule="exact"/>
        <w:rPr>
          <w:rFonts w:ascii="Arial" w:cs="Arial" w:eastAsia="Arial" w:hAnsi="Arial"/>
          <w:sz w:val="19"/>
          <w:szCs w:val="19"/>
          <w:color w:val="auto"/>
        </w:rPr>
      </w:pPr>
    </w:p>
    <w:p>
      <w:pPr>
        <w:jc w:val="both"/>
        <w:ind w:left="1891" w:hanging="183"/>
        <w:spacing w:after="0" w:line="245" w:lineRule="auto"/>
        <w:tabs>
          <w:tab w:leader="none" w:pos="1891" w:val="left"/>
        </w:tabs>
        <w:numPr>
          <w:ilvl w:val="2"/>
          <w:numId w:val="42"/>
        </w:numPr>
        <w:rPr>
          <w:rFonts w:ascii="Arial" w:cs="Arial" w:eastAsia="Arial" w:hAnsi="Arial"/>
          <w:sz w:val="21"/>
          <w:szCs w:val="21"/>
          <w:color w:val="auto"/>
        </w:rPr>
      </w:pPr>
      <w:r>
        <w:rPr>
          <w:rFonts w:ascii="Arial" w:cs="Arial" w:eastAsia="Arial" w:hAnsi="Arial"/>
          <w:sz w:val="21"/>
          <w:szCs w:val="21"/>
          <w:color w:val="191919"/>
        </w:rPr>
        <w:t xml:space="preserve">During </w:t>
      </w:r>
      <w:r>
        <w:rPr>
          <w:rFonts w:ascii="Arial" w:cs="Arial" w:eastAsia="Arial" w:hAnsi="Arial"/>
          <w:sz w:val="21"/>
          <w:szCs w:val="21"/>
          <w:color w:val="000000"/>
        </w:rPr>
        <w:t>the</w:t>
      </w:r>
      <w:r>
        <w:rPr>
          <w:rFonts w:ascii="Arial" w:cs="Arial" w:eastAsia="Arial" w:hAnsi="Arial"/>
          <w:sz w:val="21"/>
          <w:szCs w:val="21"/>
          <w:color w:val="191919"/>
        </w:rPr>
        <w:t xml:space="preserve"> Term, Executive shall not accept employment with or otherwise render services, </w:t>
      </w:r>
      <w:r>
        <w:rPr>
          <w:rFonts w:ascii="Arial" w:cs="Arial" w:eastAsia="Arial" w:hAnsi="Arial"/>
          <w:sz w:val="21"/>
          <w:szCs w:val="21"/>
          <w:color w:val="000000"/>
        </w:rPr>
        <w:t>directly</w:t>
      </w:r>
      <w:r>
        <w:rPr>
          <w:rFonts w:ascii="Arial" w:cs="Arial" w:eastAsia="Arial" w:hAnsi="Arial"/>
          <w:sz w:val="21"/>
          <w:szCs w:val="21"/>
          <w:color w:val="191919"/>
        </w:rPr>
        <w:t xml:space="preserve"> </w:t>
      </w:r>
      <w:r>
        <w:rPr>
          <w:rFonts w:ascii="Arial" w:cs="Arial" w:eastAsia="Arial" w:hAnsi="Arial"/>
          <w:sz w:val="21"/>
          <w:szCs w:val="21"/>
          <w:color w:val="000000"/>
        </w:rPr>
        <w:t xml:space="preserve">or indirectly, </w:t>
      </w:r>
      <w:r>
        <w:rPr>
          <w:rFonts w:ascii="Arial" w:cs="Arial" w:eastAsia="Arial" w:hAnsi="Arial"/>
          <w:sz w:val="21"/>
          <w:szCs w:val="21"/>
          <w:color w:val="191919"/>
        </w:rPr>
        <w:t>anywhere in the world, to any specifically identified Unauthorized Competitor, whether</w:t>
      </w:r>
      <w:r>
        <w:rPr>
          <w:rFonts w:ascii="Arial" w:cs="Arial" w:eastAsia="Arial" w:hAnsi="Arial"/>
          <w:sz w:val="21"/>
          <w:szCs w:val="21"/>
          <w:color w:val="000000"/>
        </w:rPr>
        <w:t xml:space="preserve"> </w:t>
      </w:r>
      <w:r>
        <w:rPr>
          <w:rFonts w:ascii="Arial" w:cs="Arial" w:eastAsia="Arial" w:hAnsi="Arial"/>
          <w:sz w:val="21"/>
          <w:szCs w:val="21"/>
          <w:color w:val="191919"/>
        </w:rPr>
        <w:t xml:space="preserve">as a director, officer, agent, employee, independent contractor or consultant, or take any action inconsistent with the fiduciary relationship of an employee to his employer. In order to protect the Company’s good will and other legitimate business interests, provide greater flexibility to Executive in obtaining other employment and to provide both parties with greater certainty as to </w:t>
      </w:r>
      <w:r>
        <w:rPr>
          <w:rFonts w:ascii="Arial" w:cs="Arial" w:eastAsia="Arial" w:hAnsi="Arial"/>
          <w:sz w:val="21"/>
          <w:szCs w:val="21"/>
          <w:color w:val="000000"/>
        </w:rPr>
        <w:t>their</w:t>
      </w:r>
      <w:r>
        <w:rPr>
          <w:rFonts w:ascii="Arial" w:cs="Arial" w:eastAsia="Arial" w:hAnsi="Arial"/>
          <w:sz w:val="21"/>
          <w:szCs w:val="21"/>
          <w:color w:val="191919"/>
        </w:rPr>
        <w:t xml:space="preserve"> </w:t>
      </w:r>
      <w:r>
        <w:rPr>
          <w:rFonts w:ascii="Arial" w:cs="Arial" w:eastAsia="Arial" w:hAnsi="Arial"/>
          <w:sz w:val="21"/>
          <w:szCs w:val="21"/>
          <w:color w:val="000000"/>
        </w:rPr>
        <w:t>obligations hereunder, the parties agree that Executive shall not be prohibited from accepting employment or otherwise rendering</w:t>
      </w:r>
    </w:p>
    <w:p>
      <w:pPr>
        <w:spacing w:after="0" w:line="186" w:lineRule="exact"/>
        <w:rPr>
          <w:sz w:val="20"/>
          <w:szCs w:val="20"/>
          <w:color w:val="auto"/>
        </w:rPr>
      </w:pPr>
    </w:p>
    <w:p>
      <w:pPr>
        <w:ind w:left="4711"/>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-495300</wp:posOffset>
            </wp:positionH>
            <wp:positionV relativeFrom="paragraph">
              <wp:posOffset>62865</wp:posOffset>
            </wp:positionV>
            <wp:extent cx="728916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651"/>
          </w:cols>
          <w:pgMar w:left="1009" w:top="563" w:right="239" w:bottom="1440" w:gutter="0" w:footer="0" w:header="0"/>
        </w:sectPr>
      </w:pPr>
    </w:p>
    <w:bookmarkStart w:id="35" w:name="page36"/>
    <w:bookmarkEnd w:id="35"/>
    <w:p>
      <w:pPr>
        <w:jc w:val="both"/>
        <w:ind w:left="1460"/>
        <w:spacing w:after="0" w:line="250" w:lineRule="auto"/>
        <w:rPr>
          <w:sz w:val="20"/>
          <w:szCs w:val="20"/>
          <w:color w:val="auto"/>
        </w:rPr>
      </w:pPr>
      <w:r>
        <w:rPr>
          <w:rFonts w:ascii="Arial" w:cs="Arial" w:eastAsia="Arial" w:hAnsi="Arial"/>
          <w:sz w:val="22"/>
          <w:szCs w:val="22"/>
          <w:color w:val="auto"/>
        </w:rPr>
        <w:t>any services, anywhere in the world with any company or other enterprise except an Unauthorized Competitor.</w:t>
      </w:r>
    </w:p>
    <w:p>
      <w:pPr>
        <w:spacing w:after="0" w:line="182" w:lineRule="exact"/>
        <w:rPr>
          <w:sz w:val="20"/>
          <w:szCs w:val="20"/>
          <w:color w:val="auto"/>
        </w:rPr>
      </w:pPr>
    </w:p>
    <w:p>
      <w:pPr>
        <w:jc w:val="both"/>
        <w:ind w:left="1480"/>
        <w:spacing w:after="0" w:line="276" w:lineRule="auto"/>
        <w:rPr>
          <w:sz w:val="20"/>
          <w:szCs w:val="20"/>
          <w:color w:val="auto"/>
        </w:rPr>
      </w:pPr>
      <w:r>
        <w:rPr>
          <w:rFonts w:ascii="Arial" w:cs="Arial" w:eastAsia="Arial" w:hAnsi="Arial"/>
          <w:sz w:val="19"/>
          <w:szCs w:val="19"/>
          <w:b w:val="1"/>
          <w:bCs w:val="1"/>
          <w:color w:val="auto"/>
        </w:rPr>
        <w:t>For purposes of this Agreement, an “Unauthorized Competitor” refers specifically and exclusively to Halliburton Company, Baker Hughes Incorporated, Weatherford International, Archer Limited, OiLSERV, Aker Solutions ASA, FMC Technologies, GE Oil &amp; Gas, National Oilwell Varco Corporation, including any and all of their parents, subsidiaries, affiliates, joint ventures or divisions, as of the date of this Agreement as well as any of their successors or assigns; provided, however, that the restrictions in this Section 5(c) shall not apply if Executive becomes an employee of an Unauthorized Competitor as a result of a merger or other acquisition involving Executive’s employer and an Unauthorized Competitor.</w:t>
      </w:r>
    </w:p>
    <w:p>
      <w:pPr>
        <w:spacing w:after="0" w:line="168" w:lineRule="exact"/>
        <w:rPr>
          <w:sz w:val="20"/>
          <w:szCs w:val="20"/>
          <w:color w:val="auto"/>
        </w:rPr>
      </w:pPr>
    </w:p>
    <w:p>
      <w:pPr>
        <w:jc w:val="both"/>
        <w:ind w:left="1460" w:hanging="188"/>
        <w:spacing w:after="0" w:line="297" w:lineRule="auto"/>
        <w:rPr>
          <w:sz w:val="20"/>
          <w:szCs w:val="20"/>
          <w:color w:val="auto"/>
        </w:rPr>
      </w:pPr>
      <w:r>
        <w:rPr>
          <w:rFonts w:ascii="Arial" w:cs="Arial" w:eastAsia="Arial" w:hAnsi="Arial"/>
          <w:sz w:val="19"/>
          <w:szCs w:val="19"/>
          <w:color w:val="auto"/>
        </w:rPr>
        <w:t>ii.Executive further agrees that during the Term, he shall not at any time, directly or indirectly, induce, entice or solicit (or attempt to induce, entice or solicit) any employee of the Company or any of its Affiliates or ventures to leave the employment of the Company or any of its Affiliates or ventures.</w:t>
      </w:r>
    </w:p>
    <w:p>
      <w:pPr>
        <w:spacing w:after="0" w:line="147" w:lineRule="exact"/>
        <w:rPr>
          <w:sz w:val="20"/>
          <w:szCs w:val="20"/>
          <w:color w:val="auto"/>
        </w:rPr>
      </w:pPr>
    </w:p>
    <w:p>
      <w:pPr>
        <w:jc w:val="both"/>
        <w:ind w:left="1520" w:hanging="242"/>
        <w:spacing w:after="0" w:line="278" w:lineRule="auto"/>
        <w:rPr>
          <w:sz w:val="20"/>
          <w:szCs w:val="20"/>
          <w:color w:val="auto"/>
        </w:rPr>
      </w:pPr>
      <w:r>
        <w:rPr>
          <w:rFonts w:ascii="Arial" w:cs="Arial" w:eastAsia="Arial" w:hAnsi="Arial"/>
          <w:sz w:val="19"/>
          <w:szCs w:val="19"/>
          <w:color w:val="auto"/>
        </w:rPr>
        <w:t>iii.Executive acknowledges that this restrictive covenant under Section 5, for which he received consideration from the Company as provided in this Agreement, is ancillary to otherwise enforceable provisions of this Agreement and that these restrictive covenants contain limitations as to time, geographical area and scope of activity to be restrained that are reasonable and do not impose a greater restraint than is necessary to protect the good will or other business interests of the Company, such as the Company’s need to protect its Confidential Information.</w:t>
      </w:r>
    </w:p>
    <w:p>
      <w:pPr>
        <w:spacing w:after="0" w:line="168" w:lineRule="exact"/>
        <w:rPr>
          <w:sz w:val="20"/>
          <w:szCs w:val="20"/>
          <w:color w:val="auto"/>
        </w:rPr>
      </w:pPr>
    </w:p>
    <w:p>
      <w:pPr>
        <w:jc w:val="both"/>
        <w:ind w:left="1500" w:hanging="215"/>
        <w:spacing w:after="0" w:line="278" w:lineRule="auto"/>
        <w:rPr>
          <w:sz w:val="20"/>
          <w:szCs w:val="20"/>
          <w:color w:val="auto"/>
        </w:rPr>
      </w:pPr>
      <w:r>
        <w:rPr>
          <w:rFonts w:ascii="Arial" w:cs="Arial" w:eastAsia="Arial" w:hAnsi="Arial"/>
          <w:sz w:val="19"/>
          <w:szCs w:val="19"/>
          <w:color w:val="auto"/>
        </w:rPr>
        <w:t>iv.Executive acknowledges that in the event of a breach by Executive of these restrictive covenants, the covenants may be enforced by temporary restraining order, preliminary or temporary injunction and permanent injunction, in addition to any other remedies that may be available by law. In that connection, Executive acknowledges that in the event of a breach, the Company will suffer irreparable injury for which there is no adequate legal remedy, in part because damages caused by the breach may be difficult to prove with any reasonable degree of certainty.</w:t>
      </w:r>
    </w:p>
    <w:p>
      <w:pPr>
        <w:spacing w:after="0" w:line="168" w:lineRule="exact"/>
        <w:rPr>
          <w:sz w:val="20"/>
          <w:szCs w:val="20"/>
          <w:color w:val="auto"/>
        </w:rPr>
      </w:pPr>
    </w:p>
    <w:p>
      <w:pPr>
        <w:jc w:val="both"/>
        <w:ind w:left="1460" w:hanging="188"/>
        <w:spacing w:after="0"/>
        <w:rPr>
          <w:sz w:val="20"/>
          <w:szCs w:val="20"/>
          <w:color w:val="auto"/>
        </w:rPr>
      </w:pPr>
      <w:r>
        <w:rPr>
          <w:rFonts w:ascii="Arial" w:cs="Arial" w:eastAsia="Arial" w:hAnsi="Arial"/>
          <w:sz w:val="22"/>
          <w:szCs w:val="22"/>
          <w:color w:val="auto"/>
        </w:rPr>
        <w:t>v. Executive further acknowledges that if his employment terminates prior to the Term, pursuant to Section 4 (c), (d) or (e) of this Agreement, the covenant not to compete provisions of this Agreement will extend throughout the remainder of the Term.</w:t>
      </w:r>
    </w:p>
    <w:p>
      <w:pPr>
        <w:spacing w:after="0" w:line="199" w:lineRule="exact"/>
        <w:rPr>
          <w:sz w:val="20"/>
          <w:szCs w:val="20"/>
          <w:color w:val="auto"/>
        </w:rPr>
      </w:pPr>
    </w:p>
    <w:p>
      <w:pPr>
        <w:jc w:val="both"/>
        <w:ind w:left="1500" w:hanging="228"/>
        <w:spacing w:after="0" w:line="235" w:lineRule="auto"/>
        <w:rPr>
          <w:sz w:val="20"/>
          <w:szCs w:val="20"/>
          <w:color w:val="auto"/>
        </w:rPr>
      </w:pPr>
      <w:r>
        <w:rPr>
          <w:rFonts w:ascii="Arial" w:cs="Arial" w:eastAsia="Arial" w:hAnsi="Arial"/>
          <w:sz w:val="22"/>
          <w:szCs w:val="22"/>
          <w:color w:val="auto"/>
        </w:rPr>
        <w:t>vi.Executive further agrees that in the event that (1) the Company determines that Executive has breached any term of Section 5(c) or (2) all or any part or of Section 5(c) is held or found invalid or unenforceable for any reason whatsoever by a court of competent jurisdiction in an action between Executive and the Company, in addition to any other remedies at law or in equity the Company may have available to it, the Company may immediately stop payment of any future amounts due pursuant to Section 3.</w:t>
      </w:r>
    </w:p>
    <w:p>
      <w:pPr>
        <w:spacing w:after="0" w:line="200" w:lineRule="exact"/>
        <w:rPr>
          <w:sz w:val="20"/>
          <w:szCs w:val="20"/>
          <w:color w:val="auto"/>
        </w:rPr>
      </w:pPr>
    </w:p>
    <w:p>
      <w:pPr>
        <w:jc w:val="both"/>
        <w:ind w:left="1560" w:hanging="282"/>
        <w:spacing w:after="0"/>
        <w:rPr>
          <w:sz w:val="20"/>
          <w:szCs w:val="20"/>
          <w:color w:val="auto"/>
        </w:rPr>
      </w:pPr>
      <w:r>
        <w:rPr>
          <w:rFonts w:ascii="Arial" w:cs="Arial" w:eastAsia="Arial" w:hAnsi="Arial"/>
          <w:sz w:val="22"/>
          <w:szCs w:val="22"/>
          <w:color w:val="auto"/>
        </w:rPr>
        <w:t>vii.Executive expressly recognizes that Executive was a high-level, executive employee who was and is provided with access to Confidential Information of the Company as part of Executive’s employment and that the restrictive covenants set forth in this</w:t>
      </w:r>
    </w:p>
    <w:p>
      <w:pPr>
        <w:spacing w:after="0" w:line="185" w:lineRule="exact"/>
        <w:rPr>
          <w:sz w:val="20"/>
          <w:szCs w:val="20"/>
          <w:color w:val="auto"/>
        </w:rPr>
      </w:pPr>
    </w:p>
    <w:p>
      <w:pPr>
        <w:ind w:left="428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62865</wp:posOffset>
            </wp:positionV>
            <wp:extent cx="728916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0220"/>
          </w:cols>
          <w:pgMar w:left="1440" w:top="334" w:right="239" w:bottom="1440" w:gutter="0" w:footer="0" w:header="0"/>
        </w:sectPr>
      </w:pPr>
    </w:p>
    <w:bookmarkStart w:id="36" w:name="page37"/>
    <w:bookmarkEnd w:id="36"/>
    <w:p>
      <w:pPr>
        <w:jc w:val="both"/>
        <w:ind w:left="2660"/>
        <w:spacing w:after="0"/>
        <w:rPr>
          <w:sz w:val="20"/>
          <w:szCs w:val="20"/>
          <w:color w:val="auto"/>
        </w:rPr>
      </w:pPr>
      <w:r>
        <w:rPr>
          <w:rFonts w:ascii="Arial" w:cs="Arial" w:eastAsia="Arial" w:hAnsi="Arial"/>
          <w:sz w:val="22"/>
          <w:szCs w:val="22"/>
          <w:color w:val="auto"/>
        </w:rPr>
        <w:t>Section 5 are reasonable and necessary in light of Executive’s prior executive position and prior access to the Company’s Confidential Information, as well as his potential continued access to Confidential Information during the Term.</w:t>
      </w:r>
    </w:p>
    <w:p>
      <w:pPr>
        <w:spacing w:after="0" w:line="199" w:lineRule="exact"/>
        <w:rPr>
          <w:sz w:val="20"/>
          <w:szCs w:val="20"/>
          <w:color w:val="auto"/>
        </w:rPr>
      </w:pPr>
    </w:p>
    <w:p>
      <w:pPr>
        <w:jc w:val="both"/>
        <w:ind w:left="2280" w:hanging="761"/>
        <w:spacing w:after="0" w:line="275" w:lineRule="auto"/>
        <w:tabs>
          <w:tab w:leader="none" w:pos="2280" w:val="left"/>
        </w:tabs>
        <w:numPr>
          <w:ilvl w:val="1"/>
          <w:numId w:val="43"/>
        </w:numPr>
        <w:rPr>
          <w:rFonts w:ascii="Arial" w:cs="Arial" w:eastAsia="Arial" w:hAnsi="Arial"/>
          <w:sz w:val="19"/>
          <w:szCs w:val="19"/>
          <w:color w:val="auto"/>
        </w:rPr>
      </w:pPr>
      <w:r>
        <w:rPr>
          <w:rFonts w:ascii="Arial" w:cs="Arial" w:eastAsia="Arial" w:hAnsi="Arial"/>
          <w:sz w:val="19"/>
          <w:szCs w:val="19"/>
          <w:u w:val="single" w:color="auto"/>
          <w:color w:val="auto"/>
        </w:rPr>
        <w:t>Employment by Affiliates</w:t>
      </w:r>
      <w:r>
        <w:rPr>
          <w:rFonts w:ascii="Arial" w:cs="Arial" w:eastAsia="Arial" w:hAnsi="Arial"/>
          <w:sz w:val="19"/>
          <w:szCs w:val="19"/>
          <w:color w:val="auto"/>
        </w:rPr>
        <w:t>: Notwithstanding any provision of this Agreement to the contrary, for purposes of determining whether Executive has terminated employment hereunder, “employment” means employment as an employee with the Company or any Affiliate. For purposes of this Agreement, the term “Affiliate” means (i) Schlumberger Limited, a Curaçao corporation, (ii) any corporation in which the shares owned or controlled directly or indirectly by Schlumberger Limited shall represent 40% or more of the voting power of the issued and outstanding stock of such corporation, and (iii) any other company controlled by, controlling or under common control with the Company within the meaning of Section 414 of the Internal Revenue Code of 1986, as amended.</w:t>
      </w:r>
    </w:p>
    <w:p>
      <w:pPr>
        <w:spacing w:after="0" w:line="169" w:lineRule="exact"/>
        <w:rPr>
          <w:rFonts w:ascii="Arial" w:cs="Arial" w:eastAsia="Arial" w:hAnsi="Arial"/>
          <w:sz w:val="19"/>
          <w:szCs w:val="19"/>
          <w:color w:val="auto"/>
        </w:rPr>
      </w:pPr>
    </w:p>
    <w:p>
      <w:pPr>
        <w:jc w:val="both"/>
        <w:ind w:firstLine="769"/>
        <w:spacing w:after="0"/>
        <w:tabs>
          <w:tab w:leader="none" w:pos="157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Expenses</w:t>
      </w:r>
      <w:r>
        <w:rPr>
          <w:rFonts w:ascii="Arial" w:cs="Arial" w:eastAsia="Arial" w:hAnsi="Arial"/>
          <w:sz w:val="22"/>
          <w:szCs w:val="22"/>
          <w:color w:val="auto"/>
        </w:rPr>
        <w:t>: The Company and Executive shall each be responsible for its/his own costs and expenses, including, without limitation, court costs and attorney’s fees, incurred as a result of any claim, action or proceeding arising out of, or challenging the validity or enforceability of, this Agreement or any provisions hereof.</w:t>
      </w:r>
    </w:p>
    <w:p>
      <w:pPr>
        <w:spacing w:after="0" w:line="198" w:lineRule="exact"/>
        <w:rPr>
          <w:rFonts w:ascii="Arial" w:cs="Arial" w:eastAsia="Arial" w:hAnsi="Arial"/>
          <w:sz w:val="22"/>
          <w:szCs w:val="22"/>
          <w:color w:val="auto"/>
        </w:rPr>
      </w:pPr>
    </w:p>
    <w:p>
      <w:pPr>
        <w:jc w:val="both"/>
        <w:ind w:firstLine="769"/>
        <w:spacing w:after="0"/>
        <w:tabs>
          <w:tab w:leader="none" w:pos="1570" w:val="left"/>
        </w:tabs>
        <w:numPr>
          <w:ilvl w:val="0"/>
          <w:numId w:val="44"/>
        </w:numPr>
        <w:rPr>
          <w:rFonts w:ascii="Arial" w:cs="Arial" w:eastAsia="Arial" w:hAnsi="Arial"/>
          <w:sz w:val="22"/>
          <w:szCs w:val="22"/>
          <w:color w:val="auto"/>
        </w:rPr>
      </w:pPr>
      <w:r>
        <w:rPr>
          <w:rFonts w:ascii="Arial" w:cs="Arial" w:eastAsia="Arial" w:hAnsi="Arial"/>
          <w:sz w:val="22"/>
          <w:szCs w:val="22"/>
          <w:u w:val="single" w:color="auto"/>
          <w:color w:val="auto"/>
        </w:rPr>
        <w:t>Notices</w:t>
      </w:r>
      <w:r>
        <w:rPr>
          <w:rFonts w:ascii="Arial" w:cs="Arial" w:eastAsia="Arial" w:hAnsi="Arial"/>
          <w:sz w:val="22"/>
          <w:szCs w:val="22"/>
          <w:color w:val="auto"/>
        </w:rPr>
        <w:t>: For purposes of this Agreement, all notices and all other communications provided for herein shall be in writing and shall be deemed to have been duly given when personally delivered or when mailed by registered or certified mail, return receipt requested, postage prepaid, addressed as follows:</w:t>
      </w:r>
    </w:p>
    <w:p>
      <w:pPr>
        <w:sectPr>
          <w:pgSz w:w="11900" w:h="16838" w:orient="portrait"/>
          <w:cols w:equalWidth="0" w:num="1">
            <w:col w:w="11420"/>
          </w:cols>
          <w:pgMar w:left="240" w:top="334" w:right="239" w:bottom="1440" w:gutter="0" w:footer="0" w:header="0"/>
        </w:sectPr>
      </w:pPr>
    </w:p>
    <w:p>
      <w:pPr>
        <w:spacing w:after="0" w:line="199" w:lineRule="exact"/>
        <w:rPr>
          <w:sz w:val="20"/>
          <w:szCs w:val="20"/>
          <w:color w:val="auto"/>
        </w:rPr>
      </w:pPr>
    </w:p>
    <w:p>
      <w:pPr>
        <w:spacing w:after="0"/>
        <w:rPr>
          <w:sz w:val="20"/>
          <w:szCs w:val="20"/>
          <w:color w:val="auto"/>
        </w:rPr>
      </w:pPr>
      <w:r>
        <w:rPr>
          <w:rFonts w:ascii="Arial" w:cs="Arial" w:eastAsia="Arial" w:hAnsi="Arial"/>
          <w:sz w:val="19"/>
          <w:szCs w:val="19"/>
          <w:color w:val="auto"/>
        </w:rPr>
        <w:t>If to the Company:</w:t>
      </w:r>
    </w:p>
    <w:p>
      <w:pPr>
        <w:spacing w:after="0" w:line="20" w:lineRule="exact"/>
        <w:rPr>
          <w:sz w:val="20"/>
          <w:szCs w:val="20"/>
          <w:color w:val="auto"/>
        </w:rPr>
      </w:pPr>
      <w:r>
        <w:rPr>
          <w:sz w:val="20"/>
          <w:szCs w:val="20"/>
          <w:color w:val="auto"/>
        </w:rPr>
        <w:br w:type="column"/>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color w:val="auto"/>
        </w:rPr>
        <w:t>Schlumberger Limited</w:t>
      </w:r>
    </w:p>
    <w:p>
      <w:pPr>
        <w:spacing w:after="0" w:line="237" w:lineRule="auto"/>
        <w:rPr>
          <w:sz w:val="20"/>
          <w:szCs w:val="20"/>
          <w:color w:val="auto"/>
        </w:rPr>
      </w:pPr>
      <w:r>
        <w:rPr>
          <w:rFonts w:ascii="Arial" w:cs="Arial" w:eastAsia="Arial" w:hAnsi="Arial"/>
          <w:sz w:val="22"/>
          <w:szCs w:val="22"/>
          <w:color w:val="191919"/>
        </w:rPr>
        <w:t>5599 San Felipe</w:t>
      </w:r>
    </w:p>
    <w:p>
      <w:pPr>
        <w:spacing w:after="0" w:line="231" w:lineRule="auto"/>
        <w:rPr>
          <w:sz w:val="20"/>
          <w:szCs w:val="20"/>
          <w:color w:val="auto"/>
        </w:rPr>
      </w:pPr>
      <w:r>
        <w:rPr>
          <w:rFonts w:ascii="Arial" w:cs="Arial" w:eastAsia="Arial" w:hAnsi="Arial"/>
          <w:sz w:val="22"/>
          <w:szCs w:val="22"/>
          <w:color w:val="191919"/>
        </w:rPr>
        <w:t>17</w:t>
      </w:r>
      <w:r>
        <w:rPr>
          <w:rFonts w:ascii="Arial" w:cs="Arial" w:eastAsia="Arial" w:hAnsi="Arial"/>
          <w:sz w:val="18"/>
          <w:szCs w:val="18"/>
          <w:color w:val="191919"/>
        </w:rPr>
        <w:t>th</w:t>
      </w:r>
      <w:r>
        <w:rPr>
          <w:rFonts w:ascii="Arial" w:cs="Arial" w:eastAsia="Arial" w:hAnsi="Arial"/>
          <w:sz w:val="22"/>
          <w:szCs w:val="22"/>
          <w:color w:val="191919"/>
        </w:rPr>
        <w:t xml:space="preserve"> Floor</w:t>
      </w:r>
    </w:p>
    <w:p>
      <w:pPr>
        <w:spacing w:after="0" w:line="230" w:lineRule="auto"/>
        <w:rPr>
          <w:sz w:val="20"/>
          <w:szCs w:val="20"/>
          <w:color w:val="auto"/>
        </w:rPr>
      </w:pPr>
      <w:r>
        <w:rPr>
          <w:rFonts w:ascii="Arial" w:cs="Arial" w:eastAsia="Arial" w:hAnsi="Arial"/>
          <w:sz w:val="22"/>
          <w:szCs w:val="22"/>
          <w:color w:val="191919"/>
        </w:rPr>
        <w:t>Houston, TX 77056</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ATTENTION: Gerard Martellozo</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VP Human Resources</w:t>
      </w:r>
    </w:p>
    <w:p>
      <w:pPr>
        <w:spacing w:after="0" w:line="200" w:lineRule="exact"/>
        <w:rPr>
          <w:sz w:val="20"/>
          <w:szCs w:val="20"/>
          <w:color w:val="auto"/>
        </w:rPr>
      </w:pPr>
    </w:p>
    <w:p>
      <w:pPr>
        <w:sectPr>
          <w:pgSz w:w="11900" w:h="16838" w:orient="portrait"/>
          <w:cols w:equalWidth="0" w:num="2">
            <w:col w:w="3020" w:space="720"/>
            <w:col w:w="7680"/>
          </w:cols>
          <w:pgMar w:left="240" w:top="334" w:right="239"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If to Executive: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color w:val="auto"/>
        </w:rPr>
        <w:t>Sherif Foda</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5306 Bordley Drive, Tanglewood</w:t>
      </w:r>
    </w:p>
    <w:p>
      <w:pPr>
        <w:spacing w:after="0" w:line="24" w:lineRule="exact"/>
        <w:rPr>
          <w:sz w:val="20"/>
          <w:szCs w:val="20"/>
          <w:color w:val="auto"/>
        </w:rPr>
      </w:pPr>
    </w:p>
    <w:p>
      <w:pPr>
        <w:spacing w:after="0"/>
        <w:rPr>
          <w:sz w:val="20"/>
          <w:szCs w:val="20"/>
          <w:color w:val="auto"/>
        </w:rPr>
      </w:pPr>
      <w:r>
        <w:rPr>
          <w:rFonts w:ascii="Arial" w:cs="Arial" w:eastAsia="Arial" w:hAnsi="Arial"/>
          <w:sz w:val="22"/>
          <w:szCs w:val="22"/>
          <w:color w:val="auto"/>
        </w:rPr>
        <w:t>Houston, TX 77056</w:t>
      </w:r>
    </w:p>
    <w:p>
      <w:pPr>
        <w:spacing w:after="0" w:line="200" w:lineRule="exact"/>
        <w:rPr>
          <w:sz w:val="20"/>
          <w:szCs w:val="20"/>
          <w:color w:val="auto"/>
        </w:rPr>
      </w:pPr>
    </w:p>
    <w:p>
      <w:pPr>
        <w:sectPr>
          <w:pgSz w:w="11900" w:h="16838" w:orient="portrait"/>
          <w:cols w:equalWidth="0" w:num="2">
            <w:col w:w="3020" w:space="720"/>
            <w:col w:w="7680"/>
          </w:cols>
          <w:pgMar w:left="240" w:top="334" w:right="239" w:bottom="1440" w:gutter="0" w:footer="0" w:header="0"/>
          <w:type w:val="continuous"/>
        </w:sectPr>
      </w:pPr>
    </w:p>
    <w:p>
      <w:pPr>
        <w:spacing w:after="0" w:line="1"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or to such other address as either party may furnish to the other in writing in accordance herewith, except that notices of changes of address shall be effective only upon receipt.</w:t>
      </w:r>
    </w:p>
    <w:p>
      <w:pPr>
        <w:spacing w:after="0" w:line="188" w:lineRule="exact"/>
        <w:rPr>
          <w:sz w:val="20"/>
          <w:szCs w:val="20"/>
          <w:color w:val="auto"/>
        </w:rPr>
      </w:pPr>
    </w:p>
    <w:p>
      <w:pPr>
        <w:jc w:val="both"/>
        <w:ind w:firstLine="769"/>
        <w:spacing w:after="0" w:line="276" w:lineRule="auto"/>
        <w:tabs>
          <w:tab w:leader="none" w:pos="1570"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Applicable Law; Venue</w:t>
      </w:r>
      <w:r>
        <w:rPr>
          <w:rFonts w:ascii="Arial" w:cs="Arial" w:eastAsia="Arial" w:hAnsi="Arial"/>
          <w:sz w:val="19"/>
          <w:szCs w:val="19"/>
          <w:color w:val="auto"/>
        </w:rPr>
        <w:t>: The validity, interpretation, construction and performance of this Agreement will be governed exclusively by and construed in accordance with the substantive laws of the State of Texas, without giving effect to the principles of conflict of laws of such state. Any suit, action or other legal proceeding arising out of this Agreement shall be brought in the United States District Court for the Southern District of Texas, Houston Division, or, if such court does not have jurisdiction or will not accept jurisdiction, in any court of general jurisdiction in Harris County, Texas. Each of Executive and the Company consents to the jurisdiction of any such court in any such suit, action, or proceeding and waives any objection that it may have to the laying of venue of any such suit, action, or proceeding in any such court.</w:t>
      </w:r>
    </w:p>
    <w:p>
      <w:pPr>
        <w:spacing w:after="0" w:line="170" w:lineRule="exact"/>
        <w:rPr>
          <w:rFonts w:ascii="Arial" w:cs="Arial" w:eastAsia="Arial" w:hAnsi="Arial"/>
          <w:sz w:val="19"/>
          <w:szCs w:val="19"/>
          <w:color w:val="auto"/>
        </w:rPr>
      </w:pPr>
    </w:p>
    <w:p>
      <w:pPr>
        <w:jc w:val="both"/>
        <w:ind w:firstLine="769"/>
        <w:spacing w:after="0"/>
        <w:tabs>
          <w:tab w:leader="none" w:pos="157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Severability</w:t>
      </w:r>
      <w:r>
        <w:rPr>
          <w:rFonts w:ascii="Arial" w:cs="Arial" w:eastAsia="Arial" w:hAnsi="Arial"/>
          <w:sz w:val="22"/>
          <w:szCs w:val="22"/>
          <w:color w:val="auto"/>
        </w:rPr>
        <w:t>: If a court of competent jurisdiction determines that any provision of this Agreement is invalid or unenforceable, then the invalidity or unenforceability of any other provision of this Agreement, and all other provisions shall remain in full force and effect.</w:t>
      </w:r>
    </w:p>
    <w:p>
      <w:pPr>
        <w:spacing w:after="0" w:line="200" w:lineRule="exact"/>
        <w:rPr>
          <w:sz w:val="20"/>
          <w:szCs w:val="20"/>
          <w:color w:val="auto"/>
        </w:rPr>
      </w:pPr>
    </w:p>
    <w:p>
      <w:pPr>
        <w:spacing w:after="0" w:line="21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type w:val="continuous"/>
        </w:sectPr>
      </w:pPr>
    </w:p>
    <w:bookmarkStart w:id="37" w:name="page38"/>
    <w:bookmarkEnd w:id="37"/>
    <w:p>
      <w:pPr>
        <w:ind w:firstLine="769"/>
        <w:spacing w:after="0" w:line="250" w:lineRule="auto"/>
        <w:tabs>
          <w:tab w:leader="none" w:pos="1570" w:val="left"/>
        </w:tabs>
        <w:numPr>
          <w:ilvl w:val="0"/>
          <w:numId w:val="46"/>
        </w:numPr>
        <w:rPr>
          <w:rFonts w:ascii="Arial" w:cs="Arial" w:eastAsia="Arial" w:hAnsi="Arial"/>
          <w:sz w:val="22"/>
          <w:szCs w:val="22"/>
          <w:color w:val="auto"/>
        </w:rPr>
      </w:pPr>
      <w:r>
        <w:rPr>
          <w:rFonts w:ascii="Arial" w:cs="Arial" w:eastAsia="Arial" w:hAnsi="Arial"/>
          <w:sz w:val="22"/>
          <w:szCs w:val="22"/>
          <w:u w:val="single" w:color="auto"/>
          <w:color w:val="auto"/>
        </w:rPr>
        <w:t>Withholding of Taxes</w:t>
      </w:r>
      <w:r>
        <w:rPr>
          <w:rFonts w:ascii="Arial" w:cs="Arial" w:eastAsia="Arial" w:hAnsi="Arial"/>
          <w:sz w:val="22"/>
          <w:szCs w:val="22"/>
          <w:color w:val="auto"/>
        </w:rPr>
        <w:t>: The Company may withhold from any benefits payable under this Agreement all federal, state, city or other taxes as may be required pursuant to any law or governmental regulation or ruling.</w:t>
      </w:r>
    </w:p>
    <w:p>
      <w:pPr>
        <w:spacing w:after="0" w:line="187" w:lineRule="exact"/>
        <w:rPr>
          <w:rFonts w:ascii="Arial" w:cs="Arial" w:eastAsia="Arial" w:hAnsi="Arial"/>
          <w:sz w:val="22"/>
          <w:szCs w:val="22"/>
          <w:color w:val="auto"/>
        </w:rPr>
      </w:pPr>
    </w:p>
    <w:p>
      <w:pPr>
        <w:jc w:val="both"/>
        <w:ind w:firstLine="769"/>
        <w:spacing w:after="0" w:line="278" w:lineRule="auto"/>
        <w:tabs>
          <w:tab w:leader="none" w:pos="1562" w:val="left"/>
        </w:tabs>
        <w:numPr>
          <w:ilvl w:val="0"/>
          <w:numId w:val="46"/>
        </w:numPr>
        <w:rPr>
          <w:rFonts w:ascii="Arial" w:cs="Arial" w:eastAsia="Arial" w:hAnsi="Arial"/>
          <w:sz w:val="19"/>
          <w:szCs w:val="19"/>
          <w:color w:val="auto"/>
        </w:rPr>
      </w:pPr>
      <w:r>
        <w:rPr>
          <w:rFonts w:ascii="Arial" w:cs="Arial" w:eastAsia="Arial" w:hAnsi="Arial"/>
          <w:sz w:val="19"/>
          <w:szCs w:val="19"/>
          <w:u w:val="single" w:color="auto"/>
          <w:color w:val="auto"/>
        </w:rPr>
        <w:t>No Assignment; Successors</w:t>
      </w:r>
      <w:r>
        <w:rPr>
          <w:rFonts w:ascii="Arial" w:cs="Arial" w:eastAsia="Arial" w:hAnsi="Arial"/>
          <w:sz w:val="19"/>
          <w:szCs w:val="19"/>
          <w:color w:val="auto"/>
        </w:rPr>
        <w:t>: Executive’s right to receive payments or benefits hereunder shall not be assignable or transferable, whether by pledge, creation, or a security interest or otherwise, whether voluntary, involuntary, by operation of law or otherwise, other than as provided in Section 4(a), a transfer by will or by the laws of descent or distribution, and in the event of any attempted assignment or transfer contrary to this Section 11, the Company shall have no liability to pay any amount so attempted to be assigned or transferred. This Agreement shall inure to the benefit of and be enforceable by Executive’s personal or legal representatives, executors, administrators, successors, heirs, distributes, devises and legatees.</w:t>
      </w:r>
    </w:p>
    <w:p>
      <w:pPr>
        <w:spacing w:after="0" w:line="16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This Agreement shall be binding upon and inure to the benefit of the Company, its successors and assigns (including, without limitation, any company into or with which the Company may merge or consolidate).</w:t>
      </w:r>
    </w:p>
    <w:p>
      <w:pPr>
        <w:spacing w:after="0" w:line="188" w:lineRule="exact"/>
        <w:rPr>
          <w:sz w:val="20"/>
          <w:szCs w:val="20"/>
          <w:color w:val="auto"/>
        </w:rPr>
      </w:pPr>
    </w:p>
    <w:p>
      <w:pPr>
        <w:jc w:val="both"/>
        <w:ind w:firstLine="769"/>
        <w:spacing w:after="0"/>
        <w:tabs>
          <w:tab w:leader="none" w:pos="1562"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Effect of Prior Agreements</w:t>
      </w:r>
      <w:r>
        <w:rPr>
          <w:rFonts w:ascii="Arial" w:cs="Arial" w:eastAsia="Arial" w:hAnsi="Arial"/>
          <w:sz w:val="22"/>
          <w:szCs w:val="22"/>
          <w:color w:val="auto"/>
        </w:rPr>
        <w:t>: This Agreement contains the entire understanding between the parties hereto and supersedes any prior employment, severance or other agreement between the Company or any predecessor of the Company and Executive.</w:t>
      </w:r>
    </w:p>
    <w:p>
      <w:pPr>
        <w:spacing w:after="0" w:line="198" w:lineRule="exact"/>
        <w:rPr>
          <w:rFonts w:ascii="Arial" w:cs="Arial" w:eastAsia="Arial" w:hAnsi="Arial"/>
          <w:sz w:val="22"/>
          <w:szCs w:val="22"/>
          <w:color w:val="auto"/>
        </w:rPr>
      </w:pPr>
    </w:p>
    <w:p>
      <w:pPr>
        <w:jc w:val="both"/>
        <w:ind w:firstLine="769"/>
        <w:spacing w:after="0" w:line="246" w:lineRule="auto"/>
        <w:tabs>
          <w:tab w:leader="none" w:pos="1570" w:val="left"/>
        </w:tabs>
        <w:numPr>
          <w:ilvl w:val="0"/>
          <w:numId w:val="47"/>
        </w:numPr>
        <w:rPr>
          <w:rFonts w:ascii="Arial" w:cs="Arial" w:eastAsia="Arial" w:hAnsi="Arial"/>
          <w:sz w:val="21"/>
          <w:szCs w:val="21"/>
          <w:color w:val="auto"/>
        </w:rPr>
      </w:pPr>
      <w:r>
        <w:rPr>
          <w:rFonts w:ascii="Arial" w:cs="Arial" w:eastAsia="Arial" w:hAnsi="Arial"/>
          <w:sz w:val="21"/>
          <w:szCs w:val="21"/>
          <w:u w:val="single" w:color="auto"/>
          <w:color w:val="auto"/>
        </w:rPr>
        <w:t>Release of Claims</w:t>
      </w:r>
      <w:r>
        <w:rPr>
          <w:rFonts w:ascii="Arial" w:cs="Arial" w:eastAsia="Arial" w:hAnsi="Arial"/>
          <w:sz w:val="21"/>
          <w:szCs w:val="21"/>
          <w:color w:val="auto"/>
        </w:rPr>
        <w:t>: In consideration for the compensation and other benefits provided pursuant to this Agreement, Executive has executed a “Waiver and Release,” in the form attached hereto as Exhibit A. Executive acknowledges that he was given copies of this Agreement and the Waiver and Release on [Month, day] 2016</w:t>
      </w:r>
      <w:r>
        <w:rPr>
          <w:rFonts w:ascii="Arial" w:cs="Arial" w:eastAsia="Arial" w:hAnsi="Arial"/>
          <w:sz w:val="21"/>
          <w:szCs w:val="21"/>
          <w:color w:val="191919"/>
        </w:rPr>
        <w:t>,</w:t>
      </w:r>
      <w:r>
        <w:rPr>
          <w:rFonts w:ascii="Arial" w:cs="Arial" w:eastAsia="Arial" w:hAnsi="Arial"/>
          <w:sz w:val="21"/>
          <w:szCs w:val="21"/>
          <w:color w:val="auto"/>
        </w:rPr>
        <w:t xml:space="preserve"> and was given sufficient time to consider whether to sign the Agreement and the Waiver and Release. The Company’s obligations under this Agreement are expressly conditioned on the execution of the Waiver and Release within the time period set forth in Section 1, and Executive’s failure to execute and deliver such Waiver and Release, or Executive’s revocation of the Waiver and Release within the seven day period provided in the Release, will void the Company’s obligations hereunder.</w:t>
      </w:r>
    </w:p>
    <w:p>
      <w:pPr>
        <w:spacing w:after="0" w:line="196" w:lineRule="exact"/>
        <w:rPr>
          <w:rFonts w:ascii="Arial" w:cs="Arial" w:eastAsia="Arial" w:hAnsi="Arial"/>
          <w:sz w:val="21"/>
          <w:szCs w:val="21"/>
          <w:color w:val="auto"/>
        </w:rPr>
      </w:pPr>
    </w:p>
    <w:p>
      <w:pPr>
        <w:jc w:val="both"/>
        <w:ind w:firstLine="769"/>
        <w:spacing w:after="0" w:line="271" w:lineRule="auto"/>
        <w:tabs>
          <w:tab w:leader="none" w:pos="1570" w:val="left"/>
        </w:tabs>
        <w:numPr>
          <w:ilvl w:val="0"/>
          <w:numId w:val="47"/>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Each payment under this Agreement, including each payment in a series of installment payments, is intended to be a separate payment for purposes of Treas. Reg. § 1.409A-2(b), and is intended to be: (i) exempt from Section 409A of the Code, the regulations and other binding guidance promulgated thereunder (“Section 409A”), including, but not limited to, by compliance with the short-term deferral exemption as specified in Treas. Reg. § 1.409A-1(b)(4) and the involuntary separation pay exception within the meaning of Treas. Reg. § 1.409A-1(b)(9)(iii), or (ii) in compliance with Section 409A, including, but not limited to, being paid pursuant to a fixed schedule or specified date pursuant to Treas. Reg. § 1.409A-3(a) and the provisions of this Agreement will be administered, interpreted and construed accordingly. Notwithstanding the foregoing provisions of this Agreement, if the payment of any compensation or benefits under Section 3 would be subject to additional taxes and interest under Section 409A because the timing of such payment is not delayed as provided in Section 409A(a)(2)(B)(i) of the Code, and Executive constitutes a specified employee within the meaning of Section 409A(a)(2)(B)(i) of the Code, then any such payments that Executive would otherwise be entitled to during the first six months following Executive’s separation from service within the meaning of Section 409A(a)(2)(A)(i) of the Code shall be accumulated and paid on the date that is six months after Executive’s separation from service (or if such payment date does not fall on a business day of the Company, the next following business day of the Company), or such earlier date upon which such amount can be paid under Section 409A without being subject to such additional taxes and interest.</w:t>
      </w:r>
    </w:p>
    <w:p>
      <w:pPr>
        <w:spacing w:after="0" w:line="200" w:lineRule="exact"/>
        <w:rPr>
          <w:rFonts w:ascii="Arial" w:cs="Arial" w:eastAsia="Arial" w:hAnsi="Arial"/>
          <w:sz w:val="19"/>
          <w:szCs w:val="19"/>
          <w:color w:val="auto"/>
        </w:rPr>
      </w:pPr>
    </w:p>
    <w:p>
      <w:pPr>
        <w:spacing w:after="0" w:line="217" w:lineRule="exact"/>
        <w:rPr>
          <w:rFonts w:ascii="Arial" w:cs="Arial" w:eastAsia="Arial" w:hAnsi="Arial"/>
          <w:sz w:val="19"/>
          <w:szCs w:val="19"/>
          <w:color w:val="auto"/>
        </w:rPr>
      </w:pPr>
    </w:p>
    <w:p>
      <w:pPr>
        <w:jc w:val="both"/>
        <w:ind w:firstLine="769"/>
        <w:spacing w:after="0"/>
        <w:tabs>
          <w:tab w:leader="none" w:pos="1570" w:val="left"/>
        </w:tabs>
        <w:numPr>
          <w:ilvl w:val="0"/>
          <w:numId w:val="47"/>
        </w:numPr>
        <w:rPr>
          <w:rFonts w:ascii="Arial" w:cs="Arial" w:eastAsia="Arial" w:hAnsi="Arial"/>
          <w:sz w:val="22"/>
          <w:szCs w:val="22"/>
          <w:color w:val="auto"/>
        </w:rPr>
      </w:pPr>
      <w:r>
        <w:rPr>
          <w:rFonts w:ascii="Arial" w:cs="Arial" w:eastAsia="Arial" w:hAnsi="Arial"/>
          <w:sz w:val="22"/>
          <w:szCs w:val="22"/>
          <w:u w:val="single" w:color="auto"/>
          <w:color w:val="auto"/>
        </w:rPr>
        <w:t>No Waiver</w:t>
      </w:r>
      <w:r>
        <w:rPr>
          <w:rFonts w:ascii="Arial" w:cs="Arial" w:eastAsia="Arial" w:hAnsi="Arial"/>
          <w:sz w:val="22"/>
          <w:szCs w:val="22"/>
          <w:color w:val="auto"/>
        </w:rPr>
        <w:t>: No failure by either party hereto at any time to give notice of any breach by the other party of, or to require compliance with, any condition or provision of this Agreement shall be deemed a waiver of similar or dissimilar provisions or conditions at the same or at any prior or subsequent time.</w:t>
      </w:r>
    </w:p>
    <w:p>
      <w:pPr>
        <w:spacing w:after="0" w:line="200" w:lineRule="exact"/>
        <w:rPr>
          <w:sz w:val="20"/>
          <w:szCs w:val="20"/>
          <w:color w:val="auto"/>
        </w:rPr>
      </w:pPr>
    </w:p>
    <w:p>
      <w:pPr>
        <w:spacing w:after="0" w:line="21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8" w:name="page39"/>
    <w:bookmarkEnd w:id="38"/>
    <w:p>
      <w:pPr>
        <w:ind w:firstLine="769"/>
        <w:spacing w:after="0" w:line="250" w:lineRule="auto"/>
        <w:tabs>
          <w:tab w:leader="none" w:pos="157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shall be deemed to be an original, but all of which together will constitute one and the same Agreement.</w:t>
      </w:r>
    </w:p>
    <w:p>
      <w:pPr>
        <w:spacing w:after="0" w:line="187" w:lineRule="exact"/>
        <w:rPr>
          <w:rFonts w:ascii="Arial" w:cs="Arial" w:eastAsia="Arial" w:hAnsi="Arial"/>
          <w:sz w:val="22"/>
          <w:szCs w:val="22"/>
          <w:color w:val="auto"/>
        </w:rPr>
      </w:pPr>
    </w:p>
    <w:p>
      <w:pPr>
        <w:ind w:firstLine="769"/>
        <w:spacing w:after="0" w:line="250" w:lineRule="auto"/>
        <w:tabs>
          <w:tab w:leader="none" w:pos="1570" w:val="left"/>
        </w:tabs>
        <w:numPr>
          <w:ilvl w:val="0"/>
          <w:numId w:val="48"/>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have been inserted for purposes of convenience and shall not be used for interpretive purposes.</w:t>
      </w:r>
    </w:p>
    <w:p>
      <w:pPr>
        <w:spacing w:after="0" w:line="200" w:lineRule="exact"/>
        <w:rPr>
          <w:sz w:val="20"/>
          <w:szCs w:val="20"/>
          <w:color w:val="auto"/>
        </w:rPr>
      </w:pPr>
    </w:p>
    <w:p>
      <w:pPr>
        <w:spacing w:after="0" w:line="217" w:lineRule="exact"/>
        <w:rPr>
          <w:sz w:val="20"/>
          <w:szCs w:val="20"/>
          <w:color w:val="auto"/>
        </w:rPr>
      </w:pPr>
    </w:p>
    <w:p>
      <w:pPr>
        <w:ind w:firstLine="761"/>
        <w:spacing w:after="0" w:line="250" w:lineRule="auto"/>
        <w:rPr>
          <w:sz w:val="20"/>
          <w:szCs w:val="20"/>
          <w:color w:val="auto"/>
        </w:rPr>
      </w:pPr>
      <w:r>
        <w:rPr>
          <w:rFonts w:ascii="Arial" w:cs="Arial" w:eastAsia="Arial" w:hAnsi="Arial"/>
          <w:sz w:val="22"/>
          <w:szCs w:val="22"/>
          <w:color w:val="auto"/>
        </w:rPr>
        <w:t>IN WITNESS WHEREOF the parties have caused this Agreement to be executed and delivered the 31</w:t>
      </w:r>
      <w:r>
        <w:rPr>
          <w:rFonts w:ascii="Arial" w:cs="Arial" w:eastAsia="Arial" w:hAnsi="Arial"/>
          <w:sz w:val="18"/>
          <w:szCs w:val="18"/>
          <w:color w:val="auto"/>
        </w:rPr>
        <w:t>st</w:t>
      </w:r>
      <w:r>
        <w:rPr>
          <w:rFonts w:ascii="Arial" w:cs="Arial" w:eastAsia="Arial" w:hAnsi="Arial"/>
          <w:sz w:val="22"/>
          <w:szCs w:val="22"/>
          <w:color w:val="auto"/>
        </w:rPr>
        <w:t xml:space="preserve"> day of May, 2016 but effective as 1</w:t>
      </w:r>
      <w:r>
        <w:rPr>
          <w:rFonts w:ascii="Arial" w:cs="Arial" w:eastAsia="Arial" w:hAnsi="Arial"/>
          <w:sz w:val="18"/>
          <w:szCs w:val="18"/>
          <w:color w:val="auto"/>
        </w:rPr>
        <w:t>st</w:t>
      </w:r>
      <w:r>
        <w:rPr>
          <w:rFonts w:ascii="Arial" w:cs="Arial" w:eastAsia="Arial" w:hAnsi="Arial"/>
          <w:sz w:val="22"/>
          <w:szCs w:val="22"/>
          <w:color w:val="auto"/>
        </w:rPr>
        <w:t xml:space="preserve"> of June, 2016.</w:t>
      </w:r>
    </w:p>
    <w:p>
      <w:pPr>
        <w:spacing w:after="0" w:line="188"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SCHLUMBERGER LIMITED</w:t>
      </w:r>
    </w:p>
    <w:p>
      <w:pPr>
        <w:spacing w:after="0" w:line="219" w:lineRule="exact"/>
        <w:rPr>
          <w:sz w:val="20"/>
          <w:szCs w:val="20"/>
          <w:color w:val="auto"/>
        </w:rPr>
      </w:pPr>
    </w:p>
    <w:p>
      <w:pPr>
        <w:ind w:left="5480"/>
        <w:spacing w:after="0"/>
        <w:tabs>
          <w:tab w:leader="none" w:pos="6080" w:val="left"/>
        </w:tabs>
        <w:rPr>
          <w:sz w:val="20"/>
          <w:szCs w:val="20"/>
          <w:color w:val="auto"/>
        </w:rPr>
      </w:pPr>
      <w:r>
        <w:rPr>
          <w:rFonts w:ascii="Arial" w:cs="Arial" w:eastAsia="Arial" w:hAnsi="Arial"/>
          <w:sz w:val="22"/>
          <w:szCs w:val="22"/>
          <w:color w:val="auto"/>
        </w:rPr>
        <w:t>By:</w:t>
        <w:tab/>
        <w:t>/s/ Gerard Martellozo</w:t>
      </w:r>
    </w:p>
    <w:p>
      <w:pPr>
        <w:ind w:left="6100"/>
        <w:spacing w:after="0" w:line="237" w:lineRule="auto"/>
        <w:rPr>
          <w:sz w:val="20"/>
          <w:szCs w:val="20"/>
          <w:color w:val="auto"/>
        </w:rPr>
      </w:pPr>
      <w:r>
        <w:rPr>
          <w:rFonts w:ascii="Arial" w:cs="Arial" w:eastAsia="Arial" w:hAnsi="Arial"/>
          <w:sz w:val="22"/>
          <w:szCs w:val="22"/>
          <w:color w:val="auto"/>
        </w:rPr>
        <w:t>Name: Gerard Martellozo</w:t>
      </w:r>
    </w:p>
    <w:p>
      <w:pPr>
        <w:spacing w:after="0" w:line="1" w:lineRule="exact"/>
        <w:rPr>
          <w:sz w:val="20"/>
          <w:szCs w:val="20"/>
          <w:color w:val="auto"/>
        </w:rPr>
      </w:pPr>
    </w:p>
    <w:p>
      <w:pPr>
        <w:ind w:left="6100"/>
        <w:spacing w:after="0"/>
        <w:rPr>
          <w:sz w:val="20"/>
          <w:szCs w:val="20"/>
          <w:color w:val="auto"/>
        </w:rPr>
      </w:pPr>
      <w:r>
        <w:rPr>
          <w:rFonts w:ascii="Arial" w:cs="Arial" w:eastAsia="Arial" w:hAnsi="Arial"/>
          <w:sz w:val="22"/>
          <w:szCs w:val="22"/>
          <w:color w:val="auto"/>
        </w:rPr>
        <w:t>Title: Vice President, Human Resources</w:t>
      </w:r>
    </w:p>
    <w:p>
      <w:pPr>
        <w:spacing w:after="0" w:line="201"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EXECUTIVE</w:t>
      </w:r>
    </w:p>
    <w:p>
      <w:pPr>
        <w:spacing w:after="0" w:line="219" w:lineRule="exact"/>
        <w:rPr>
          <w:sz w:val="20"/>
          <w:szCs w:val="20"/>
          <w:color w:val="auto"/>
        </w:rPr>
      </w:pPr>
    </w:p>
    <w:p>
      <w:pPr>
        <w:ind w:left="5480"/>
        <w:spacing w:after="0"/>
        <w:tabs>
          <w:tab w:leader="none" w:pos="6080" w:val="left"/>
        </w:tabs>
        <w:rPr>
          <w:sz w:val="20"/>
          <w:szCs w:val="20"/>
          <w:color w:val="auto"/>
        </w:rPr>
      </w:pPr>
      <w:r>
        <w:rPr>
          <w:rFonts w:ascii="Arial" w:cs="Arial" w:eastAsia="Arial" w:hAnsi="Arial"/>
          <w:sz w:val="22"/>
          <w:szCs w:val="22"/>
          <w:color w:val="auto"/>
        </w:rPr>
        <w:t>By:</w:t>
        <w:tab/>
        <w:t>/s/ Sherif Foda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9" w:name="page40"/>
    <w:bookmarkEnd w:id="39"/>
    <w:p>
      <w:pPr>
        <w:spacing w:after="0"/>
        <w:rPr>
          <w:sz w:val="20"/>
          <w:szCs w:val="20"/>
          <w:color w:val="auto"/>
        </w:rPr>
      </w:pPr>
      <w:r>
        <w:rPr>
          <w:rFonts w:ascii="Arial" w:cs="Arial" w:eastAsia="Arial" w:hAnsi="Arial"/>
          <w:sz w:val="22"/>
          <w:szCs w:val="22"/>
          <w:color w:val="191919"/>
        </w:rPr>
        <w:t>Exhibit A</w:t>
      </w:r>
    </w:p>
    <w:p>
      <w:pPr>
        <w:spacing w:after="0" w:line="219" w:lineRule="exact"/>
        <w:rPr>
          <w:sz w:val="20"/>
          <w:szCs w:val="20"/>
          <w:color w:val="auto"/>
        </w:rPr>
      </w:pPr>
    </w:p>
    <w:p>
      <w:pPr>
        <w:ind w:left="4740"/>
        <w:spacing w:after="0"/>
        <w:rPr>
          <w:sz w:val="20"/>
          <w:szCs w:val="20"/>
          <w:color w:val="auto"/>
        </w:rPr>
      </w:pPr>
      <w:r>
        <w:rPr>
          <w:rFonts w:ascii="Arial" w:cs="Arial" w:eastAsia="Arial" w:hAnsi="Arial"/>
          <w:sz w:val="22"/>
          <w:szCs w:val="22"/>
          <w:color w:val="191919"/>
        </w:rPr>
        <w:t>S</w:t>
      </w:r>
      <w:r>
        <w:rPr>
          <w:rFonts w:ascii="Arial" w:cs="Arial" w:eastAsia="Arial" w:hAnsi="Arial"/>
          <w:sz w:val="14"/>
          <w:szCs w:val="14"/>
          <w:color w:val="191919"/>
        </w:rPr>
        <w:t>CHLUMBERGER</w:t>
      </w:r>
      <w:r>
        <w:rPr>
          <w:rFonts w:ascii="Arial" w:cs="Arial" w:eastAsia="Arial" w:hAnsi="Arial"/>
          <w:sz w:val="22"/>
          <w:szCs w:val="22"/>
          <w:color w:val="191919"/>
        </w:rPr>
        <w:t xml:space="preserve"> L</w:t>
      </w:r>
      <w:r>
        <w:rPr>
          <w:rFonts w:ascii="Arial" w:cs="Arial" w:eastAsia="Arial" w:hAnsi="Arial"/>
          <w:sz w:val="14"/>
          <w:szCs w:val="14"/>
          <w:color w:val="191919"/>
        </w:rPr>
        <w:t>IMITED</w:t>
      </w:r>
    </w:p>
    <w:p>
      <w:pPr>
        <w:spacing w:after="0" w:line="8" w:lineRule="exact"/>
        <w:rPr>
          <w:sz w:val="20"/>
          <w:szCs w:val="20"/>
          <w:color w:val="auto"/>
        </w:rPr>
      </w:pPr>
    </w:p>
    <w:p>
      <w:pPr>
        <w:ind w:left="4800"/>
        <w:spacing w:after="0"/>
        <w:rPr>
          <w:sz w:val="20"/>
          <w:szCs w:val="20"/>
          <w:color w:val="auto"/>
        </w:rPr>
      </w:pPr>
      <w:r>
        <w:rPr>
          <w:rFonts w:ascii="Arial" w:cs="Arial" w:eastAsia="Arial" w:hAnsi="Arial"/>
          <w:sz w:val="22"/>
          <w:szCs w:val="22"/>
          <w:color w:val="191919"/>
        </w:rPr>
        <w:t>W</w:t>
      </w:r>
      <w:r>
        <w:rPr>
          <w:rFonts w:ascii="Arial" w:cs="Arial" w:eastAsia="Arial" w:hAnsi="Arial"/>
          <w:sz w:val="14"/>
          <w:szCs w:val="14"/>
          <w:color w:val="191919"/>
        </w:rPr>
        <w:t>AIVER</w:t>
      </w:r>
      <w:r>
        <w:rPr>
          <w:rFonts w:ascii="Arial" w:cs="Arial" w:eastAsia="Arial" w:hAnsi="Arial"/>
          <w:sz w:val="22"/>
          <w:szCs w:val="22"/>
          <w:color w:val="191919"/>
        </w:rPr>
        <w:t xml:space="preserve"> A</w:t>
      </w:r>
      <w:r>
        <w:rPr>
          <w:rFonts w:ascii="Arial" w:cs="Arial" w:eastAsia="Arial" w:hAnsi="Arial"/>
          <w:sz w:val="14"/>
          <w:szCs w:val="14"/>
          <w:color w:val="191919"/>
        </w:rPr>
        <w:t>ND</w:t>
      </w:r>
      <w:r>
        <w:rPr>
          <w:rFonts w:ascii="Arial" w:cs="Arial" w:eastAsia="Arial" w:hAnsi="Arial"/>
          <w:sz w:val="22"/>
          <w:szCs w:val="22"/>
          <w:color w:val="191919"/>
        </w:rPr>
        <w:t xml:space="preserve"> R</w:t>
      </w:r>
      <w:r>
        <w:rPr>
          <w:rFonts w:ascii="Arial" w:cs="Arial" w:eastAsia="Arial" w:hAnsi="Arial"/>
          <w:sz w:val="14"/>
          <w:szCs w:val="14"/>
          <w:color w:val="191919"/>
        </w:rPr>
        <w:t>ELEASE</w:t>
      </w:r>
    </w:p>
    <w:p>
      <w:pPr>
        <w:spacing w:after="0" w:line="200" w:lineRule="exact"/>
        <w:rPr>
          <w:sz w:val="20"/>
          <w:szCs w:val="20"/>
          <w:color w:val="auto"/>
        </w:rPr>
      </w:pPr>
    </w:p>
    <w:p>
      <w:pPr>
        <w:spacing w:after="0" w:line="23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191919"/>
        </w:rPr>
        <w:t>Schlumberger Limited has offered to pay me the Release Payment described in section (a) of my Employment Agreement with Schlumberger Limited, effective as of May 31st, 2016 (the “Agreement”), which is in addition to any remuneration or benefits to which I am already entitled. This Release Payment was offered to me in exchange for my agreement, among other things, to waive all of my claims against and release Schlumberger Limited and its predecessors, successors and assigns (collectively referred to as the “Company”), all of the affiliates (including parents and subsidiaries) of the Company (collectively referred to as the “Affiliates”) and the Company’s and Affiliates’ directors and officers, employees and agents, employee benefit plans and the fiduciaries and agents of said plans (collectively, with the Company and Affiliates, referred to as the “Corporate Group”) from any and all claims, demands, actions, liabilities and damages arising out of or relating in any way to my employment with or separation from the Company or the Affiliates; provided, however, that this Waiver and Release shall not apply to any claim or cause of action to enforce or interpret any provision contained in the Agreement. I have read this Waiver and Release and the Agreement (which, together, are referred to herein as the “Agreement Materials”) and the Agreement is incorporated herein by reference. The payment of the Release Payment is voluntary on the part of the Company and is not required by any legal obligation other than the Agreement. I choose to accept this offer.</w:t>
      </w:r>
    </w:p>
    <w:p>
      <w:pPr>
        <w:spacing w:after="0" w:line="194" w:lineRule="exact"/>
        <w:rPr>
          <w:sz w:val="20"/>
          <w:szCs w:val="20"/>
          <w:color w:val="auto"/>
        </w:rPr>
      </w:pPr>
    </w:p>
    <w:p>
      <w:pPr>
        <w:jc w:val="both"/>
        <w:spacing w:after="0" w:line="264" w:lineRule="auto"/>
        <w:rPr>
          <w:sz w:val="20"/>
          <w:szCs w:val="20"/>
          <w:color w:val="auto"/>
        </w:rPr>
      </w:pPr>
      <w:r>
        <w:rPr>
          <w:rFonts w:ascii="Arial" w:cs="Arial" w:eastAsia="Arial" w:hAnsi="Arial"/>
          <w:sz w:val="20"/>
          <w:szCs w:val="20"/>
          <w:color w:val="191919"/>
        </w:rPr>
        <w:t>I understand that signing this Waiver and Release is an important legal act. I acknowledge that the Company has advised me in writing to consult an attorney before signing this Waiver and Release. I understand that, in order to be eligible for the Release Payment, I must sign (and return to Gerard Martellozo, VP Human Resources, Schlumberger Limited, 5599 San Felipe, 17</w:t>
      </w:r>
      <w:r>
        <w:rPr>
          <w:rFonts w:ascii="Arial" w:cs="Arial" w:eastAsia="Arial" w:hAnsi="Arial"/>
          <w:sz w:val="17"/>
          <w:szCs w:val="17"/>
          <w:color w:val="191919"/>
        </w:rPr>
        <w:t>th</w:t>
      </w:r>
      <w:r>
        <w:rPr>
          <w:rFonts w:ascii="Arial" w:cs="Arial" w:eastAsia="Arial" w:hAnsi="Arial"/>
          <w:sz w:val="20"/>
          <w:szCs w:val="20"/>
          <w:color w:val="191919"/>
        </w:rPr>
        <w:t xml:space="preserve"> Floor, Houston, TX 77056) this Waiver and Release by 5 p.m. on May 31st, 2016. I acknowledge that I have been given at least 21 days to consider whether to sign the Agreement and whether to execute this Waiver and Release.</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9"/>
          <w:szCs w:val="19"/>
          <w:color w:val="191919"/>
        </w:rPr>
        <w:t>In exchange for the payment to me of the Release Payment, which is in addition to any remuneration or benefits to which I am already entitled, I, among other things, (1) agree never to institute, maintain or prosecute, or induce or assist in the instigation, commencement, maintenance or prosecution of any action, suit, proceeding or administrative charge in any forum regarding or relating in any way to my employment with or separation from the Company or the Affiliates, and (2) knowingly and voluntarily waive all claims and release the Corporate Group from any and all claims, demands, actions, liabilities, and damages, whether known or unknown, arising out of or relating in any way to my employment with or separation from the Company or the Affiliates, except to the extent that my rights are vested under the terms of employee benefit plans sponsored by the Company or the Affiliates and except with respect to such rights or claims as may arise after the date this Waiver and Release is executed. This Waiver and Release includes, but is not limited to, claims and causes of action under: Title VII of the Civil Rights Act of 1964, as amended (“Title VII”); the Age Discrimination in Employment Act of 1967, as amended, including the Older Workers Benefit Protection Act of 1990 (“ADEA”); the Civil Rights Act of 1866, as amended; the Civil Rights Act of 1991; the Americans with Disabilities Act of 1990 (“ADA”); the Energy Reorganization Act, as amended, 42 U.S.C. § 5851; the Workers Adjustment and Retraining Notification Act of 1988; the Pregnancy Discrimination Act of 1978; the Employee Retirement Income Security Act of 1974, as amended; the Family and Medical Leave Act of 1993; the Occupational Safety and Health Act; claims in connection with workers’ compensation or “whistle blower” statutes; and/or contract, tort, defamation, slander, wrongful termination or any other state or federal regulatory, statutory or common law, whether of the United States or any other country. Further, I expressly represent that no promise or agreement which is not expressed in the Agreement Materials has been made to me in executing this Waiver and Release, and that I am relying on my own judgment in executing this Waiver and Release, and that I am not relying on any statement</w:t>
      </w:r>
    </w:p>
    <w:p>
      <w:pPr>
        <w:spacing w:after="0" w:line="200" w:lineRule="exact"/>
        <w:rPr>
          <w:sz w:val="20"/>
          <w:szCs w:val="20"/>
          <w:color w:val="auto"/>
        </w:rPr>
      </w:pPr>
    </w:p>
    <w:p>
      <w:pPr>
        <w:spacing w:after="0" w:line="205"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0" w:name="page41"/>
    <w:bookmarkEnd w:id="40"/>
    <w:p>
      <w:pPr>
        <w:jc w:val="both"/>
        <w:spacing w:after="0" w:line="244" w:lineRule="auto"/>
        <w:rPr>
          <w:sz w:val="20"/>
          <w:szCs w:val="20"/>
          <w:color w:val="auto"/>
        </w:rPr>
      </w:pPr>
      <w:r>
        <w:rPr>
          <w:rFonts w:ascii="Arial" w:cs="Arial" w:eastAsia="Arial" w:hAnsi="Arial"/>
          <w:sz w:val="21"/>
          <w:szCs w:val="21"/>
          <w:color w:val="191919"/>
        </w:rPr>
        <w:t xml:space="preserve">or representation of the Company, any of the Affiliates or any other member of the Corporate Group or any of their agents. I agree that this Waiver and Release is valid, fair, adequate and reasonable, is with my full knowledge and consent, was not procured through fraud, duress or mistake and has not had the effect of misleading, misinforming or failing to inform me. Notwithstanding the above, nothing in this Waiver and Release is intended to (i) release or affect in any way any board resolution or by-law of the Company or other agreement between me and the Company which may provide for indemnity and/or director and officer insurance coverage relating to any potential claim against me arising out of my role as an officer and employee of the Company, (ii) release or affect in any way any claims arising under the Agreement, (iii) prevent me from </w:t>
      </w:r>
      <w:r>
        <w:rPr>
          <w:rFonts w:ascii="Arial" w:cs="Arial" w:eastAsia="Arial" w:hAnsi="Arial"/>
          <w:sz w:val="21"/>
          <w:szCs w:val="21"/>
          <w:color w:val="000000"/>
        </w:rPr>
        <w:t>filing a complaint with, providing information to,</w:t>
      </w:r>
      <w:r>
        <w:rPr>
          <w:rFonts w:ascii="Arial" w:cs="Arial" w:eastAsia="Arial" w:hAnsi="Arial"/>
          <w:sz w:val="21"/>
          <w:szCs w:val="21"/>
          <w:color w:val="191919"/>
        </w:rPr>
        <w:t xml:space="preserve"> </w:t>
      </w:r>
      <w:r>
        <w:rPr>
          <w:rFonts w:ascii="Arial" w:cs="Arial" w:eastAsia="Arial" w:hAnsi="Arial"/>
          <w:sz w:val="21"/>
          <w:szCs w:val="21"/>
          <w:color w:val="000000"/>
        </w:rPr>
        <w:t xml:space="preserve">or testifying or otherwise assisting in any investigation or proceeding brought by any state, federal or local regulatory or law enforcement agency or legislative body, </w:t>
      </w:r>
      <w:r>
        <w:rPr>
          <w:rFonts w:ascii="Arial" w:cs="Arial" w:eastAsia="Arial" w:hAnsi="Arial"/>
          <w:sz w:val="21"/>
          <w:szCs w:val="21"/>
          <w:color w:val="191919"/>
        </w:rPr>
        <w:t>or (iv) prevent me from</w:t>
      </w:r>
      <w:r>
        <w:rPr>
          <w:rFonts w:ascii="Arial" w:cs="Arial" w:eastAsia="Arial" w:hAnsi="Arial"/>
          <w:sz w:val="21"/>
          <w:szCs w:val="21"/>
          <w:color w:val="000000"/>
        </w:rPr>
        <w:t xml:space="preserve"> filing any claims that are not permitted to be waived or released under applicable law. However, I further agree and covenant that I will not seek or accept any personal, equitable or monetary relief in any action, suit, proceeding or administrative charge filed on my behalf by any person, organization or other entity against the Corporate Group.</w:t>
      </w:r>
    </w:p>
    <w:p>
      <w:pPr>
        <w:spacing w:after="0" w:line="197"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191919"/>
        </w:rPr>
        <w:t>I acknowledge that payment of the Release Payment to me by the Company is not an admission by the Company or any other member of the Corporate Group that they engaged in any wrongful or unlawful act or that the Company or any member of the Corporate Group violated any federal or state law or regulation. Except as provided in the Agreement Materials, I acknowledge that neither the Company nor any other member of the Corporate Group has promised me continued employment or represented to me that I will be rehired in the future. I acknowledge that the Company and I contemplate an unequivocal, complete and final dissolution of my employment relationship following the Term (as defined in the Agreement). I acknowledge that this Waiver and Release does not create any right on my part to be rehired by the Company or the Affiliates and I hereby waive any right to future employment by the Company or any other member of the Corporate Group.</w:t>
      </w:r>
    </w:p>
    <w:p>
      <w:pPr>
        <w:spacing w:after="0" w:line="169" w:lineRule="exact"/>
        <w:rPr>
          <w:sz w:val="20"/>
          <w:szCs w:val="20"/>
          <w:color w:val="auto"/>
        </w:rPr>
      </w:pPr>
    </w:p>
    <w:p>
      <w:pPr>
        <w:jc w:val="both"/>
        <w:spacing w:after="0" w:line="247" w:lineRule="auto"/>
        <w:rPr>
          <w:sz w:val="20"/>
          <w:szCs w:val="20"/>
          <w:color w:val="auto"/>
        </w:rPr>
      </w:pPr>
      <w:r>
        <w:rPr>
          <w:rFonts w:ascii="Arial" w:cs="Arial" w:eastAsia="Arial" w:hAnsi="Arial"/>
          <w:sz w:val="21"/>
          <w:szCs w:val="21"/>
          <w:color w:val="191919"/>
        </w:rPr>
        <w:t>Both the Company and I agree to refrain from any criticisms or disparaging comments about each other or in any way relating to my employment or separation and the Company and I specifically acknowledge that our willingness to enter into this Waiver and Release is in anticipation of our fidelity to this commitment. The above is not intended to restrict me from seeking or engaging in other employment and, in that connection, from making confidential disclosure to potential employers of such facts or opinions as I may elect to convey, nor is it intended to restrict the Company from conducting such confidential internal communications as may be necessary to manage this resignation in a businesslike way.</w:t>
      </w:r>
    </w:p>
    <w:p>
      <w:pPr>
        <w:spacing w:after="0" w:line="195"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191919"/>
        </w:rPr>
        <w:t>Should any of the provisions set forth in this Waiver and Release be determined to be invalid by a court, agency or other tribunal of competent jurisdiction, it is agreed that such determination shall not affect the enforceability of other provisions of this Waiver and Release. I acknowledge that this Waiver and Release and the other Agreement Materials set forth the entire understanding and agreement between me and the Company or any other member of the Corporate Group concerning the subject matter of this Waiver and Release and supersede any prior or contemporaneous oral and/or written agreements or representations, if any, between me and the Company or any other member of the Corporate Group. I understand that for a period of 7 calendar days following the date that I sign this Waiver and Release, I may revoke my acceptance of the offer, provided that my written statement of revocation is received on or before that seventh day by Gerard Martellozo, VP Human Resources of Schlumberger Limited - Houston, in which case the Waiver and Release will not become effective. In the event I revoke my acceptance of this offer, the Company shall have no obligation to pay me the Release Payment. I understand that failure to revoke my acceptance of the offer within 7 calendar days from the date I sign this Waiver and Release will result in this Waiver and Release being permanent and irrevocable.</w:t>
      </w:r>
    </w:p>
    <w:p>
      <w:pPr>
        <w:spacing w:after="0" w:line="17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191919"/>
        </w:rPr>
        <w:t>I acknowledge that I have read this Waiver and Release, have had an opportunity to ask questions and have it explained to me and that I understand that this Waiver and Release will have the effect of knowingly and</w:t>
      </w:r>
    </w:p>
    <w:p>
      <w:pPr>
        <w:spacing w:after="0" w:line="282" w:lineRule="exact"/>
        <w:rPr>
          <w:sz w:val="20"/>
          <w:szCs w:val="20"/>
          <w:color w:val="auto"/>
        </w:rPr>
      </w:pPr>
    </w:p>
    <w:p>
      <w:pPr>
        <w:jc w:val="center"/>
        <w:ind w:right="38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62865</wp:posOffset>
            </wp:positionV>
            <wp:extent cx="728916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20"/>
          </w:cols>
          <w:pgMar w:left="240" w:top="347" w:right="239" w:bottom="1440" w:gutter="0" w:footer="0" w:header="0"/>
        </w:sectPr>
      </w:pPr>
    </w:p>
    <w:bookmarkStart w:id="41" w:name="page42"/>
    <w:bookmarkEnd w:id="41"/>
    <w:p>
      <w:pPr>
        <w:jc w:val="both"/>
        <w:spacing w:after="0" w:line="236" w:lineRule="auto"/>
        <w:rPr>
          <w:sz w:val="20"/>
          <w:szCs w:val="20"/>
          <w:color w:val="auto"/>
        </w:rPr>
      </w:pPr>
      <w:r>
        <w:rPr>
          <w:rFonts w:ascii="Arial" w:cs="Arial" w:eastAsia="Arial" w:hAnsi="Arial"/>
          <w:sz w:val="22"/>
          <w:szCs w:val="22"/>
          <w:color w:val="191919"/>
        </w:rPr>
        <w:t>voluntarily waiving any action I might pursue, including breach of contract, personal injury, retaliation, discrimination on the basis of race, age, sex, national origin, or disability and any other claims arising prior to the date of this Waiver and Release. By execution of this document, I do not waive or release or otherwise relinquish any legal rights I may have which are attributable to or arise out of acts, omissions, or events of the Company or any other member of the Corporate Group which occur after the date of the execution of this Waiver and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64"/>
        </w:trPr>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Sherif Foda</w:t>
            </w:r>
          </w:p>
        </w:tc>
        <w:tc>
          <w:tcPr>
            <w:tcW w:w="1740" w:type="dxa"/>
            <w:vAlign w:val="bottom"/>
          </w:tcPr>
          <w:p>
            <w:pPr>
              <w:spacing w:after="0"/>
              <w:rPr>
                <w:sz w:val="22"/>
                <w:szCs w:val="22"/>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Gerard Martellozo</w:t>
            </w:r>
          </w:p>
        </w:tc>
      </w:tr>
      <w:tr>
        <w:trPr>
          <w:trHeight w:val="268"/>
        </w:trPr>
        <w:tc>
          <w:tcPr>
            <w:tcW w:w="4600" w:type="dxa"/>
            <w:vAlign w:val="bottom"/>
          </w:tcPr>
          <w:p>
            <w:pPr>
              <w:spacing w:after="0"/>
              <w:rPr>
                <w:sz w:val="20"/>
                <w:szCs w:val="20"/>
                <w:color w:val="auto"/>
              </w:rPr>
            </w:pPr>
            <w:r>
              <w:rPr>
                <w:rFonts w:ascii="Arial" w:cs="Arial" w:eastAsia="Arial" w:hAnsi="Arial"/>
                <w:sz w:val="22"/>
                <w:szCs w:val="22"/>
                <w:color w:val="191919"/>
              </w:rPr>
              <w:t>Employee’s Printed Name</w:t>
            </w:r>
          </w:p>
        </w:tc>
        <w:tc>
          <w:tcPr>
            <w:tcW w:w="17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Arial" w:cs="Arial" w:eastAsia="Arial" w:hAnsi="Arial"/>
                <w:sz w:val="22"/>
                <w:szCs w:val="22"/>
                <w:color w:val="191919"/>
              </w:rPr>
              <w:t>Company Representative</w:t>
            </w:r>
          </w:p>
        </w:tc>
      </w:tr>
      <w:tr>
        <w:trPr>
          <w:trHeight w:val="441"/>
        </w:trPr>
        <w:tc>
          <w:tcPr>
            <w:tcW w:w="46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Sherif Foda</w:t>
            </w:r>
          </w:p>
        </w:tc>
        <w:tc>
          <w:tcPr>
            <w:tcW w:w="1740" w:type="dxa"/>
            <w:vAlign w:val="bottom"/>
          </w:tcPr>
          <w:p>
            <w:pPr>
              <w:spacing w:after="0"/>
              <w:rPr>
                <w:sz w:val="24"/>
                <w:szCs w:val="24"/>
                <w:color w:val="auto"/>
              </w:rPr>
            </w:pPr>
          </w:p>
        </w:tc>
        <w:tc>
          <w:tcPr>
            <w:tcW w:w="5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Gerard Martellozo</w:t>
            </w:r>
          </w:p>
        </w:tc>
      </w:tr>
      <w:tr>
        <w:trPr>
          <w:trHeight w:val="268"/>
        </w:trPr>
        <w:tc>
          <w:tcPr>
            <w:tcW w:w="4600" w:type="dxa"/>
            <w:vAlign w:val="bottom"/>
          </w:tcPr>
          <w:p>
            <w:pPr>
              <w:spacing w:after="0"/>
              <w:rPr>
                <w:sz w:val="20"/>
                <w:szCs w:val="20"/>
                <w:color w:val="auto"/>
              </w:rPr>
            </w:pPr>
            <w:r>
              <w:rPr>
                <w:rFonts w:ascii="Arial" w:cs="Arial" w:eastAsia="Arial" w:hAnsi="Arial"/>
                <w:sz w:val="22"/>
                <w:szCs w:val="22"/>
                <w:color w:val="191919"/>
              </w:rPr>
              <w:t>Employee’s Signature</w:t>
            </w:r>
          </w:p>
        </w:tc>
        <w:tc>
          <w:tcPr>
            <w:tcW w:w="1740" w:type="dxa"/>
            <w:vAlign w:val="bottom"/>
          </w:tcPr>
          <w:p>
            <w:pPr>
              <w:spacing w:after="0"/>
              <w:rPr>
                <w:sz w:val="23"/>
                <w:szCs w:val="23"/>
                <w:color w:val="auto"/>
              </w:rPr>
            </w:pPr>
          </w:p>
        </w:tc>
        <w:tc>
          <w:tcPr>
            <w:tcW w:w="5080" w:type="dxa"/>
            <w:vAlign w:val="bottom"/>
          </w:tcPr>
          <w:p>
            <w:pPr>
              <w:spacing w:after="0"/>
              <w:rPr>
                <w:sz w:val="20"/>
                <w:szCs w:val="20"/>
                <w:color w:val="auto"/>
              </w:rPr>
            </w:pPr>
            <w:r>
              <w:rPr>
                <w:rFonts w:ascii="Arial" w:cs="Arial" w:eastAsia="Arial" w:hAnsi="Arial"/>
                <w:sz w:val="22"/>
                <w:szCs w:val="22"/>
                <w:color w:val="191919"/>
              </w:rPr>
              <w:t>Company Representative’s Signature</w:t>
            </w:r>
          </w:p>
        </w:tc>
      </w:tr>
      <w:tr>
        <w:trPr>
          <w:trHeight w:val="774"/>
        </w:trPr>
        <w:tc>
          <w:tcPr>
            <w:tcW w:w="4600" w:type="dxa"/>
            <w:vAlign w:val="bottom"/>
          </w:tcPr>
          <w:p>
            <w:pPr>
              <w:spacing w:after="0"/>
              <w:rPr>
                <w:sz w:val="24"/>
                <w:szCs w:val="24"/>
                <w:color w:val="auto"/>
              </w:rPr>
            </w:pPr>
          </w:p>
        </w:tc>
        <w:tc>
          <w:tcPr>
            <w:tcW w:w="1740" w:type="dxa"/>
            <w:vAlign w:val="bottom"/>
          </w:tcPr>
          <w:p>
            <w:pPr>
              <w:jc w:val="right"/>
              <w:ind w:right="612"/>
              <w:spacing w:after="0"/>
              <w:rPr>
                <w:sz w:val="20"/>
                <w:szCs w:val="20"/>
                <w:color w:val="auto"/>
              </w:rPr>
            </w:pPr>
            <w:r>
              <w:rPr>
                <w:rFonts w:ascii="Arial" w:cs="Arial" w:eastAsia="Arial" w:hAnsi="Arial"/>
                <w:sz w:val="22"/>
                <w:szCs w:val="22"/>
                <w:color w:val="auto"/>
              </w:rPr>
              <w:t>11</w:t>
            </w:r>
          </w:p>
        </w:tc>
        <w:tc>
          <w:tcPr>
            <w:tcW w:w="5080" w:type="dxa"/>
            <w:vAlign w:val="bottom"/>
          </w:tcPr>
          <w:p>
            <w:pPr>
              <w:spacing w:after="0"/>
              <w:rPr>
                <w:sz w:val="24"/>
                <w:szCs w:val="24"/>
                <w:color w:val="auto"/>
              </w:rPr>
            </w:pPr>
          </w:p>
        </w:tc>
      </w:tr>
    </w:tbl>
    <w:p>
      <w:pPr>
        <w:sectPr>
          <w:pgSz w:w="11900" w:h="16838" w:orient="portrait"/>
          <w:cols w:equalWidth="0" w:num="1">
            <w:col w:w="11420"/>
          </w:cols>
          <w:pgMar w:left="240" w:top="347"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u w:val="single" w:color="auto"/>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EXECUTIVE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Paal Kibsgaard, certify that:</w:t>
      </w:r>
    </w:p>
    <w:p>
      <w:pPr>
        <w:spacing w:after="0" w:line="117" w:lineRule="exact"/>
        <w:rPr>
          <w:sz w:val="20"/>
          <w:szCs w:val="20"/>
          <w:color w:val="auto"/>
        </w:rPr>
      </w:pPr>
    </w:p>
    <w:p>
      <w:pPr>
        <w:ind w:left="560" w:hanging="172"/>
        <w:spacing w:after="0"/>
        <w:tabs>
          <w:tab w:leader="none" w:pos="5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6" w:lineRule="exact"/>
        <w:rPr>
          <w:rFonts w:ascii="Arial" w:cs="Arial" w:eastAsia="Arial" w:hAnsi="Arial"/>
          <w:sz w:val="18"/>
          <w:szCs w:val="18"/>
          <w:color w:val="auto"/>
        </w:rPr>
      </w:pPr>
    </w:p>
    <w:p>
      <w:pPr>
        <w:ind w:firstLine="388"/>
        <w:spacing w:after="0" w:line="341" w:lineRule="auto"/>
        <w:tabs>
          <w:tab w:leader="none" w:pos="574" w:val="left"/>
        </w:tabs>
        <w:numPr>
          <w:ilvl w:val="0"/>
          <w:numId w:val="4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388"/>
        <w:spacing w:after="0" w:line="277" w:lineRule="auto"/>
        <w:tabs>
          <w:tab w:leader="none" w:pos="575" w:val="left"/>
        </w:tabs>
        <w:numPr>
          <w:ilvl w:val="0"/>
          <w:numId w:val="4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firstLine="388"/>
        <w:spacing w:after="0" w:line="263" w:lineRule="auto"/>
        <w:tabs>
          <w:tab w:leader="none" w:pos="589"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120" w:hanging="505"/>
        <w:spacing w:after="0" w:line="263"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120" w:hanging="505"/>
        <w:spacing w:after="0" w:line="263"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120" w:hanging="505"/>
        <w:spacing w:after="0" w:line="307" w:lineRule="auto"/>
        <w:tabs>
          <w:tab w:leader="none" w:pos="1120" w:val="left"/>
        </w:tabs>
        <w:numPr>
          <w:ilvl w:val="1"/>
          <w:numId w:val="4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1120" w:hanging="505"/>
        <w:spacing w:after="0" w:line="263"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20" w:firstLine="388"/>
        <w:spacing w:after="0" w:line="307" w:lineRule="auto"/>
        <w:tabs>
          <w:tab w:leader="none" w:pos="571"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20" w:hanging="505"/>
        <w:spacing w:after="0" w:line="277"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120" w:hanging="505"/>
        <w:spacing w:after="0" w:line="277" w:lineRule="auto"/>
        <w:tabs>
          <w:tab w:leader="none" w:pos="1120" w:val="left"/>
        </w:tabs>
        <w:numPr>
          <w:ilvl w:val="1"/>
          <w:numId w:val="4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840" w:type="dxa"/>
            <w:vAlign w:val="bottom"/>
          </w:tcPr>
          <w:p>
            <w:pPr>
              <w:spacing w:after="0"/>
              <w:rPr>
                <w:sz w:val="20"/>
                <w:szCs w:val="20"/>
                <w:color w:val="auto"/>
              </w:rPr>
            </w:pPr>
            <w:r>
              <w:rPr>
                <w:rFonts w:ascii="Arial" w:cs="Arial" w:eastAsia="Arial" w:hAnsi="Arial"/>
                <w:sz w:val="18"/>
                <w:szCs w:val="18"/>
                <w:color w:val="auto"/>
              </w:rPr>
              <w:t>Date: July 27, 2016</w:t>
            </w: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Paal Kibsgaard</w:t>
            </w:r>
          </w:p>
        </w:tc>
      </w:tr>
      <w:tr>
        <w:trPr>
          <w:trHeight w:val="195"/>
        </w:trPr>
        <w:tc>
          <w:tcPr>
            <w:tcW w:w="6840" w:type="dxa"/>
            <w:vAlign w:val="bottom"/>
          </w:tcPr>
          <w:p>
            <w:pPr>
              <w:spacing w:after="0"/>
              <w:rPr>
                <w:sz w:val="16"/>
                <w:szCs w:val="16"/>
                <w:color w:val="auto"/>
              </w:rPr>
            </w:pPr>
          </w:p>
        </w:tc>
        <w:tc>
          <w:tcPr>
            <w:tcW w:w="4580" w:type="dxa"/>
            <w:vAlign w:val="bottom"/>
          </w:tcPr>
          <w:p>
            <w:pPr>
              <w:ind w:left="6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6840" w:type="dxa"/>
            <w:vAlign w:val="bottom"/>
          </w:tcPr>
          <w:p>
            <w:pPr>
              <w:spacing w:after="0"/>
              <w:rPr>
                <w:sz w:val="20"/>
                <w:szCs w:val="20"/>
                <w:color w:val="auto"/>
              </w:rPr>
            </w:pPr>
          </w:p>
        </w:tc>
        <w:tc>
          <w:tcPr>
            <w:tcW w:w="4580" w:type="dxa"/>
            <w:vAlign w:val="bottom"/>
          </w:tcPr>
          <w:p>
            <w:pPr>
              <w:ind w:left="6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121"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u w:val="single" w:color="auto"/>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OF CHIEF FINANCIAL OFFICER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 Simon Ayat, certify that:</w:t>
      </w:r>
    </w:p>
    <w:p>
      <w:pPr>
        <w:spacing w:after="0" w:line="117" w:lineRule="exact"/>
        <w:rPr>
          <w:sz w:val="20"/>
          <w:szCs w:val="20"/>
          <w:color w:val="auto"/>
        </w:rPr>
      </w:pPr>
    </w:p>
    <w:p>
      <w:pPr>
        <w:ind w:left="560" w:hanging="172"/>
        <w:spacing w:after="0"/>
        <w:tabs>
          <w:tab w:leader="none" w:pos="5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Schlumberger Limited;</w:t>
      </w:r>
    </w:p>
    <w:p>
      <w:pPr>
        <w:spacing w:after="0" w:line="116" w:lineRule="exact"/>
        <w:rPr>
          <w:rFonts w:ascii="Arial" w:cs="Arial" w:eastAsia="Arial" w:hAnsi="Arial"/>
          <w:sz w:val="18"/>
          <w:szCs w:val="18"/>
          <w:color w:val="auto"/>
        </w:rPr>
      </w:pPr>
    </w:p>
    <w:p>
      <w:pPr>
        <w:ind w:firstLine="388"/>
        <w:spacing w:after="0" w:line="341" w:lineRule="auto"/>
        <w:tabs>
          <w:tab w:leader="none" w:pos="574" w:val="left"/>
        </w:tabs>
        <w:numPr>
          <w:ilvl w:val="0"/>
          <w:numId w:val="50"/>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 w:lineRule="exact"/>
        <w:rPr>
          <w:rFonts w:ascii="Arial" w:cs="Arial" w:eastAsia="Arial" w:hAnsi="Arial"/>
          <w:sz w:val="16"/>
          <w:szCs w:val="16"/>
          <w:color w:val="auto"/>
        </w:rPr>
      </w:pPr>
    </w:p>
    <w:p>
      <w:pPr>
        <w:ind w:firstLine="388"/>
        <w:spacing w:after="0" w:line="277" w:lineRule="auto"/>
        <w:tabs>
          <w:tab w:leader="none" w:pos="575" w:val="left"/>
        </w:tabs>
        <w:numPr>
          <w:ilvl w:val="0"/>
          <w:numId w:val="5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1" w:lineRule="exact"/>
        <w:rPr>
          <w:rFonts w:ascii="Arial" w:cs="Arial" w:eastAsia="Arial" w:hAnsi="Arial"/>
          <w:sz w:val="18"/>
          <w:szCs w:val="18"/>
          <w:color w:val="auto"/>
        </w:rPr>
      </w:pPr>
    </w:p>
    <w:p>
      <w:pPr>
        <w:jc w:val="both"/>
        <w:ind w:firstLine="388"/>
        <w:spacing w:after="0" w:line="263" w:lineRule="auto"/>
        <w:tabs>
          <w:tab w:leader="none" w:pos="589"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jc w:val="both"/>
        <w:ind w:left="1120" w:hanging="505"/>
        <w:spacing w:after="0" w:line="263"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jc w:val="both"/>
        <w:ind w:left="1120" w:hanging="505"/>
        <w:spacing w:after="0" w:line="263"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ind w:left="1120" w:hanging="505"/>
        <w:spacing w:after="0" w:line="307" w:lineRule="auto"/>
        <w:tabs>
          <w:tab w:leader="none" w:pos="1120" w:val="left"/>
        </w:tabs>
        <w:numPr>
          <w:ilvl w:val="1"/>
          <w:numId w:val="50"/>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39" w:lineRule="exact"/>
        <w:rPr>
          <w:rFonts w:ascii="Arial" w:cs="Arial" w:eastAsia="Arial" w:hAnsi="Arial"/>
          <w:sz w:val="17"/>
          <w:szCs w:val="17"/>
          <w:color w:val="auto"/>
        </w:rPr>
      </w:pPr>
    </w:p>
    <w:p>
      <w:pPr>
        <w:jc w:val="both"/>
        <w:ind w:left="1120" w:hanging="505"/>
        <w:spacing w:after="0" w:line="263"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4" w:lineRule="exact"/>
        <w:rPr>
          <w:rFonts w:ascii="Arial" w:cs="Arial" w:eastAsia="Arial" w:hAnsi="Arial"/>
          <w:sz w:val="18"/>
          <w:szCs w:val="18"/>
          <w:color w:val="auto"/>
        </w:rPr>
      </w:pPr>
    </w:p>
    <w:p>
      <w:pPr>
        <w:ind w:right="20" w:firstLine="388"/>
        <w:spacing w:after="0" w:line="307" w:lineRule="auto"/>
        <w:tabs>
          <w:tab w:leader="none" w:pos="571"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1120" w:hanging="505"/>
        <w:spacing w:after="0" w:line="277"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1120" w:hanging="505"/>
        <w:spacing w:after="0" w:line="277" w:lineRule="auto"/>
        <w:tabs>
          <w:tab w:leader="none" w:pos="1120" w:val="left"/>
        </w:tabs>
        <w:numPr>
          <w:ilvl w:val="1"/>
          <w:numId w:val="5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p>
      <w:pPr>
        <w:spacing w:after="0"/>
        <w:tabs>
          <w:tab w:leader="none" w:pos="630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6"/>
          <w:szCs w:val="16"/>
          <w:color w:val="auto"/>
        </w:rPr>
        <w:t>/s/ Simon Ayat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3988435</wp:posOffset>
            </wp:positionH>
            <wp:positionV relativeFrom="paragraph">
              <wp:posOffset>23495</wp:posOffset>
            </wp:positionV>
            <wp:extent cx="29038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03855" cy="8255"/>
                    </a:xfrm>
                    <a:prstGeom prst="rect">
                      <a:avLst/>
                    </a:prstGeom>
                    <a:noFill/>
                  </pic:spPr>
                </pic:pic>
              </a:graphicData>
            </a:graphic>
          </wp:anchor>
        </w:drawing>
      </w:r>
    </w:p>
    <w:p>
      <w:pPr>
        <w:spacing w:after="0" w:line="2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Simon Ayat</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Executive Vice President and Chief Financial Officer</w:t>
      </w:r>
    </w:p>
    <w:p>
      <w:pPr>
        <w:sectPr>
          <w:pgSz w:w="11900" w:h="16838" w:orient="portrait"/>
          <w:cols w:equalWidth="0" w:num="1">
            <w:col w:w="11420"/>
          </w:cols>
          <w:pgMar w:left="240" w:top="121" w:right="23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u w:val="single" w:color="auto"/>
          <w:color w:val="auto"/>
        </w:rPr>
        <w:t>Exhibit 32.1</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Quarterly Report on Form 10-Q of Schlumberger N.V. (Schlumberger Limited) (the “Company”) for the quarterly period ended June 30, 2016 as filed with the Securities and Exchange Commission on the date hereof (the “Report”), I, Paal Kibsgaard, Chief Executive Officer of the Company, certify, pursuant to 18 U.S.C. § 1350, as adopted pursuant to § 906 of the Sarbanes-Oxley Act of 2002, that:</w:t>
      </w:r>
    </w:p>
    <w:p>
      <w:pPr>
        <w:spacing w:after="0" w:line="75" w:lineRule="exact"/>
        <w:rPr>
          <w:sz w:val="20"/>
          <w:szCs w:val="20"/>
          <w:color w:val="auto"/>
        </w:rPr>
      </w:pPr>
    </w:p>
    <w:p>
      <w:pPr>
        <w:ind w:left="10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360" w:type="dxa"/>
            <w:vAlign w:val="bottom"/>
          </w:tcPr>
          <w:p>
            <w:pPr>
              <w:spacing w:after="0"/>
              <w:rPr>
                <w:sz w:val="20"/>
                <w:szCs w:val="20"/>
                <w:color w:val="auto"/>
              </w:rPr>
            </w:pPr>
            <w:r>
              <w:rPr>
                <w:rFonts w:ascii="Arial" w:cs="Arial" w:eastAsia="Arial" w:hAnsi="Arial"/>
                <w:sz w:val="18"/>
                <w:szCs w:val="18"/>
                <w:color w:val="auto"/>
              </w:rPr>
              <w:t>Date: July 27, 2016</w:t>
            </w:r>
          </w:p>
        </w:tc>
        <w:tc>
          <w:tcPr>
            <w:tcW w:w="5000" w:type="dxa"/>
            <w:vAlign w:val="bottom"/>
            <w:gridSpan w:val="2"/>
          </w:tcPr>
          <w:p>
            <w:pPr>
              <w:ind w:left="1960"/>
              <w:spacing w:after="0"/>
              <w:rPr>
                <w:sz w:val="20"/>
                <w:szCs w:val="20"/>
                <w:color w:val="auto"/>
              </w:rPr>
            </w:pPr>
            <w:r>
              <w:rPr>
                <w:rFonts w:ascii="Arial" w:cs="Arial" w:eastAsia="Arial" w:hAnsi="Arial"/>
                <w:sz w:val="18"/>
                <w:szCs w:val="18"/>
                <w:color w:val="auto"/>
              </w:rPr>
              <w:t>/s/ Paal Kibsgaard</w:t>
            </w:r>
          </w:p>
        </w:tc>
      </w:tr>
      <w:tr>
        <w:trPr>
          <w:trHeight w:val="195"/>
        </w:trPr>
        <w:tc>
          <w:tcPr>
            <w:tcW w:w="336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304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Paal Kibsgaard</w:t>
            </w:r>
          </w:p>
        </w:tc>
      </w:tr>
      <w:tr>
        <w:trPr>
          <w:trHeight w:val="230"/>
        </w:trPr>
        <w:tc>
          <w:tcPr>
            <w:tcW w:w="336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304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u w:val="single" w:color="auto"/>
          <w:color w:val="auto"/>
        </w:rPr>
        <w:t>Exhibit 32.2</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21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on Form 10-Q of Schlumberger N.V. (Schlumberger Limited) (the “Company”) for the quarterly period ended June 30, 2016 as filed with the Securities and Exchange Commission on the date hereof (the “Report”), I, Simon Ayat, Executive Vice President and Chief Financial Officer of the Company, certify, pursuant to 18 U.S.C. § 1350, as adopted pursuant to § 906 of the Sarbanes-Oxley Act of 2002, that:</w:t>
      </w:r>
    </w:p>
    <w:p>
      <w:pPr>
        <w:spacing w:after="0" w:line="57" w:lineRule="exact"/>
        <w:rPr>
          <w:sz w:val="20"/>
          <w:szCs w:val="20"/>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(the “Exchange Act”), and</w:t>
      </w:r>
    </w:p>
    <w:p>
      <w:pPr>
        <w:spacing w:after="0" w:line="61" w:lineRule="exact"/>
        <w:rPr>
          <w:rFonts w:ascii="Arial" w:cs="Arial" w:eastAsia="Arial" w:hAnsi="Arial"/>
          <w:sz w:val="18"/>
          <w:szCs w:val="18"/>
          <w:color w:val="auto"/>
        </w:rPr>
      </w:pPr>
    </w:p>
    <w:p>
      <w:pPr>
        <w:ind w:left="1040" w:hanging="519"/>
        <w:spacing w:after="0" w:line="277" w:lineRule="auto"/>
        <w:tabs>
          <w:tab w:leader="none" w:pos="104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r>
              <w:rPr>
                <w:rFonts w:ascii="Arial" w:cs="Arial" w:eastAsia="Arial" w:hAnsi="Arial"/>
                <w:sz w:val="18"/>
                <w:szCs w:val="18"/>
                <w:color w:val="auto"/>
              </w:rPr>
              <w:t>Date: July 27, 2016</w:t>
            </w:r>
          </w:p>
        </w:tc>
        <w:tc>
          <w:tcPr>
            <w:tcW w:w="49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Simon Ayat</w:t>
            </w:r>
          </w:p>
        </w:tc>
      </w:tr>
      <w:tr>
        <w:trPr>
          <w:trHeight w:val="195"/>
        </w:trPr>
        <w:tc>
          <w:tcPr>
            <w:tcW w:w="5440" w:type="dxa"/>
            <w:vAlign w:val="bottom"/>
          </w:tcPr>
          <w:p>
            <w:pPr>
              <w:spacing w:after="0"/>
              <w:rPr>
                <w:sz w:val="16"/>
                <w:szCs w:val="16"/>
                <w:color w:val="auto"/>
              </w:rPr>
            </w:pPr>
          </w:p>
        </w:tc>
        <w:tc>
          <w:tcPr>
            <w:tcW w:w="4920" w:type="dxa"/>
            <w:vAlign w:val="bottom"/>
          </w:tcPr>
          <w:p>
            <w:pPr>
              <w:spacing w:after="0" w:line="195" w:lineRule="exact"/>
              <w:rPr>
                <w:sz w:val="20"/>
                <w:szCs w:val="20"/>
                <w:color w:val="auto"/>
              </w:rPr>
            </w:pPr>
            <w:r>
              <w:rPr>
                <w:rFonts w:ascii="Arial" w:cs="Arial" w:eastAsia="Arial" w:hAnsi="Arial"/>
                <w:sz w:val="18"/>
                <w:szCs w:val="18"/>
                <w:color w:val="auto"/>
              </w:rPr>
              <w:t>Simon Ayat</w:t>
            </w:r>
          </w:p>
        </w:tc>
      </w:tr>
      <w:tr>
        <w:trPr>
          <w:trHeight w:val="230"/>
        </w:trPr>
        <w:tc>
          <w:tcPr>
            <w:tcW w:w="5440" w:type="dxa"/>
            <w:vAlign w:val="bottom"/>
          </w:tcPr>
          <w:p>
            <w:pPr>
              <w:spacing w:after="0"/>
              <w:rPr>
                <w:sz w:val="20"/>
                <w:szCs w:val="20"/>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Executive Vice President and Chief Financial Officer</w:t>
            </w:r>
          </w:p>
        </w:tc>
      </w:tr>
    </w:tbl>
    <w:p>
      <w:pPr>
        <w:spacing w:after="0" w:line="20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Schlumberger Limited and will be retained by Schlumberger Limited and furnished to the Securities and Exchange Commission or its staff upon request.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This certification accompanies the Report pursuant to Section 906 of the Sarbanes-Oxley Act of 2002 and shall not be deemed filed by the Company for purposes of Section 18 of the Exchange Act.</w:t>
      </w:r>
    </w:p>
    <w:p>
      <w:pPr>
        <w:sectPr>
          <w:pgSz w:w="11900" w:h="16838" w:orient="portrait"/>
          <w:cols w:equalWidth="0" w:num="1">
            <w:col w:w="11420"/>
          </w:cols>
          <w:pgMar w:left="240" w:top="12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u w:val="single" w:color="auto"/>
          <w:color w:val="auto"/>
        </w:rPr>
        <w:t>Exhibit 95</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Mine Safety Disclosure</w:t>
      </w:r>
    </w:p>
    <w:p>
      <w:pPr>
        <w:spacing w:after="0" w:line="200" w:lineRule="exact"/>
        <w:rPr>
          <w:sz w:val="20"/>
          <w:szCs w:val="20"/>
          <w:color w:val="auto"/>
        </w:rPr>
      </w:pPr>
    </w:p>
    <w:p>
      <w:pPr>
        <w:spacing w:after="0" w:line="379" w:lineRule="exact"/>
        <w:rPr>
          <w:sz w:val="20"/>
          <w:szCs w:val="20"/>
          <w:color w:val="auto"/>
        </w:rPr>
      </w:pPr>
    </w:p>
    <w:p>
      <w:pPr>
        <w:jc w:val="both"/>
        <w:ind w:right="60" w:firstLine="518"/>
        <w:spacing w:after="0" w:line="263" w:lineRule="auto"/>
        <w:rPr>
          <w:sz w:val="20"/>
          <w:szCs w:val="20"/>
          <w:color w:val="auto"/>
        </w:rPr>
      </w:pPr>
      <w:r>
        <w:rPr>
          <w:rFonts w:ascii="Arial" w:cs="Arial" w:eastAsia="Arial" w:hAnsi="Arial"/>
          <w:sz w:val="18"/>
          <w:szCs w:val="18"/>
          <w:color w:val="auto"/>
        </w:rPr>
        <w:t>The following disclosure is provided pursuant to Section 1503(a) of the Dodd-Frank Wall Street Reform and Consumer Protection Act, which requires certain disclosures by companies required to file periodic reports under the Securities Exchange Act of 1934, as amended, that operate mines regulated under the Federal Mine Safety and Health Act of 1977.</w:t>
      </w:r>
    </w:p>
    <w:p>
      <w:pPr>
        <w:spacing w:after="0" w:line="183" w:lineRule="exact"/>
        <w:rPr>
          <w:sz w:val="20"/>
          <w:szCs w:val="20"/>
          <w:color w:val="auto"/>
        </w:rPr>
      </w:pPr>
    </w:p>
    <w:p>
      <w:pPr>
        <w:ind w:right="160" w:firstLine="518"/>
        <w:spacing w:after="0" w:line="286" w:lineRule="auto"/>
        <w:rPr>
          <w:sz w:val="20"/>
          <w:szCs w:val="20"/>
          <w:color w:val="auto"/>
        </w:rPr>
      </w:pPr>
      <w:r>
        <w:rPr>
          <w:rFonts w:ascii="Arial" w:cs="Arial" w:eastAsia="Arial" w:hAnsi="Arial"/>
          <w:sz w:val="17"/>
          <w:szCs w:val="17"/>
          <w:color w:val="auto"/>
        </w:rPr>
        <w:t>The table that follows reflects citations, orders, violations and proposed assessments issued by the Mine Safety and Health Administration (the “MSHA”) to M-I LLC, an indirect wholly-owned subsidiary of Schlumberger. The disclosure is with respect to the three months ended June 30, 2016. Due to timing and other factors, the data may not agree with the mine data retrieval system maintained by the MSHA at www.MSHA.gov.</w:t>
      </w: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Three Months Ended June 30, 2016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whole dollars</w:t>
      </w:r>
      <w:r>
        <w:rPr>
          <w:rFonts w:ascii="Arial" w:cs="Arial" w:eastAsia="Arial" w:hAnsi="Arial"/>
          <w:sz w:val="18"/>
          <w:szCs w:val="18"/>
          <w:color w:val="auto"/>
        </w:rPr>
        <w:t>)</w:t>
      </w:r>
    </w:p>
    <w:p>
      <w:pPr>
        <w:spacing w:after="0" w:line="20" w:lineRule="exact"/>
        <w:rPr>
          <w:sz w:val="20"/>
          <w:szCs w:val="20"/>
          <w:color w:val="auto"/>
        </w:rPr>
      </w:pPr>
    </w:p>
    <w:tbl>
      <w:tblPr>
        <w:tblLayout w:type="fixed"/>
        <w:tblInd w:w="200" w:type="dxa"/>
        <w:tblCellMar>
          <w:top w:w="0" w:type="dxa"/>
          <w:left w:w="0" w:type="dxa"/>
          <w:bottom w:w="0" w:type="dxa"/>
          <w:right w:w="0" w:type="dxa"/>
        </w:tblCellMar>
      </w:tblPr>
      <w:tr>
        <w:trPr>
          <w:trHeight w:val="149"/>
        </w:trPr>
        <w:tc>
          <w:tcPr>
            <w:tcW w:w="19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8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740" w:type="dxa"/>
            <w:vAlign w:val="bottom"/>
          </w:tcPr>
          <w:p>
            <w:pPr>
              <w:jc w:val="center"/>
              <w:spacing w:after="0"/>
              <w:rPr>
                <w:sz w:val="20"/>
                <w:szCs w:val="20"/>
                <w:color w:val="auto"/>
              </w:rPr>
            </w:pPr>
            <w:r>
              <w:rPr>
                <w:rFonts w:ascii="Arial" w:cs="Arial" w:eastAsia="Arial" w:hAnsi="Arial"/>
                <w:sz w:val="13"/>
                <w:szCs w:val="13"/>
                <w:color w:val="auto"/>
                <w:w w:val="84"/>
              </w:rPr>
              <w:t>Received</w:t>
            </w:r>
          </w:p>
        </w:tc>
        <w:tc>
          <w:tcPr>
            <w:tcW w:w="7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Notice of</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Pattern of</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Potential to</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8"/>
              </w:rPr>
              <w:t>Violations</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6"/>
              </w:rPr>
              <w:t>Have Pattern</w:t>
            </w:r>
          </w:p>
        </w:tc>
        <w:tc>
          <w:tcPr>
            <w:tcW w:w="7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6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4"/>
              </w:rPr>
              <w:t>Under</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0"/>
              </w:rPr>
              <w:t>Under</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90"/>
              </w:rPr>
              <w:t>104(d)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8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99"/>
              </w:rPr>
              <w:t>Mining</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7"/>
              </w:rPr>
              <w:t>Pending as of</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9"/>
              </w:rPr>
              <w:t>Legal Actions</w:t>
            </w:r>
          </w:p>
        </w:tc>
        <w:tc>
          <w:tcPr>
            <w:tcW w:w="0" w:type="dxa"/>
            <w:vAlign w:val="bottom"/>
          </w:tcPr>
          <w:p>
            <w:pPr>
              <w:spacing w:after="0"/>
              <w:rPr>
                <w:sz w:val="1"/>
                <w:szCs w:val="1"/>
                <w:color w:val="auto"/>
              </w:rPr>
            </w:pPr>
          </w:p>
        </w:tc>
      </w:tr>
      <w:tr>
        <w:trPr>
          <w:trHeight w:val="135"/>
        </w:trPr>
        <w:tc>
          <w:tcPr>
            <w:tcW w:w="1900" w:type="dxa"/>
            <w:vAlign w:val="bottom"/>
          </w:tcPr>
          <w:p>
            <w:pPr>
              <w:spacing w:after="0" w:line="135" w:lineRule="exact"/>
              <w:rPr>
                <w:sz w:val="20"/>
                <w:szCs w:val="20"/>
                <w:color w:val="auto"/>
              </w:rPr>
            </w:pPr>
            <w:r>
              <w:rPr>
                <w:rFonts w:ascii="Arial" w:cs="Arial" w:eastAsia="Arial" w:hAnsi="Arial"/>
                <w:sz w:val="13"/>
                <w:szCs w:val="13"/>
                <w:color w:val="auto"/>
              </w:rPr>
              <w:t>Mine or Operating Name/MSHA</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4"/>
              </w:rPr>
              <w:t>Section 104</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760" w:type="dxa"/>
            <w:vAlign w:val="bottom"/>
          </w:tcPr>
          <w:p>
            <w:pPr>
              <w:jc w:val="center"/>
              <w:spacing w:after="0" w:line="135" w:lineRule="exact"/>
              <w:rPr>
                <w:sz w:val="20"/>
                <w:szCs w:val="20"/>
                <w:color w:val="auto"/>
              </w:rPr>
            </w:pPr>
            <w:r>
              <w:rPr>
                <w:rFonts w:ascii="Arial" w:cs="Arial" w:eastAsia="Arial" w:hAnsi="Arial"/>
                <w:sz w:val="13"/>
                <w:szCs w:val="13"/>
                <w:color w:val="auto"/>
                <w:w w:val="86"/>
              </w:rPr>
              <w:t>Citations and</w:t>
            </w:r>
          </w:p>
        </w:tc>
        <w:tc>
          <w:tcPr>
            <w:tcW w:w="640" w:type="dxa"/>
            <w:vAlign w:val="bottom"/>
          </w:tcPr>
          <w:p>
            <w:pPr>
              <w:jc w:val="center"/>
              <w:spacing w:after="0" w:line="135" w:lineRule="exact"/>
              <w:rPr>
                <w:sz w:val="20"/>
                <w:szCs w:val="20"/>
                <w:color w:val="auto"/>
              </w:rPr>
            </w:pPr>
            <w:r>
              <w:rPr>
                <w:rFonts w:ascii="Arial" w:cs="Arial" w:eastAsia="Arial" w:hAnsi="Arial"/>
                <w:sz w:val="13"/>
                <w:szCs w:val="13"/>
                <w:color w:val="auto"/>
                <w:w w:val="89"/>
              </w:rPr>
              <w:t>110(b)(2)</w:t>
            </w:r>
          </w:p>
        </w:tc>
        <w:tc>
          <w:tcPr>
            <w:tcW w:w="800" w:type="dxa"/>
            <w:vAlign w:val="bottom"/>
          </w:tcPr>
          <w:p>
            <w:pPr>
              <w:jc w:val="center"/>
              <w:spacing w:after="0" w:line="135" w:lineRule="exact"/>
              <w:rPr>
                <w:sz w:val="20"/>
                <w:szCs w:val="20"/>
                <w:color w:val="auto"/>
              </w:rPr>
            </w:pPr>
            <w:r>
              <w:rPr>
                <w:rFonts w:ascii="Arial" w:cs="Arial" w:eastAsia="Arial" w:hAnsi="Arial"/>
                <w:sz w:val="13"/>
                <w:szCs w:val="13"/>
                <w:color w:val="auto"/>
                <w:w w:val="87"/>
              </w:rPr>
              <w:t>Section</w:t>
            </w:r>
          </w:p>
        </w:tc>
        <w:tc>
          <w:tcPr>
            <w:tcW w:w="980" w:type="dxa"/>
            <w:vAlign w:val="bottom"/>
          </w:tcPr>
          <w:p>
            <w:pPr>
              <w:jc w:val="center"/>
              <w:spacing w:after="0" w:line="135" w:lineRule="exact"/>
              <w:rPr>
                <w:sz w:val="20"/>
                <w:szCs w:val="20"/>
                <w:color w:val="auto"/>
              </w:rPr>
            </w:pPr>
            <w:r>
              <w:rPr>
                <w:rFonts w:ascii="Arial" w:cs="Arial" w:eastAsia="Arial" w:hAnsi="Arial"/>
                <w:sz w:val="13"/>
                <w:szCs w:val="13"/>
                <w:color w:val="auto"/>
                <w:w w:val="90"/>
              </w:rPr>
              <w:t>Proposed MSHA</w:t>
            </w:r>
          </w:p>
        </w:tc>
        <w:tc>
          <w:tcPr>
            <w:tcW w:w="620" w:type="dxa"/>
            <w:vAlign w:val="bottom"/>
          </w:tcPr>
          <w:p>
            <w:pPr>
              <w:jc w:val="center"/>
              <w:spacing w:after="0" w:line="135" w:lineRule="exact"/>
              <w:rPr>
                <w:sz w:val="20"/>
                <w:szCs w:val="20"/>
                <w:color w:val="auto"/>
              </w:rPr>
            </w:pPr>
            <w:r>
              <w:rPr>
                <w:rFonts w:ascii="Arial" w:cs="Arial" w:eastAsia="Arial" w:hAnsi="Arial"/>
                <w:sz w:val="13"/>
                <w:szCs w:val="13"/>
                <w:color w:val="auto"/>
                <w:w w:val="84"/>
              </w:rPr>
              <w:t>Related</w:t>
            </w:r>
          </w:p>
        </w:tc>
        <w:tc>
          <w:tcPr>
            <w:tcW w:w="68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90"/>
              </w:rPr>
              <w:t>104(e)</w:t>
            </w:r>
          </w:p>
        </w:tc>
        <w:tc>
          <w:tcPr>
            <w:tcW w:w="740" w:type="dxa"/>
            <w:vAlign w:val="bottom"/>
          </w:tcPr>
          <w:p>
            <w:pPr>
              <w:jc w:val="center"/>
              <w:spacing w:after="0" w:line="135" w:lineRule="exact"/>
              <w:rPr>
                <w:sz w:val="20"/>
                <w:szCs w:val="20"/>
                <w:color w:val="auto"/>
              </w:rPr>
            </w:pPr>
            <w:r>
              <w:rPr>
                <w:rFonts w:ascii="Arial" w:cs="Arial" w:eastAsia="Arial" w:hAnsi="Arial"/>
                <w:sz w:val="13"/>
                <w:szCs w:val="13"/>
                <w:color w:val="auto"/>
                <w:w w:val="88"/>
              </w:rPr>
              <w:t>Last Day of</w:t>
            </w:r>
          </w:p>
        </w:tc>
        <w:tc>
          <w:tcPr>
            <w:tcW w:w="860" w:type="dxa"/>
            <w:vAlign w:val="bottom"/>
          </w:tcPr>
          <w:p>
            <w:pPr>
              <w:jc w:val="center"/>
              <w:spacing w:after="0" w:line="135" w:lineRule="exact"/>
              <w:rPr>
                <w:sz w:val="20"/>
                <w:szCs w:val="20"/>
                <w:color w:val="auto"/>
              </w:rPr>
            </w:pPr>
            <w:r>
              <w:rPr>
                <w:rFonts w:ascii="Arial" w:cs="Arial" w:eastAsia="Arial" w:hAnsi="Arial"/>
                <w:sz w:val="13"/>
                <w:szCs w:val="13"/>
                <w:color w:val="auto"/>
                <w:w w:val="93"/>
              </w:rPr>
              <w:t>Initiated During</w:t>
            </w:r>
          </w:p>
        </w:tc>
        <w:tc>
          <w:tcPr>
            <w:tcW w:w="820" w:type="dxa"/>
            <w:vAlign w:val="bottom"/>
          </w:tcPr>
          <w:p>
            <w:pPr>
              <w:jc w:val="center"/>
              <w:spacing w:after="0" w:line="135" w:lineRule="exact"/>
              <w:rPr>
                <w:sz w:val="20"/>
                <w:szCs w:val="20"/>
                <w:color w:val="auto"/>
              </w:rPr>
            </w:pPr>
            <w:r>
              <w:rPr>
                <w:rFonts w:ascii="Arial" w:cs="Arial" w:eastAsia="Arial" w:hAnsi="Arial"/>
                <w:sz w:val="13"/>
                <w:szCs w:val="13"/>
                <w:color w:val="auto"/>
                <w:w w:val="84"/>
              </w:rPr>
              <w:t>Resolved</w:t>
            </w:r>
          </w:p>
        </w:tc>
        <w:tc>
          <w:tcPr>
            <w:tcW w:w="0" w:type="dxa"/>
            <w:vAlign w:val="bottom"/>
          </w:tcPr>
          <w:p>
            <w:pPr>
              <w:spacing w:after="0"/>
              <w:rPr>
                <w:sz w:val="1"/>
                <w:szCs w:val="1"/>
                <w:color w:val="auto"/>
              </w:rPr>
            </w:pPr>
          </w:p>
        </w:tc>
      </w:tr>
      <w:tr>
        <w:trPr>
          <w:trHeight w:val="149"/>
        </w:trPr>
        <w:tc>
          <w:tcPr>
            <w:tcW w:w="1900" w:type="dxa"/>
            <w:vAlign w:val="bottom"/>
            <w:tcBorders>
              <w:bottom w:val="single" w:sz="8" w:color="auto"/>
            </w:tcBorders>
          </w:tcPr>
          <w:p>
            <w:pPr>
              <w:spacing w:after="0"/>
              <w:rPr>
                <w:sz w:val="20"/>
                <w:szCs w:val="20"/>
                <w:color w:val="auto"/>
              </w:rPr>
            </w:pPr>
            <w:r>
              <w:rPr>
                <w:rFonts w:ascii="Arial" w:cs="Arial" w:eastAsia="Arial" w:hAnsi="Arial"/>
                <w:sz w:val="13"/>
                <w:szCs w:val="13"/>
                <w:color w:val="auto"/>
              </w:rPr>
              <w:t>Identification Number</w:t>
            </w:r>
          </w:p>
        </w:tc>
        <w:tc>
          <w:tcPr>
            <w:tcW w:w="1500" w:type="dxa"/>
            <w:vAlign w:val="bottom"/>
            <w:tcBorders>
              <w:bottom w:val="single" w:sz="8" w:color="auto"/>
            </w:tcBorders>
            <w:gridSpan w:val="2"/>
          </w:tcPr>
          <w:p>
            <w:pPr>
              <w:ind w:left="20"/>
              <w:spacing w:after="0"/>
              <w:rPr>
                <w:sz w:val="20"/>
                <w:szCs w:val="20"/>
                <w:color w:val="auto"/>
              </w:rPr>
            </w:pPr>
            <w:r>
              <w:rPr>
                <w:rFonts w:ascii="Arial" w:cs="Arial" w:eastAsia="Arial" w:hAnsi="Arial"/>
                <w:sz w:val="13"/>
                <w:szCs w:val="13"/>
                <w:color w:val="auto"/>
                <w:w w:val="88"/>
              </w:rPr>
              <w:t>S&amp;S Citations 104(b) Orders</w:t>
            </w:r>
          </w:p>
        </w:tc>
        <w:tc>
          <w:tcPr>
            <w:tcW w:w="7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5"/>
              </w:rPr>
              <w:t>Orders</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2"/>
              </w:rPr>
              <w:t>Violations</w:t>
            </w: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6"/>
              </w:rPr>
              <w:t>107(a) Orders</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4"/>
              </w:rPr>
              <w:t>Assessments</w:t>
            </w:r>
            <w:r>
              <w:rPr>
                <w:rFonts w:ascii="Arial" w:cs="Arial" w:eastAsia="Arial" w:hAnsi="Arial"/>
                <w:sz w:val="10"/>
                <w:szCs w:val="10"/>
                <w:color w:val="auto"/>
                <w:w w:val="84"/>
              </w:rPr>
              <w:t>(1)</w:t>
            </w:r>
          </w:p>
        </w:tc>
        <w:tc>
          <w:tcPr>
            <w:tcW w:w="6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8"/>
              </w:rPr>
              <w:t>Fatalities</w:t>
            </w: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89"/>
              </w:rPr>
              <w:t>(yes/no)</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Period</w:t>
            </w: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color w:val="auto"/>
                <w:w w:val="90"/>
              </w:rPr>
              <w:t>During Period</w:t>
            </w:r>
          </w:p>
        </w:tc>
        <w:tc>
          <w:tcPr>
            <w:tcW w:w="0" w:type="dxa"/>
            <w:vAlign w:val="bottom"/>
          </w:tcPr>
          <w:p>
            <w:pPr>
              <w:spacing w:after="0"/>
              <w:rPr>
                <w:sz w:val="1"/>
                <w:szCs w:val="1"/>
                <w:color w:val="auto"/>
              </w:rPr>
            </w:pPr>
          </w:p>
        </w:tc>
      </w:tr>
      <w:tr>
        <w:trPr>
          <w:trHeight w:val="274"/>
        </w:trPr>
        <w:tc>
          <w:tcPr>
            <w:tcW w:w="1900" w:type="dxa"/>
            <w:vAlign w:val="bottom"/>
          </w:tcPr>
          <w:p>
            <w:pPr>
              <w:spacing w:after="0"/>
              <w:rPr>
                <w:sz w:val="20"/>
                <w:szCs w:val="20"/>
                <w:color w:val="auto"/>
              </w:rPr>
            </w:pPr>
            <w:r>
              <w:rPr>
                <w:rFonts w:ascii="Arial" w:cs="Arial" w:eastAsia="Arial" w:hAnsi="Arial"/>
                <w:sz w:val="13"/>
                <w:szCs w:val="13"/>
                <w:color w:val="auto"/>
              </w:rPr>
              <w:t>Amelia Barite Plant/1600825</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tcPr>
          <w:p>
            <w:pPr>
              <w:jc w:val="center"/>
              <w:spacing w:after="0"/>
              <w:rPr>
                <w:sz w:val="20"/>
                <w:szCs w:val="20"/>
                <w:color w:val="auto"/>
              </w:rPr>
            </w:pPr>
            <w:r>
              <w:rPr>
                <w:rFonts w:ascii="Arial" w:cs="Arial" w:eastAsia="Arial" w:hAnsi="Arial"/>
                <w:sz w:val="13"/>
                <w:szCs w:val="13"/>
                <w:color w:val="auto"/>
                <w:w w:val="82"/>
              </w:rPr>
              <w:t>$100</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Battle Mountain Grinding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Plant/2600828</w:t>
            </w: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Galveston GBT Barite Grinding</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Plant/4104675</w:t>
            </w: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1"/>
        </w:trPr>
        <w:tc>
          <w:tcPr>
            <w:tcW w:w="1900" w:type="dxa"/>
            <w:vAlign w:val="bottom"/>
          </w:tcPr>
          <w:p>
            <w:pPr>
              <w:spacing w:after="0"/>
              <w:rPr>
                <w:sz w:val="20"/>
                <w:szCs w:val="20"/>
                <w:color w:val="auto"/>
              </w:rPr>
            </w:pPr>
            <w:r>
              <w:rPr>
                <w:rFonts w:ascii="Arial" w:cs="Arial" w:eastAsia="Arial" w:hAnsi="Arial"/>
                <w:sz w:val="13"/>
                <w:szCs w:val="13"/>
                <w:color w:val="auto"/>
                <w:w w:val="92"/>
              </w:rPr>
              <w:t>Greybull Milling Operation/4800602</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405"/>
        </w:trPr>
        <w:tc>
          <w:tcPr>
            <w:tcW w:w="1900" w:type="dxa"/>
            <w:vAlign w:val="bottom"/>
          </w:tcPr>
          <w:p>
            <w:pPr>
              <w:spacing w:after="0"/>
              <w:rPr>
                <w:sz w:val="20"/>
                <w:szCs w:val="20"/>
                <w:color w:val="auto"/>
              </w:rPr>
            </w:pPr>
            <w:r>
              <w:rPr>
                <w:rFonts w:ascii="Arial" w:cs="Arial" w:eastAsia="Arial" w:hAnsi="Arial"/>
                <w:sz w:val="13"/>
                <w:szCs w:val="13"/>
                <w:color w:val="auto"/>
                <w:w w:val="91"/>
              </w:rPr>
              <w:t>Greybull Mining Operation/4800603</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351"/>
        </w:trPr>
        <w:tc>
          <w:tcPr>
            <w:tcW w:w="1900" w:type="dxa"/>
            <w:vAlign w:val="bottom"/>
          </w:tcPr>
          <w:p>
            <w:pPr>
              <w:spacing w:after="0"/>
              <w:rPr>
                <w:sz w:val="20"/>
                <w:szCs w:val="20"/>
                <w:color w:val="auto"/>
              </w:rPr>
            </w:pPr>
            <w:r>
              <w:rPr>
                <w:rFonts w:ascii="Arial" w:cs="Arial" w:eastAsia="Arial" w:hAnsi="Arial"/>
                <w:sz w:val="13"/>
                <w:szCs w:val="13"/>
                <w:color w:val="auto"/>
              </w:rPr>
              <w:t>Greystone Mine/2600411</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rPr>
              <w:t>N</w:t>
            </w:r>
          </w:p>
        </w:tc>
        <w:tc>
          <w:tcPr>
            <w:tcW w:w="74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245"/>
        </w:trPr>
        <w:tc>
          <w:tcPr>
            <w:tcW w:w="1900" w:type="dxa"/>
            <w:vAlign w:val="bottom"/>
          </w:tcPr>
          <w:p>
            <w:pPr>
              <w:spacing w:after="0"/>
              <w:rPr>
                <w:sz w:val="20"/>
                <w:szCs w:val="20"/>
                <w:color w:val="auto"/>
              </w:rPr>
            </w:pPr>
            <w:r>
              <w:rPr>
                <w:rFonts w:ascii="Arial" w:cs="Arial" w:eastAsia="Arial" w:hAnsi="Arial"/>
                <w:sz w:val="13"/>
                <w:szCs w:val="13"/>
                <w:color w:val="auto"/>
              </w:rPr>
              <w:t>Mountain Springs Beneficiation</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7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0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98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68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rPr>
              <w:t>N</w:t>
            </w:r>
          </w:p>
        </w:tc>
        <w:tc>
          <w:tcPr>
            <w:tcW w:w="74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6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820" w:type="dxa"/>
            <w:vAlign w:val="bottom"/>
            <w:vMerge w:val="restart"/>
          </w:tcPr>
          <w:p>
            <w:pPr>
              <w:jc w:val="center"/>
              <w:spacing w:after="0"/>
              <w:rPr>
                <w:sz w:val="20"/>
                <w:szCs w:val="20"/>
                <w:color w:val="auto"/>
              </w:rPr>
            </w:pPr>
            <w:r>
              <w:rPr>
                <w:rFonts w:ascii="Arial" w:cs="Arial" w:eastAsia="Arial" w:hAnsi="Arial"/>
                <w:sz w:val="13"/>
                <w:szCs w:val="13"/>
                <w:color w:val="auto"/>
                <w:w w:val="82"/>
              </w:rPr>
              <w:t>0</w:t>
            </w:r>
          </w:p>
        </w:tc>
        <w:tc>
          <w:tcPr>
            <w:tcW w:w="0" w:type="dxa"/>
            <w:vAlign w:val="bottom"/>
          </w:tcPr>
          <w:p>
            <w:pPr>
              <w:spacing w:after="0"/>
              <w:rPr>
                <w:sz w:val="1"/>
                <w:szCs w:val="1"/>
                <w:color w:val="auto"/>
              </w:rPr>
            </w:pPr>
          </w:p>
        </w:tc>
      </w:tr>
      <w:tr>
        <w:trPr>
          <w:trHeight w:val="93"/>
        </w:trPr>
        <w:tc>
          <w:tcPr>
            <w:tcW w:w="1900" w:type="dxa"/>
            <w:vAlign w:val="bottom"/>
            <w:vMerge w:val="restart"/>
          </w:tcPr>
          <w:p>
            <w:pPr>
              <w:spacing w:after="0"/>
              <w:rPr>
                <w:sz w:val="20"/>
                <w:szCs w:val="20"/>
                <w:color w:val="auto"/>
              </w:rPr>
            </w:pPr>
            <w:r>
              <w:rPr>
                <w:rFonts w:ascii="Arial" w:cs="Arial" w:eastAsia="Arial" w:hAnsi="Arial"/>
                <w:sz w:val="13"/>
                <w:szCs w:val="13"/>
                <w:color w:val="auto"/>
              </w:rPr>
              <w:t>Plant/2601390</w:t>
            </w:r>
          </w:p>
        </w:tc>
        <w:tc>
          <w:tcPr>
            <w:tcW w:w="8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980" w:type="dxa"/>
            <w:vAlign w:val="bottom"/>
            <w:vMerge w:val="continue"/>
          </w:tcPr>
          <w:p>
            <w:pPr>
              <w:spacing w:after="0"/>
              <w:rPr>
                <w:sz w:val="8"/>
                <w:szCs w:val="8"/>
                <w:color w:val="auto"/>
              </w:rPr>
            </w:pPr>
          </w:p>
        </w:tc>
        <w:tc>
          <w:tcPr>
            <w:tcW w:w="6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1900" w:type="dxa"/>
            <w:vAlign w:val="bottom"/>
            <w:vMerge w:val="continue"/>
          </w:tcPr>
          <w:p>
            <w:pPr>
              <w:spacing w:after="0"/>
              <w:rPr>
                <w:sz w:val="5"/>
                <w:szCs w:val="5"/>
                <w:color w:val="auto"/>
              </w:rPr>
            </w:pPr>
          </w:p>
        </w:tc>
        <w:tc>
          <w:tcPr>
            <w:tcW w:w="8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0" w:type="dxa"/>
            <w:vAlign w:val="bottom"/>
          </w:tcPr>
          <w:p>
            <w:pPr>
              <w:spacing w:after="0"/>
              <w:rPr>
                <w:sz w:val="5"/>
                <w:szCs w:val="5"/>
                <w:color w:val="auto"/>
              </w:rPr>
            </w:pPr>
          </w:p>
        </w:tc>
        <w:tc>
          <w:tcPr>
            <w:tcW w:w="9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40" w:type="dxa"/>
            <w:vAlign w:val="bottom"/>
          </w:tcPr>
          <w:p>
            <w:pPr>
              <w:spacing w:after="0"/>
              <w:rPr>
                <w:sz w:val="5"/>
                <w:szCs w:val="5"/>
                <w:color w:val="auto"/>
              </w:rPr>
            </w:pPr>
          </w:p>
        </w:tc>
        <w:tc>
          <w:tcPr>
            <w:tcW w:w="74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left="900" w:hanging="514"/>
        <w:spacing w:after="0" w:line="335" w:lineRule="auto"/>
        <w:tabs>
          <w:tab w:leader="none" w:pos="900" w:val="left"/>
        </w:tabs>
        <w:numPr>
          <w:ilvl w:val="0"/>
          <w:numId w:val="53"/>
        </w:numPr>
        <w:rPr>
          <w:rFonts w:ascii="Arial" w:cs="Arial" w:eastAsia="Arial" w:hAnsi="Arial"/>
          <w:sz w:val="14"/>
          <w:szCs w:val="14"/>
          <w:color w:val="auto"/>
        </w:rPr>
      </w:pPr>
      <w:r>
        <w:rPr>
          <w:rFonts w:ascii="Arial" w:cs="Arial" w:eastAsia="Arial" w:hAnsi="Arial"/>
          <w:sz w:val="14"/>
          <w:szCs w:val="14"/>
          <w:color w:val="auto"/>
        </w:rPr>
        <w:t>Amounts included are the total dollar value of proposed assessments received from MSHA on or before June 30, 2016, regardless of whether the assessment has been challenged or appealed. Citations and orders can be contested and appealed, and as part of that process, are sometimes reduced in severity and amount, and sometimes dismissed. The number of citations, orders, and proposed assessments vary by inspector and also vary depending on the size and type of the operation.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2016, MSHA had not yet proposed an assessment for 2 citations at Battle Mountain Grinding Plant/2600828.</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4E49EB4"/>
    <w:multiLevelType w:val="hybridMultilevel"/>
    <w:lvl w:ilvl="0">
      <w:lvlJc w:val="left"/>
      <w:lvlText w:val="(%1)"/>
      <w:numFmt w:val="decimal"/>
      <w:start w:val="1"/>
    </w:lvl>
  </w:abstractNum>
  <w:abstractNum w:abstractNumId="1">
    <w:nsid w:val="71F32454"/>
    <w:multiLevelType w:val="hybridMultilevel"/>
    <w:lvl w:ilvl="0">
      <w:lvlJc w:val="left"/>
      <w:lvlText w:val="%1."/>
      <w:numFmt w:val="decimal"/>
      <w:start w:val="1"/>
    </w:lvl>
  </w:abstractNum>
  <w:abstractNum w:abstractNumId="2">
    <w:nsid w:val="2CA88611"/>
    <w:multiLevelType w:val="hybridMultilevel"/>
    <w:lvl w:ilvl="0">
      <w:lvlJc w:val="left"/>
      <w:lvlText w:val="%1."/>
      <w:numFmt w:val="decimal"/>
      <w:start w:val="2"/>
    </w:lvl>
  </w:abstractNum>
  <w:abstractNum w:abstractNumId="3">
    <w:nsid w:val="836C40E"/>
    <w:multiLevelType w:val="hybridMultilevel"/>
    <w:lvl w:ilvl="0">
      <w:lvlJc w:val="left"/>
      <w:lvlText w:val="·"/>
      <w:numFmt w:val="bullet"/>
      <w:start w:val="1"/>
    </w:lvl>
    <w:lvl w:ilvl="1">
      <w:lvlJc w:val="left"/>
      <w:lvlText w:val="-"/>
      <w:numFmt w:val="bullet"/>
      <w:start w:val="1"/>
    </w:lvl>
  </w:abstractNum>
  <w:abstractNum w:abstractNumId="4">
    <w:nsid w:val="2901D82"/>
    <w:multiLevelType w:val="hybridMultilevel"/>
    <w:lvl w:ilvl="0">
      <w:lvlJc w:val="left"/>
      <w:lvlText w:val="·"/>
      <w:numFmt w:val="bullet"/>
      <w:start w:val="1"/>
    </w:lvl>
  </w:abstractNum>
  <w:abstractNum w:abstractNumId="5">
    <w:nsid w:val="3A95F874"/>
    <w:multiLevelType w:val="hybridMultilevel"/>
    <w:lvl w:ilvl="0">
      <w:lvlJc w:val="left"/>
      <w:lvlText w:val="·"/>
      <w:numFmt w:val="bullet"/>
      <w:start w:val="1"/>
    </w:lvl>
    <w:lvl w:ilvl="1">
      <w:lvlJc w:val="left"/>
      <w:lvlText w:val="·"/>
      <w:numFmt w:val="bullet"/>
      <w:start w:val="1"/>
    </w:lvl>
  </w:abstractNum>
  <w:abstractNum w:abstractNumId="6">
    <w:nsid w:val="8138641"/>
    <w:multiLevelType w:val="hybridMultilevel"/>
    <w:lvl w:ilvl="0">
      <w:lvlJc w:val="left"/>
      <w:lvlText w:val="%1."/>
      <w:numFmt w:val="decimal"/>
      <w:start w:val="3"/>
    </w:lvl>
  </w:abstractNum>
  <w:abstractNum w:abstractNumId="7">
    <w:nsid w:val="1E7FF521"/>
    <w:multiLevelType w:val="hybridMultilevel"/>
    <w:lvl w:ilvl="0">
      <w:lvlJc w:val="left"/>
      <w:lvlText w:val="%1."/>
      <w:numFmt w:val="decimal"/>
      <w:start w:val="4"/>
    </w:lvl>
  </w:abstractNum>
  <w:abstractNum w:abstractNumId="8">
    <w:nsid w:val="7C3DBD3D"/>
    <w:multiLevelType w:val="hybridMultilevel"/>
    <w:lvl w:ilvl="0">
      <w:lvlJc w:val="left"/>
      <w:lvlText w:val="(%1)"/>
      <w:numFmt w:val="decimal"/>
      <w:start w:val="1"/>
    </w:lvl>
  </w:abstractNum>
  <w:abstractNum w:abstractNumId="9">
    <w:nsid w:val="737B8DDC"/>
    <w:multiLevelType w:val="hybridMultilevel"/>
    <w:lvl w:ilvl="0">
      <w:lvlJc w:val="left"/>
      <w:lvlText w:val="(%1)"/>
      <w:numFmt w:val="decimal"/>
      <w:start w:val="5"/>
    </w:lvl>
  </w:abstractNum>
  <w:abstractNum w:abstractNumId="10">
    <w:nsid w:val="6CEAF087"/>
    <w:multiLevelType w:val="hybridMultilevel"/>
    <w:lvl w:ilvl="0">
      <w:lvlJc w:val="left"/>
      <w:lvlText w:val="%1."/>
      <w:numFmt w:val="decimal"/>
      <w:start w:val="6"/>
    </w:lvl>
  </w:abstractNum>
  <w:abstractNum w:abstractNumId="11">
    <w:nsid w:val="22221A70"/>
    <w:multiLevelType w:val="hybridMultilevel"/>
    <w:lvl w:ilvl="0">
      <w:lvlJc w:val="left"/>
      <w:lvlText w:val="%1."/>
      <w:numFmt w:val="decimal"/>
      <w:start w:val="7"/>
    </w:lvl>
  </w:abstractNum>
  <w:abstractNum w:abstractNumId="12">
    <w:nsid w:val="4516DDE9"/>
    <w:multiLevelType w:val="hybridMultilevel"/>
    <w:lvl w:ilvl="0">
      <w:lvlJc w:val="left"/>
      <w:lvlText w:val="%1."/>
      <w:numFmt w:val="decimal"/>
      <w:start w:val="8"/>
    </w:lvl>
  </w:abstractNum>
  <w:abstractNum w:abstractNumId="13">
    <w:nsid w:val="3006C83E"/>
    <w:multiLevelType w:val="hybridMultilevel"/>
    <w:lvl w:ilvl="0">
      <w:lvlJc w:val="left"/>
      <w:lvlText w:val="$"/>
      <w:numFmt w:val="bullet"/>
      <w:start w:val="1"/>
    </w:lvl>
  </w:abstractNum>
  <w:abstractNum w:abstractNumId="14">
    <w:nsid w:val="614FD4A1"/>
    <w:multiLevelType w:val="hybridMultilevel"/>
    <w:lvl w:ilvl="0">
      <w:lvlJc w:val="left"/>
      <w:lvlText w:val="$"/>
      <w:numFmt w:val="bullet"/>
      <w:start w:val="1"/>
    </w:lvl>
  </w:abstractNum>
  <w:abstractNum w:abstractNumId="15">
    <w:nsid w:val="419AC241"/>
    <w:multiLevelType w:val="hybridMultilevel"/>
    <w:lvl w:ilvl="0">
      <w:lvlJc w:val="left"/>
      <w:lvlText w:val="%1."/>
      <w:numFmt w:val="decimal"/>
      <w:start w:val="9"/>
    </w:lvl>
  </w:abstractNum>
  <w:abstractNum w:abstractNumId="16">
    <w:nsid w:val="5577F8E1"/>
    <w:multiLevelType w:val="hybridMultilevel"/>
    <w:lvl w:ilvl="0">
      <w:lvlJc w:val="left"/>
      <w:lvlText w:val="%1."/>
      <w:numFmt w:val="decimal"/>
      <w:start w:val="10"/>
    </w:lvl>
  </w:abstractNum>
  <w:abstractNum w:abstractNumId="17">
    <w:nsid w:val="440BADFC"/>
    <w:multiLevelType w:val="hybridMultilevel"/>
    <w:lvl w:ilvl="0">
      <w:lvlJc w:val="left"/>
      <w:lvlText w:val="%1."/>
      <w:numFmt w:val="decimal"/>
      <w:start w:val="11"/>
    </w:lvl>
  </w:abstractNum>
  <w:abstractNum w:abstractNumId="18">
    <w:nsid w:val="5072367"/>
    <w:multiLevelType w:val="hybridMultilevel"/>
    <w:lvl w:ilvl="0">
      <w:lvlJc w:val="left"/>
      <w:lvlText w:val="%1."/>
      <w:numFmt w:val="decimal"/>
      <w:start w:val="12"/>
    </w:lvl>
  </w:abstractNum>
  <w:abstractNum w:abstractNumId="19">
    <w:nsid w:val="3804823E"/>
    <w:multiLevelType w:val="hybridMultilevel"/>
    <w:lvl w:ilvl="0">
      <w:lvlJc w:val="left"/>
      <w:lvlText w:val="%1."/>
      <w:numFmt w:val="decimal"/>
      <w:start w:val="13"/>
    </w:lvl>
  </w:abstractNum>
  <w:abstractNum w:abstractNumId="20">
    <w:nsid w:val="77465F01"/>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1">
    <w:nsid w:val="7724C67E"/>
    <w:multiLevelType w:val="hybridMultilevel"/>
    <w:lvl w:ilvl="0">
      <w:lvlJc w:val="left"/>
      <w:lvlText w:val="(%1)"/>
      <w:numFmt w:val="decimal"/>
      <w:start w:val="1"/>
    </w:lvl>
    <w:lvl w:ilvl="1">
      <w:lvlJc w:val="left"/>
      <w:lvlText w:val="(%2)"/>
      <w:numFmt w:val="decimal"/>
      <w:start w:val="2"/>
    </w:lvl>
    <w:lvl w:ilvl="2">
      <w:lvlJc w:val="left"/>
      <w:lvlText w:val="(%3)"/>
      <w:numFmt w:val="decimal"/>
      <w:start w:val="2"/>
    </w:lvl>
  </w:abstractNum>
  <w:abstractNum w:abstractNumId="22">
    <w:nsid w:val="5C482A97"/>
    <w:multiLevelType w:val="hybridMultilevel"/>
    <w:lvl w:ilvl="0">
      <w:lvlJc w:val="left"/>
      <w:lvlText w:val="%1."/>
      <w:numFmt w:val="decimal"/>
      <w:start w:val="15"/>
    </w:lvl>
  </w:abstractNum>
  <w:abstractNum w:abstractNumId="23">
    <w:nsid w:val="2463B9EA"/>
    <w:multiLevelType w:val="hybridMultilevel"/>
    <w:lvl w:ilvl="0">
      <w:lvlJc w:val="left"/>
      <w:lvlText w:val="(%1)"/>
      <w:numFmt w:val="decimal"/>
      <w:start w:val="1"/>
    </w:lvl>
  </w:abstractNum>
  <w:abstractNum w:abstractNumId="24">
    <w:nsid w:val="5E884ADC"/>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5">
    <w:nsid w:val="51EAD36B"/>
    <w:multiLevelType w:val="hybridMultilevel"/>
    <w:lvl w:ilvl="0">
      <w:lvlJc w:val="left"/>
      <w:lvlText w:val="(%1)"/>
      <w:numFmt w:val="decimal"/>
      <w:start w:val="1"/>
    </w:lvl>
    <w:lvl w:ilvl="1">
      <w:lvlJc w:val="left"/>
      <w:lvlText w:val="(%2)"/>
      <w:numFmt w:val="decimal"/>
      <w:start w:val="3"/>
    </w:lvl>
    <w:lvl w:ilvl="2">
      <w:lvlJc w:val="left"/>
      <w:lvlText w:val="(%3)"/>
      <w:numFmt w:val="decimal"/>
      <w:start w:val="2"/>
    </w:lvl>
    <w:lvl w:ilvl="3">
      <w:lvlJc w:val="left"/>
      <w:lvlText w:val="(%4)"/>
      <w:numFmt w:val="decimal"/>
      <w:start w:val="2"/>
    </w:lvl>
  </w:abstractNum>
  <w:abstractNum w:abstractNumId="26">
    <w:nsid w:val="2D517796"/>
    <w:multiLevelType w:val="hybridMultilevel"/>
    <w:lvl w:ilvl="0">
      <w:lvlJc w:val="left"/>
      <w:lvlText w:val="(%1)"/>
      <w:numFmt w:val="decimal"/>
      <w:start w:val="1"/>
    </w:lvl>
    <w:lvl w:ilvl="1">
      <w:lvlJc w:val="left"/>
      <w:lvlText w:val="(%2)"/>
      <w:numFmt w:val="decimal"/>
      <w:start w:val="2"/>
    </w:lvl>
  </w:abstractNum>
  <w:abstractNum w:abstractNumId="27">
    <w:nsid w:val="580BD78F"/>
    <w:multiLevelType w:val="hybridMultilevel"/>
    <w:lvl w:ilvl="0">
      <w:lvlJc w:val="left"/>
      <w:lvlText w:val="·"/>
      <w:numFmt w:val="bullet"/>
      <w:start w:val="1"/>
    </w:lvl>
    <w:lvl w:ilvl="1">
      <w:lvlJc w:val="left"/>
      <w:lvlText w:val="·"/>
      <w:numFmt w:val="bullet"/>
      <w:start w:val="1"/>
    </w:lvl>
  </w:abstractNum>
  <w:abstractNum w:abstractNumId="28">
    <w:nsid w:val="153EA438"/>
    <w:multiLevelType w:val="hybridMultilevel"/>
    <w:lvl w:ilvl="0">
      <w:lvlJc w:val="left"/>
      <w:lvlText w:val="·"/>
      <w:numFmt w:val="bullet"/>
      <w:start w:val="1"/>
    </w:lvl>
  </w:abstractNum>
  <w:abstractNum w:abstractNumId="29">
    <w:nsid w:val="3855585C"/>
    <w:multiLevelType w:val="hybridMultilevel"/>
    <w:lvl w:ilvl="0">
      <w:lvlJc w:val="left"/>
      <w:lvlText w:val="*"/>
      <w:numFmt w:val="bullet"/>
      <w:start w:val="1"/>
    </w:lvl>
  </w:abstractNum>
  <w:abstractNum w:abstractNumId="30">
    <w:nsid w:val="70A64E2A"/>
    <w:multiLevelType w:val="hybridMultilevel"/>
    <w:lvl w:ilvl="0">
      <w:lvlJc w:val="left"/>
      <w:lvlText w:val="**"/>
      <w:numFmt w:val="bullet"/>
      <w:start w:val="1"/>
    </w:lvl>
  </w:abstractNum>
  <w:abstractNum w:abstractNumId="31">
    <w:nsid w:val="6A2342EC"/>
    <w:multiLevelType w:val="hybridMultilevel"/>
    <w:lvl w:ilvl="0">
      <w:lvlJc w:val="left"/>
      <w:lvlText w:val="*"/>
      <w:numFmt w:val="bullet"/>
      <w:start w:val="1"/>
    </w:lvl>
  </w:abstractNum>
  <w:abstractNum w:abstractNumId="32">
    <w:nsid w:val="2A487CB0"/>
    <w:multiLevelType w:val="hybridMultilevel"/>
    <w:lvl w:ilvl="0">
      <w:lvlJc w:val="left"/>
      <w:lvlText w:val="%1."/>
      <w:numFmt w:val="decimal"/>
      <w:start w:val="1"/>
    </w:lvl>
  </w:abstractNum>
  <w:abstractNum w:abstractNumId="33">
    <w:nsid w:val="1D4ED43B"/>
    <w:multiLevelType w:val="hybridMultilevel"/>
    <w:lvl w:ilvl="0">
      <w:lvlJc w:val="left"/>
      <w:lvlText w:val="%1."/>
      <w:numFmt w:val="decimal"/>
      <w:start w:val="5"/>
    </w:lvl>
  </w:abstractNum>
  <w:abstractNum w:abstractNumId="34">
    <w:nsid w:val="725A06FB"/>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lvl w:ilvl="3">
      <w:lvlJc w:val="left"/>
      <w:lvlText w:val="%4."/>
      <w:numFmt w:val="upperLetter"/>
      <w:start w:val="1"/>
    </w:lvl>
  </w:abstractNum>
  <w:abstractNum w:abstractNumId="35">
    <w:nsid w:val="2CD89A32"/>
    <w:multiLevelType w:val="hybridMultilevel"/>
    <w:lvl w:ilvl="0">
      <w:lvlJc w:val="left"/>
      <w:lvlText w:val="%1."/>
      <w:numFmt w:val="upperLetter"/>
      <w:start w:val="2"/>
    </w:lvl>
  </w:abstractNum>
  <w:abstractNum w:abstractNumId="36">
    <w:nsid w:val="57E4CCAF"/>
    <w:multiLevelType w:val="hybridMultilevel"/>
    <w:lvl w:ilvl="0">
      <w:lvlJc w:val="left"/>
      <w:lvlText w:val="%1"/>
      <w:numFmt w:val="decimal"/>
      <w:start w:val="1"/>
    </w:lvl>
    <w:lvl w:ilvl="1">
      <w:lvlJc w:val="left"/>
      <w:lvlText w:val="(%2)"/>
      <w:numFmt w:val="lowerLetter"/>
      <w:start w:val="3"/>
    </w:lvl>
  </w:abstractNum>
  <w:abstractNum w:abstractNumId="37">
    <w:nsid w:val="7A6D8D3C"/>
    <w:multiLevelType w:val="hybridMultilevel"/>
    <w:lvl w:ilvl="0">
      <w:lvlJc w:val="left"/>
      <w:lvlText w:val="%1."/>
      <w:numFmt w:val="decimal"/>
      <w:start w:val="4"/>
    </w:lvl>
    <w:lvl w:ilvl="1">
      <w:lvlJc w:val="left"/>
      <w:lvlText w:val="(%2)"/>
      <w:numFmt w:val="lowerLetter"/>
      <w:start w:val="1"/>
    </w:lvl>
  </w:abstractNum>
  <w:abstractNum w:abstractNumId="38">
    <w:nsid w:val="4B588F54"/>
    <w:multiLevelType w:val="hybridMultilevel"/>
    <w:lvl w:ilvl="0">
      <w:lvlJc w:val="left"/>
      <w:lvlText w:val="(%1)"/>
      <w:numFmt w:val="lowerLetter"/>
      <w:start w:val="2"/>
    </w:lvl>
  </w:abstractNum>
  <w:abstractNum w:abstractNumId="39">
    <w:nsid w:val="542289EC"/>
    <w:multiLevelType w:val="hybridMultilevel"/>
    <w:lvl w:ilvl="0">
      <w:lvlJc w:val="left"/>
      <w:lvlText w:val="(%1)"/>
      <w:numFmt w:val="lowerLetter"/>
      <w:start w:val="4"/>
    </w:lvl>
    <w:lvl w:ilvl="1">
      <w:lvlJc w:val="left"/>
      <w:lvlText w:val="%2."/>
      <w:numFmt w:val="lowerRoman"/>
      <w:start w:val="1"/>
    </w:lvl>
  </w:abstractNum>
  <w:abstractNum w:abstractNumId="40">
    <w:nsid w:val="6DE91B18"/>
    <w:multiLevelType w:val="hybridMultilevel"/>
    <w:lvl w:ilvl="0">
      <w:lvlJc w:val="left"/>
      <w:lvlText w:val="(%1)"/>
      <w:numFmt w:val="lowerLetter"/>
      <w:start w:val="5"/>
    </w:lvl>
  </w:abstractNum>
  <w:abstractNum w:abstractNumId="41">
    <w:nsid w:val="38437FDB"/>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42">
    <w:nsid w:val="7644A45C"/>
    <w:multiLevelType w:val="hybridMultilevel"/>
    <w:lvl w:ilvl="0">
      <w:lvlJc w:val="left"/>
      <w:lvlText w:val="%1"/>
      <w:numFmt w:val="decimal"/>
      <w:start w:val="1"/>
    </w:lvl>
    <w:lvl w:ilvl="1">
      <w:lvlJc w:val="left"/>
      <w:lvlText w:val="(%2)"/>
      <w:numFmt w:val="lowerLetter"/>
      <w:start w:val="4"/>
    </w:lvl>
  </w:abstractNum>
  <w:abstractNum w:abstractNumId="43">
    <w:nsid w:val="32FFF902"/>
    <w:multiLevelType w:val="hybridMultilevel"/>
    <w:lvl w:ilvl="0">
      <w:lvlJc w:val="left"/>
      <w:lvlText w:val="%1."/>
      <w:numFmt w:val="decimal"/>
      <w:start w:val="6"/>
    </w:lvl>
    <w:lvl w:ilvl="1">
      <w:lvlJc w:val="left"/>
      <w:lvlText w:val="%2"/>
      <w:numFmt w:val="lowerLetter"/>
      <w:start w:val="1"/>
    </w:lvl>
  </w:abstractNum>
  <w:abstractNum w:abstractNumId="44">
    <w:nsid w:val="684A481A"/>
    <w:multiLevelType w:val="hybridMultilevel"/>
    <w:lvl w:ilvl="0">
      <w:lvlJc w:val="left"/>
      <w:lvlText w:val="%1."/>
      <w:numFmt w:val="decimal"/>
      <w:start w:val="8"/>
    </w:lvl>
  </w:abstractNum>
  <w:abstractNum w:abstractNumId="45">
    <w:nsid w:val="579478FE"/>
    <w:multiLevelType w:val="hybridMultilevel"/>
    <w:lvl w:ilvl="0">
      <w:lvlJc w:val="left"/>
      <w:lvlText w:val="%1."/>
      <w:numFmt w:val="decimal"/>
      <w:start w:val="10"/>
    </w:lvl>
  </w:abstractNum>
  <w:abstractNum w:abstractNumId="46">
    <w:nsid w:val="749ABB43"/>
    <w:multiLevelType w:val="hybridMultilevel"/>
    <w:lvl w:ilvl="0">
      <w:lvlJc w:val="left"/>
      <w:lvlText w:val="%1."/>
      <w:numFmt w:val="decimal"/>
      <w:start w:val="11"/>
    </w:lvl>
  </w:abstractNum>
  <w:abstractNum w:abstractNumId="47">
    <w:nsid w:val="3DC240FB"/>
    <w:multiLevelType w:val="hybridMultilevel"/>
    <w:lvl w:ilvl="0">
      <w:lvlJc w:val="left"/>
      <w:lvlText w:val="%1."/>
      <w:numFmt w:val="decimal"/>
      <w:start w:val="15"/>
    </w:lvl>
  </w:abstractNum>
  <w:abstractNum w:abstractNumId="48">
    <w:nsid w:val="1BA026FA"/>
    <w:multiLevelType w:val="hybridMultilevel"/>
    <w:lvl w:ilvl="0">
      <w:lvlJc w:val="left"/>
      <w:lvlText w:val="%1."/>
      <w:numFmt w:val="decimal"/>
      <w:start w:val="1"/>
    </w:lvl>
    <w:lvl w:ilvl="1">
      <w:lvlJc w:val="left"/>
      <w:lvlText w:val="%2)"/>
      <w:numFmt w:val="lowerLetter"/>
      <w:start w:val="1"/>
    </w:lvl>
  </w:abstractNum>
  <w:abstractNum w:abstractNumId="49">
    <w:nsid w:val="79A1DEAA"/>
    <w:multiLevelType w:val="hybridMultilevel"/>
    <w:lvl w:ilvl="0">
      <w:lvlJc w:val="left"/>
      <w:lvlText w:val="%1."/>
      <w:numFmt w:val="decimal"/>
      <w:start w:val="1"/>
    </w:lvl>
    <w:lvl w:ilvl="1">
      <w:lvlJc w:val="left"/>
      <w:lvlText w:val="%2)"/>
      <w:numFmt w:val="lowerLetter"/>
      <w:start w:val="1"/>
    </w:lvl>
  </w:abstractNum>
  <w:abstractNum w:abstractNumId="50">
    <w:nsid w:val="75C6C33A"/>
    <w:multiLevelType w:val="hybridMultilevel"/>
    <w:lvl w:ilvl="0">
      <w:lvlJc w:val="left"/>
      <w:lvlText w:val="(%1)"/>
      <w:numFmt w:val="decimal"/>
      <w:start w:val="1"/>
    </w:lvl>
  </w:abstractNum>
  <w:abstractNum w:abstractNumId="51">
    <w:nsid w:val="12E685FB"/>
    <w:multiLevelType w:val="hybridMultilevel"/>
    <w:lvl w:ilvl="0">
      <w:lvlJc w:val="left"/>
      <w:lvlText w:val="(%1)"/>
      <w:numFmt w:val="decimal"/>
      <w:start w:val="1"/>
    </w:lvl>
  </w:abstractNum>
  <w:abstractNum w:abstractNumId="52">
    <w:nsid w:val="70C6A5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2019-12-29T11:38:57Z</dcterms:created>
  <dcterms:modified xsi:type="dcterms:W3CDTF">2019-12-29T11:38:57Z</dcterms:modified>
</cp:coreProperties>
</file>