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SLB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(SLB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22 October 2025</w:t>
      </w:r>
    </w:p>
    <w:p>
      <w:pPr>
        <w:spacing w:after="0" w:line="212"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SLB Limited (SLB N.V.) has made disclosure pursuant to such provisions in its Quarterly Report on Form 10-Q for the fiscal quarter ended September 30, 2025, which was filed with the U.S. Securities and Exchange Commission on October 22, 2025. Such disclosure appears on page 29 of the Quarterly Report on Form 10-Q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Bryan Galloway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Bryan Galloway</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780"/>
      </w:cols>
      <w:pgMar w:left="440" w:top="33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2025-10-22T11:31:32Z</dcterms:created>
  <dcterms:modified xsi:type="dcterms:W3CDTF">2025-10-22T11:31:32Z</dcterms:modified>
</cp:coreProperties>
</file>