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333-231029</w:t>
      </w:r>
    </w:p>
    <w:p>
      <w:pPr>
        <w:spacing w:after="0" w:line="141" w:lineRule="exact"/>
        <w:rPr>
          <w:sz w:val="24"/>
          <w:szCs w:val="24"/>
          <w:color w:val="auto"/>
        </w:rPr>
      </w:pPr>
    </w:p>
    <w:p>
      <w:pPr>
        <w:ind w:left="120" w:right="240"/>
        <w:spacing w:after="0" w:line="249" w:lineRule="auto"/>
        <w:rPr>
          <w:sz w:val="20"/>
          <w:szCs w:val="20"/>
          <w:color w:val="auto"/>
        </w:rPr>
      </w:pPr>
      <w:r>
        <w:rPr>
          <w:rFonts w:ascii="Arial" w:cs="Arial" w:eastAsia="Arial" w:hAnsi="Arial"/>
          <w:sz w:val="18"/>
          <w:szCs w:val="18"/>
          <w:b w:val="1"/>
          <w:bCs w:val="1"/>
          <w:color w:val="CC062A"/>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p>
    <w:p>
      <w:pPr>
        <w:spacing w:after="0" w:line="116"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CC062A"/>
        </w:rPr>
        <w:t>SUBJECT TO COMPLETION, DATED AUGUST 4, 2020</w:t>
      </w:r>
    </w:p>
    <w:p>
      <w:pPr>
        <w:spacing w:after="0" w:line="21"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April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2132965</wp:posOffset>
            </wp:positionV>
            <wp:extent cx="6995160" cy="1663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6630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65"/>
          <w:szCs w:val="65"/>
          <w:b w:val="1"/>
          <w:bCs w:val="1"/>
          <w:color w:val="auto"/>
        </w:rPr>
        <w:t>Schlumberger Investment SA</w:t>
      </w:r>
    </w:p>
    <w:p>
      <w:pPr>
        <w:spacing w:after="0" w:line="98" w:lineRule="exact"/>
        <w:rPr>
          <w:sz w:val="24"/>
          <w:szCs w:val="24"/>
          <w:color w:val="auto"/>
        </w:rPr>
      </w:pPr>
    </w:p>
    <w:p>
      <w:pPr>
        <w:ind w:left="2800" w:right="2700" w:firstLine="155"/>
        <w:spacing w:after="0" w:line="268" w:lineRule="auto"/>
        <w:tabs>
          <w:tab w:leader="none" w:pos="4083" w:val="left"/>
        </w:tabs>
        <w:numPr>
          <w:ilvl w:val="0"/>
          <w:numId w:val="1"/>
        </w:numPr>
        <w:rPr>
          <w:rFonts w:ascii="Arial" w:cs="Arial" w:eastAsia="Arial" w:hAnsi="Arial"/>
          <w:sz w:val="29"/>
          <w:szCs w:val="29"/>
          <w:b w:val="1"/>
          <w:bCs w:val="1"/>
          <w:color w:val="auto"/>
        </w:rPr>
      </w:pPr>
      <w:r>
        <w:rPr>
          <w:rFonts w:ascii="Arial" w:cs="Arial" w:eastAsia="Arial" w:hAnsi="Arial"/>
          <w:sz w:val="29"/>
          <w:szCs w:val="29"/>
          <w:b w:val="1"/>
          <w:bCs w:val="1"/>
          <w:color w:val="auto"/>
        </w:rPr>
        <w:t>2.650% Senior Notes due 2030 Fully and unconditionally guaranteed by</w:t>
      </w:r>
    </w:p>
    <w:p>
      <w:pPr>
        <w:spacing w:after="0" w:line="1" w:lineRule="exact"/>
        <w:rPr>
          <w:rFonts w:ascii="Arial" w:cs="Arial" w:eastAsia="Arial" w:hAnsi="Arial"/>
          <w:sz w:val="29"/>
          <w:szCs w:val="29"/>
          <w:b w:val="1"/>
          <w:bCs w:val="1"/>
          <w:color w:val="auto"/>
        </w:rPr>
      </w:pPr>
    </w:p>
    <w:p>
      <w:pPr>
        <w:ind w:left="4060"/>
        <w:spacing w:after="0"/>
        <w:rPr>
          <w:rFonts w:ascii="Arial" w:cs="Arial" w:eastAsia="Arial" w:hAnsi="Arial"/>
          <w:sz w:val="29"/>
          <w:szCs w:val="29"/>
          <w:b w:val="1"/>
          <w:bCs w:val="1"/>
          <w:color w:val="auto"/>
        </w:rPr>
      </w:pPr>
      <w:r>
        <w:rPr>
          <w:rFonts w:ascii="Arial" w:cs="Arial" w:eastAsia="Arial" w:hAnsi="Arial"/>
          <w:sz w:val="32"/>
          <w:szCs w:val="32"/>
          <w:b w:val="1"/>
          <w:bCs w:val="1"/>
          <w:color w:val="auto"/>
        </w:rPr>
        <w:t>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52705</wp:posOffset>
            </wp:positionV>
            <wp:extent cx="11144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95" w:lineRule="exact"/>
        <w:rPr>
          <w:sz w:val="24"/>
          <w:szCs w:val="24"/>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Schlumberger Investment SA (the “Company”) is offering U.S.$ principal amount of its 2.650% Senior Notes due 2030 (the “Notes”). The Notes offered hereby constitute a further issuance of the 2.650% Senior Notes due 2030, of which $900,000,000 aggregate principal amount was issued on</w:t>
      </w:r>
    </w:p>
    <w:p>
      <w:pPr>
        <w:spacing w:after="0" w:line="1" w:lineRule="exact"/>
        <w:rPr>
          <w:sz w:val="24"/>
          <w:szCs w:val="24"/>
          <w:color w:val="auto"/>
        </w:rPr>
      </w:pPr>
    </w:p>
    <w:p>
      <w:pPr>
        <w:ind w:left="120" w:right="220"/>
        <w:spacing w:after="0" w:line="300" w:lineRule="auto"/>
        <w:rPr>
          <w:sz w:val="20"/>
          <w:szCs w:val="20"/>
          <w:color w:val="auto"/>
        </w:rPr>
      </w:pPr>
      <w:r>
        <w:rPr>
          <w:rFonts w:ascii="Arial" w:cs="Arial" w:eastAsia="Arial" w:hAnsi="Arial"/>
          <w:sz w:val="15"/>
          <w:szCs w:val="15"/>
          <w:color w:val="auto"/>
        </w:rPr>
        <w:t>June 26, 2020 (the “Existing Notes”). The Notes offered hereby are also referred to herein as the “Additional Notes.” The Additional Notes will form a single series with, and have the same terms (other than the initial offering price and the issue date) as, the Existing Notes. Upon settlement, the Additional Notes will have the same CUSIP and will trade interchangeably with the Existing Notes. We expect the Additional Notes and the Existing Notes to be</w:t>
      </w:r>
    </w:p>
    <w:p>
      <w:pPr>
        <w:spacing w:after="0" w:line="1" w:lineRule="exact"/>
        <w:rPr>
          <w:sz w:val="24"/>
          <w:szCs w:val="24"/>
          <w:color w:val="auto"/>
        </w:rPr>
      </w:pPr>
    </w:p>
    <w:p>
      <w:pPr>
        <w:ind w:left="120" w:right="400"/>
        <w:spacing w:after="0" w:line="250" w:lineRule="auto"/>
        <w:rPr>
          <w:sz w:val="20"/>
          <w:szCs w:val="20"/>
          <w:color w:val="auto"/>
        </w:rPr>
      </w:pPr>
      <w:r>
        <w:rPr>
          <w:rFonts w:ascii="Arial" w:cs="Arial" w:eastAsia="Arial" w:hAnsi="Arial"/>
          <w:sz w:val="18"/>
          <w:szCs w:val="18"/>
          <w:color w:val="auto"/>
        </w:rPr>
        <w:t>fungible for U.S. federal income tax purposes. Immediately after giving effect to the issuance of the notes offered hereby, we will have $ aggregate principal amount outstanding of 2.650% Senior Notes due 2030.</w:t>
      </w:r>
    </w:p>
    <w:p>
      <w:pPr>
        <w:spacing w:after="0" w:line="1" w:lineRule="exact"/>
        <w:rPr>
          <w:sz w:val="24"/>
          <w:szCs w:val="24"/>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Notes will bear interest at a rate of 2.650% per year. We will pay interest on the Notes semi-annually on June 26 and December 26 of each year, beginning on December 26, 2020. The interest payment to be made with respect to the Additional Notes on December 26, 2020 will include interest deemed to have accrued from and including June 26, 2020, to, but excluding, the settlement date of the Additional Notes. Such accrued interest must be paid by the purchasers of the Additional Notes.</w:t>
      </w:r>
    </w:p>
    <w:p>
      <w:pPr>
        <w:sectPr>
          <w:pgSz w:w="11900" w:h="16838" w:orient="portrait"/>
          <w:cols w:equalWidth="0" w:num="1">
            <w:col w:w="11140"/>
          </w:cols>
          <w:pgMar w:left="320" w:top="230" w:right="439" w:bottom="0" w:gutter="0" w:footer="0" w:header="0"/>
        </w:sectPr>
      </w:pPr>
    </w:p>
    <w:bookmarkStart w:id="1" w:name="page2"/>
    <w:bookmarkEnd w:id="1"/>
    <w:p>
      <w:pPr>
        <w:ind w:firstLine="440"/>
        <w:spacing w:after="0" w:line="252" w:lineRule="auto"/>
        <w:rPr>
          <w:sz w:val="20"/>
          <w:szCs w:val="20"/>
          <w:color w:val="auto"/>
        </w:rPr>
      </w:pPr>
      <w:r>
        <w:rPr>
          <w:rFonts w:ascii="Arial" w:cs="Arial" w:eastAsia="Arial" w:hAnsi="Arial"/>
          <w:sz w:val="18"/>
          <w:szCs w:val="18"/>
          <w:color w:val="auto"/>
        </w:rPr>
        <w:t>The Notes will be fully and unconditionally guaranteed (the “guarantee”) on a senior unsecured basis by Schlumberger Limited (the “Guarantor”), the ultimate parent company of the Company. The guarantee will be the unsecured and unsubordinated obligation of the Guarantor and will rank equally with the Guarantor’s other unsecured and unsubordinated indebtedness from time to time outstanding.</w:t>
      </w:r>
    </w:p>
    <w:p>
      <w:pPr>
        <w:spacing w:after="0" w:line="2" w:lineRule="exact"/>
        <w:rPr>
          <w:sz w:val="20"/>
          <w:szCs w:val="20"/>
          <w:color w:val="auto"/>
        </w:rPr>
      </w:pPr>
    </w:p>
    <w:p>
      <w:pPr>
        <w:ind w:right="780" w:firstLine="440"/>
        <w:spacing w:after="0" w:line="250" w:lineRule="auto"/>
        <w:rPr>
          <w:sz w:val="20"/>
          <w:szCs w:val="20"/>
          <w:color w:val="auto"/>
        </w:rPr>
      </w:pPr>
      <w:r>
        <w:rPr>
          <w:rFonts w:ascii="Arial" w:cs="Arial" w:eastAsia="Arial" w:hAnsi="Arial"/>
          <w:sz w:val="18"/>
          <w:szCs w:val="18"/>
          <w:color w:val="auto"/>
        </w:rPr>
        <w:t>The Company may redeem some or all of the Notes at any time and from time to time at the redemption prices described in this prospectus supplement, plus accrued and unpaid interest to the redemption date.</w:t>
      </w:r>
    </w:p>
    <w:p>
      <w:pPr>
        <w:spacing w:after="0" w:line="1" w:lineRule="exact"/>
        <w:rPr>
          <w:sz w:val="20"/>
          <w:szCs w:val="20"/>
          <w:color w:val="auto"/>
        </w:rPr>
      </w:pPr>
    </w:p>
    <w:p>
      <w:pPr>
        <w:ind w:right="180" w:firstLine="440"/>
        <w:spacing w:after="0" w:line="250" w:lineRule="auto"/>
        <w:rPr>
          <w:sz w:val="20"/>
          <w:szCs w:val="20"/>
          <w:color w:val="auto"/>
        </w:rPr>
      </w:pPr>
      <w:r>
        <w:rPr>
          <w:rFonts w:ascii="Arial" w:cs="Arial" w:eastAsia="Arial" w:hAnsi="Arial"/>
          <w:sz w:val="18"/>
          <w:szCs w:val="18"/>
          <w:color w:val="auto"/>
        </w:rPr>
        <w:t>The Notes will be the unsecured and unsubordinated obligations of the Company and will rank equally with its other unsecured and unsubordinated indebtedness from time to time outstanding.</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 will not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58420</wp:posOffset>
            </wp:positionV>
            <wp:extent cx="1114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98" w:lineRule="exact"/>
        <w:rPr>
          <w:sz w:val="20"/>
          <w:szCs w:val="20"/>
          <w:color w:val="auto"/>
        </w:rPr>
      </w:pPr>
    </w:p>
    <w:p>
      <w:pPr>
        <w:ind w:right="600" w:firstLine="440"/>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Notes involves risks. See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S-5 herein and in the documents we have incorporated by reference.</w:t>
      </w:r>
    </w:p>
    <w:p>
      <w:pPr>
        <w:spacing w:after="0" w:line="1" w:lineRule="exact"/>
        <w:rPr>
          <w:sz w:val="20"/>
          <w:szCs w:val="20"/>
          <w:color w:val="auto"/>
        </w:rPr>
      </w:pPr>
    </w:p>
    <w:p>
      <w:pPr>
        <w:ind w:right="40" w:firstLine="440"/>
        <w:spacing w:after="0" w:line="250"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 w:lineRule="exact"/>
        <w:rPr>
          <w:sz w:val="20"/>
          <w:szCs w:val="20"/>
          <w:color w:val="auto"/>
        </w:rPr>
      </w:pPr>
    </w:p>
    <w:p>
      <w:pPr>
        <w:ind w:right="20" w:firstLine="440"/>
        <w:spacing w:after="0" w:line="250" w:lineRule="auto"/>
        <w:rPr>
          <w:sz w:val="20"/>
          <w:szCs w:val="20"/>
          <w:color w:val="auto"/>
        </w:rPr>
      </w:pPr>
      <w:r>
        <w:rPr>
          <w:rFonts w:ascii="Arial" w:cs="Arial" w:eastAsia="Arial" w:hAnsi="Arial"/>
          <w:sz w:val="18"/>
          <w:szCs w:val="18"/>
          <w:color w:val="auto"/>
        </w:rPr>
        <w:t>The Notes may be offered by the underwriter from time to time to purchasers directly or through agents, or through brokers in brokerage transactions, or to dealers in negotiated transactions or in a combination of such methods of sale, at a fixed price or prices, which may be changed, or at market prices prevailing at the time of sale, at prices related to such prevailing market prices or at negotiated prices. See ‘‘Underwriting (Conflicts of Interest)’’ for more information.</w:t>
      </w:r>
    </w:p>
    <w:p>
      <w:pPr>
        <w:spacing w:after="0" w:line="2"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The underwriter expects to deliver the Notes to purchasers against payment on or about August , 2020, solely in book-entry form through the facilities of The Depository Trust Company and its participants, including Euroclear Bank S.A./N.V., as operator of the Euroclear System, and Clearstream Banking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36830</wp:posOffset>
            </wp:positionV>
            <wp:extent cx="1114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Sole Book-Running Manager</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99060</wp:posOffset>
            </wp:positionV>
            <wp:extent cx="1114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August</w:t>
        <w:tab/>
        <w:t>, 2020</w:t>
      </w:r>
    </w:p>
    <w:p>
      <w:pPr>
        <w:sectPr>
          <w:pgSz w:w="11900" w:h="16838" w:orient="portrait"/>
          <w:cols w:equalWidth="0" w:num="1">
            <w:col w:w="10980"/>
          </w:cols>
          <w:pgMar w:left="440" w:top="131"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6500" w:type="dxa"/>
            <w:vAlign w:val="bottom"/>
            <w:gridSpan w:val="3"/>
          </w:tcPr>
          <w:p>
            <w:pPr>
              <w:jc w:val="center"/>
              <w:ind w:right="4460"/>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365"/>
        </w:trPr>
        <w:tc>
          <w:tcPr>
            <w:tcW w:w="4480" w:type="dxa"/>
            <w:vAlign w:val="bottom"/>
          </w:tcPr>
          <w:p>
            <w:pPr>
              <w:spacing w:after="0"/>
              <w:rPr>
                <w:sz w:val="24"/>
                <w:szCs w:val="24"/>
                <w:color w:val="auto"/>
              </w:rPr>
            </w:pPr>
          </w:p>
        </w:tc>
        <w:tc>
          <w:tcPr>
            <w:tcW w:w="6500" w:type="dxa"/>
            <w:vAlign w:val="bottom"/>
            <w:gridSpan w:val="3"/>
          </w:tcPr>
          <w:p>
            <w:pPr>
              <w:jc w:val="center"/>
              <w:ind w:right="4460"/>
              <w:spacing w:after="0"/>
              <w:rPr>
                <w:sz w:val="20"/>
                <w:szCs w:val="20"/>
                <w:color w:val="auto"/>
              </w:rPr>
            </w:pPr>
            <w:r>
              <w:rPr>
                <w:rFonts w:ascii="Arial" w:cs="Arial" w:eastAsia="Arial" w:hAnsi="Arial"/>
                <w:sz w:val="18"/>
                <w:szCs w:val="18"/>
                <w:b w:val="1"/>
                <w:bCs w:val="1"/>
                <w:color w:val="auto"/>
                <w:w w:val="85"/>
              </w:rPr>
              <w:t>Prospectus Supplement</w:t>
            </w:r>
          </w:p>
        </w:tc>
        <w:tc>
          <w:tcPr>
            <w:tcW w:w="0" w:type="dxa"/>
            <w:vAlign w:val="bottom"/>
          </w:tcPr>
          <w:p>
            <w:pPr>
              <w:spacing w:after="0"/>
              <w:rPr>
                <w:sz w:val="1"/>
                <w:szCs w:val="1"/>
                <w:color w:val="auto"/>
              </w:rPr>
            </w:pPr>
          </w:p>
        </w:tc>
      </w:tr>
      <w:tr>
        <w:trPr>
          <w:trHeight w:val="299"/>
        </w:trPr>
        <w:tc>
          <w:tcPr>
            <w:tcW w:w="4480" w:type="dxa"/>
            <w:vAlign w:val="bottom"/>
            <w:vMerge w:val="restart"/>
          </w:tcPr>
          <w:p>
            <w:pPr>
              <w:spacing w:after="0"/>
              <w:rPr>
                <w:rFonts w:ascii="Arial" w:cs="Arial" w:eastAsia="Arial" w:hAnsi="Arial"/>
                <w:sz w:val="18"/>
                <w:szCs w:val="18"/>
                <w:u w:val="single" w:color="auto"/>
                <w:color w:val="0000EE"/>
                <w:w w:val="89"/>
              </w:rPr>
            </w:pPr>
            <w:hyperlink w:anchor="page5">
              <w:r>
                <w:rPr>
                  <w:rFonts w:ascii="Arial" w:cs="Arial" w:eastAsia="Arial" w:hAnsi="Arial"/>
                  <w:sz w:val="18"/>
                  <w:szCs w:val="18"/>
                  <w:u w:val="single" w:color="auto"/>
                  <w:color w:val="0000EE"/>
                  <w:w w:val="89"/>
                </w:rPr>
                <w:t>Cautionary Statement Regarding Forward-Looking Statements</w:t>
              </w:r>
            </w:hyperlink>
          </w:p>
        </w:tc>
        <w:tc>
          <w:tcPr>
            <w:tcW w:w="6080" w:type="dxa"/>
            <w:vAlign w:val="bottom"/>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4480" w:type="dxa"/>
            <w:vAlign w:val="bottom"/>
            <w:vMerge w:val="continue"/>
          </w:tcPr>
          <w:p>
            <w:pPr>
              <w:spacing w:after="0"/>
              <w:rPr>
                <w:sz w:val="17"/>
                <w:szCs w:val="17"/>
                <w:color w:val="auto"/>
              </w:rPr>
            </w:pPr>
          </w:p>
        </w:tc>
        <w:tc>
          <w:tcPr>
            <w:tcW w:w="6080" w:type="dxa"/>
            <w:vAlign w:val="bottom"/>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S-iii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Use of Proceeds</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Capitalization</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Description of the Notes</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Non-United States Federal Income Tax Considerations</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w w:val="95"/>
              </w:rPr>
            </w:pPr>
            <w:hyperlink w:anchor="page36">
              <w:r>
                <w:rPr>
                  <w:rFonts w:ascii="Arial" w:cs="Arial" w:eastAsia="Arial" w:hAnsi="Arial"/>
                  <w:sz w:val="18"/>
                  <w:szCs w:val="18"/>
                  <w:u w:val="single" w:color="auto"/>
                  <w:color w:val="0000EE"/>
                  <w:w w:val="95"/>
                </w:rPr>
                <w:t>Material United States Federal Income Tax Considerations</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S-31</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Underwriting (Conflicts of Interest)</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S-35</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Matters</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Experts</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Where You Can Find More Information</w:t>
              </w:r>
            </w:hyperlink>
          </w:p>
        </w:tc>
        <w:tc>
          <w:tcPr>
            <w:tcW w:w="60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222"/>
        </w:trPr>
        <w:tc>
          <w:tcPr>
            <w:tcW w:w="44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Incorporation of Documents by Reference</w:t>
              </w:r>
            </w:hyperlink>
          </w:p>
        </w:tc>
        <w:tc>
          <w:tcPr>
            <w:tcW w:w="60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364"/>
        </w:trPr>
        <w:tc>
          <w:tcPr>
            <w:tcW w:w="4480" w:type="dxa"/>
            <w:vAlign w:val="bottom"/>
          </w:tcPr>
          <w:p>
            <w:pPr>
              <w:spacing w:after="0"/>
              <w:rPr>
                <w:sz w:val="24"/>
                <w:szCs w:val="24"/>
                <w:color w:val="auto"/>
              </w:rPr>
            </w:pPr>
          </w:p>
        </w:tc>
        <w:tc>
          <w:tcPr>
            <w:tcW w:w="6500" w:type="dxa"/>
            <w:vAlign w:val="bottom"/>
            <w:gridSpan w:val="3"/>
          </w:tcPr>
          <w:p>
            <w:pPr>
              <w:ind w:left="58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13"/>
        </w:trPr>
        <w:tc>
          <w:tcPr>
            <w:tcW w:w="4480" w:type="dxa"/>
            <w:vAlign w:val="bottom"/>
            <w:vMerge w:val="restart"/>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About this Prospectus</w:t>
              </w:r>
            </w:hyperlink>
          </w:p>
        </w:tc>
        <w:tc>
          <w:tcPr>
            <w:tcW w:w="6080" w:type="dxa"/>
            <w:vAlign w:val="bottom"/>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4480" w:type="dxa"/>
            <w:vAlign w:val="bottom"/>
            <w:vMerge w:val="continue"/>
          </w:tcPr>
          <w:p>
            <w:pPr>
              <w:spacing w:after="0"/>
              <w:rPr>
                <w:sz w:val="17"/>
                <w:szCs w:val="17"/>
                <w:color w:val="auto"/>
              </w:rPr>
            </w:pPr>
          </w:p>
        </w:tc>
        <w:tc>
          <w:tcPr>
            <w:tcW w:w="6080" w:type="dxa"/>
            <w:vAlign w:val="bottom"/>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About the Guarantor</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About the Company</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Where You Can Find More Information</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Incorporation of Documents by Reference</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w w:val="89"/>
              </w:rPr>
            </w:pPr>
            <w:hyperlink w:anchor="page52">
              <w:r>
                <w:rPr>
                  <w:rFonts w:ascii="Arial" w:cs="Arial" w:eastAsia="Arial" w:hAnsi="Arial"/>
                  <w:sz w:val="18"/>
                  <w:szCs w:val="18"/>
                  <w:u w:val="single" w:color="auto"/>
                  <w:color w:val="0000EE"/>
                  <w:w w:val="89"/>
                </w:rPr>
                <w:t>Cautionary Statement Regarding Forward-Looking Statements</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Use of Proceeds</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Description of Debt Securities</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Plan of Distribution</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Validity of the Securities</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448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Experts</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147320</wp:posOffset>
            </wp:positionV>
            <wp:extent cx="1114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3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supplement, unless otherwise stated or the context otherwise requires:</w:t>
      </w:r>
    </w:p>
    <w:p>
      <w:pPr>
        <w:spacing w:after="0" w:line="77" w:lineRule="exact"/>
        <w:rPr>
          <w:sz w:val="20"/>
          <w:szCs w:val="20"/>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refers to Schlumberger Investment SA;</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“Guarantor” or “Schlumberger Limited” refers to Schlumberger Limited, the ultimate parent of the Company;</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“Schlumberger Group” refers to Schlumberger Limited and its consolidated subsidiaries, including the Company; and</w:t>
      </w:r>
    </w:p>
    <w:p>
      <w:pPr>
        <w:spacing w:after="0" w:line="103" w:lineRule="exact"/>
        <w:rPr>
          <w:rFonts w:ascii="Arial" w:cs="Arial" w:eastAsia="Arial" w:hAnsi="Arial"/>
          <w:sz w:val="18"/>
          <w:szCs w:val="18"/>
          <w:color w:val="auto"/>
        </w:rPr>
      </w:pPr>
    </w:p>
    <w:p>
      <w:pPr>
        <w:ind w:left="760" w:hanging="212"/>
        <w:spacing w:after="0" w:line="268"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and “our” and similar expressions refer to Schlumberger Limited and its consolidated subsidiaries, including the Company, except when used in connection with the “Notes,” in which case these terms refer solely to the Company.</w:t>
      </w:r>
    </w:p>
    <w:p>
      <w:pPr>
        <w:spacing w:after="0" w:line="118" w:lineRule="exact"/>
        <w:rPr>
          <w:sz w:val="20"/>
          <w:szCs w:val="20"/>
          <w:color w:val="auto"/>
        </w:rPr>
      </w:pPr>
    </w:p>
    <w:p>
      <w:pPr>
        <w:jc w:val="both"/>
        <w:ind w:left="120" w:right="60" w:firstLine="440"/>
        <w:spacing w:after="0" w:line="306"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You should read this prospectus supplement along with the</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accompanying prospectus, as well as the documents incorporated by reference in this prospectus supplement and the accompanying prospectus. If the description of the Notes varies between this prospectus supplement and the accompanying prospectus, you should rely on the information in this prospectus supplement.</w:t>
      </w:r>
    </w:p>
    <w:p>
      <w:pPr>
        <w:spacing w:after="0" w:line="12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the accompanying prospectus and any related free writing prospectus issued by us or on our behalf. We have not, and the underwriter has not, authorized any person to provide you with additional or different information. The information contained or incorporated by reference in this prospectus supplement and the accompanying prospectus is accurate as of the date on the front cover of such documents only. Our business, properties, assets, results of operations or financial position may have changed since that date. Neither the delivery of this prospectus supplement nor of the accompanying prospectus, nor any sale made thereunder, shall under any circumstances imply that the information herein is correct as of any date subsequent to the date on the cover of such documents. We are not, and the underwriter is not, making an offer to sell the Notes in any jurisdiction where the offer or sale is not permitted.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6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This prospectus supplement and the documents incorporated by reference herein contain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3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 our forecasts or expectations regarding business outlook; growth for the Schlumberger Group as a whole and for each of its segments (and for specified products or geographic areas within each segment); oil and natural gas demand and production growth; oil and natural gas prices; pricing; our response to, and preparedness for, the COVID-19 pandemic; access to raw materials; improvements in operating procedures and technology; capital expenditures by us and the oil and gas industry; our business strategy and the business strategies of our customers; our digital strategy; our restructuring efforts and charges recorded as a result of such efforts; our effective tax rate; our Asset Performance Solutions projects, joint ventures and alliances; future global economic and geopolitical conditions; and future results of operations. These statements are subject to risks and uncertainties, including, but not limited to, changing global economic conditions; changes in exploration and production spending by our customers and changes in the level of oil and natural gas exploration and development; the results of operations and financial condition of our customers and suppliers, particularly during extended periods of low prices for crude oil and natural gas; our inability to sufficiently monetize assets; the extent of future charges;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our supply chain; production declines; our inability to recognize intended benefits from our business strategies and initiatives, such as digital or new energy, as well as our restructuring and structural cost reductions plans;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alternative energy sources or product substitutes; and other risks and uncertainties detailed in this prospectus supplement and in the Guarantor’s filings with the SEC. If one or more of these or other risks or uncertainties materialize (or the consequences of any such development changes), or should our underlying assumptions prove incorrect, actual outcomes may vary materially from those reflected in our forward-looking statements. Each forward-looking statement speaks only as of the date of the particular statement, and we undertake no obligation to publicly update or revise any forward-looking statements except as required by law.</w:t>
      </w: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53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3530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jc w:val="both"/>
        <w:ind w:left="300" w:right="440" w:firstLine="426"/>
        <w:spacing w:after="0" w:line="298" w:lineRule="auto"/>
        <w:rPr>
          <w:sz w:val="20"/>
          <w:szCs w:val="20"/>
          <w:color w:val="auto"/>
        </w:rPr>
      </w:pPr>
      <w:r>
        <w:rPr>
          <w:rFonts w:ascii="Arial" w:cs="Arial" w:eastAsia="Arial" w:hAnsi="Arial"/>
          <w:sz w:val="16"/>
          <w:szCs w:val="16"/>
          <w:i w:val="1"/>
          <w:iCs w:val="1"/>
          <w:color w:val="auto"/>
        </w:rPr>
        <w:t>This summary may not contain all of the information that may be important to you. You should read this summary together with this entire prospectus supplement and the accompanying prospectus and the documents that we have incorporated herein by reference, including the “Risk Factors” section of this prospectus supplement, and the Guarantor’s Annual Report on Form 10-K for the year ended December 31, 2019 and its subsequent Quarterly Reports on Form 10-Q for the quarterly periods ended March 31, 2020 and June 30, 2020.</w:t>
      </w:r>
    </w:p>
    <w:p>
      <w:pPr>
        <w:spacing w:after="0" w:line="9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Business</w:t>
      </w:r>
    </w:p>
    <w:p>
      <w:pPr>
        <w:spacing w:after="0" w:line="83" w:lineRule="exact"/>
        <w:rPr>
          <w:sz w:val="20"/>
          <w:szCs w:val="20"/>
          <w:color w:val="auto"/>
        </w:rPr>
      </w:pPr>
    </w:p>
    <w:p>
      <w:pPr>
        <w:ind w:left="300" w:right="160" w:firstLine="426"/>
        <w:spacing w:after="0" w:line="298" w:lineRule="auto"/>
        <w:rPr>
          <w:sz w:val="20"/>
          <w:szCs w:val="20"/>
          <w:color w:val="auto"/>
        </w:rPr>
      </w:pPr>
      <w:r>
        <w:rPr>
          <w:rFonts w:ascii="Arial" w:cs="Arial" w:eastAsia="Arial" w:hAnsi="Arial"/>
          <w:sz w:val="16"/>
          <w:szCs w:val="16"/>
          <w:color w:val="auto"/>
        </w:rPr>
        <w:t>We are the world’s leading provider of technology for reservoir characterization, drilling, production and processing to the oil and gas industry. With product sales and services in more than 120 countries, we supply the industry’s most comprehensive range of products and services, from exploration through production, and integrated pore-to-pipeline solutions that optimize hydrocarbon recovery to deliver reservoir performance sustainably. As of June 30, 2020, we employed approximately 85,000 people representing over 170 nationalities.</w:t>
      </w:r>
    </w:p>
    <w:p>
      <w:pPr>
        <w:spacing w:after="0" w:line="99" w:lineRule="exact"/>
        <w:rPr>
          <w:sz w:val="20"/>
          <w:szCs w:val="20"/>
          <w:color w:val="auto"/>
        </w:rPr>
      </w:pPr>
    </w:p>
    <w:p>
      <w:pPr>
        <w:ind w:left="300" w:right="160" w:firstLine="426"/>
        <w:spacing w:after="0" w:line="291" w:lineRule="auto"/>
        <w:rPr>
          <w:sz w:val="20"/>
          <w:szCs w:val="20"/>
          <w:color w:val="auto"/>
        </w:rPr>
      </w:pPr>
      <w:r>
        <w:rPr>
          <w:rFonts w:ascii="Arial" w:cs="Arial" w:eastAsia="Arial" w:hAnsi="Arial"/>
          <w:sz w:val="16"/>
          <w:szCs w:val="16"/>
          <w:color w:val="auto"/>
        </w:rPr>
        <w:t>We operate in each of the major oilfield service markets through four segments: Reservoir Characterization, Drilling, Production and Cameron. Each segment consists of a number of technology-based service and product lines, or Technologies. These Technologies cover the entire life cycle of the reservoir and correspond to a number of markets in which we hold leading positions. The role of the Technologies is to support the Schlumberger Group in providing the best possible service to customers and to ensure that we remain at the forefront of technology development and services integration. The Technologies are collectively responsible for driving performance throughout their businesses; overseeing operational processes, resource allocation and personnel; and delivering superior financial results.</w:t>
      </w:r>
    </w:p>
    <w:p>
      <w:pPr>
        <w:spacing w:after="0" w:line="10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the Guarantor</w:t>
      </w:r>
    </w:p>
    <w:p>
      <w:pPr>
        <w:spacing w:after="0" w:line="83" w:lineRule="exact"/>
        <w:rPr>
          <w:sz w:val="20"/>
          <w:szCs w:val="20"/>
          <w:color w:val="auto"/>
        </w:rPr>
      </w:pPr>
    </w:p>
    <w:p>
      <w:pPr>
        <w:ind w:left="300" w:firstLine="426"/>
        <w:spacing w:after="0" w:line="256" w:lineRule="auto"/>
        <w:rPr>
          <w:sz w:val="20"/>
          <w:szCs w:val="20"/>
          <w:color w:val="auto"/>
        </w:rPr>
      </w:pPr>
      <w:r>
        <w:rPr>
          <w:rFonts w:ascii="Arial" w:cs="Arial" w:eastAsia="Arial" w:hAnsi="Arial"/>
          <w:sz w:val="18"/>
          <w:szCs w:val="18"/>
          <w:color w:val="auto"/>
        </w:rPr>
        <w:t>The Guarantor was founded in 1926 and incorporated in the former Netherlands Antilles as a public limited company on November 6, 1956 for an unlimited duration. The Netherlands Antilles dissolved on October 10, 2010 and, pursuant to such dissolution, the Guarantor is now governed by the applicable laws of Curaçao. It is entered in the Curaçao Commercial Register with company number 1674. The Guarantor is the ultimate parent of the Company.</w:t>
      </w:r>
    </w:p>
    <w:p>
      <w:pPr>
        <w:spacing w:after="0" w:line="129" w:lineRule="exact"/>
        <w:rPr>
          <w:sz w:val="20"/>
          <w:szCs w:val="20"/>
          <w:color w:val="auto"/>
        </w:rPr>
      </w:pPr>
    </w:p>
    <w:p>
      <w:pPr>
        <w:ind w:left="300" w:right="140" w:firstLine="426"/>
        <w:spacing w:after="0" w:line="268" w:lineRule="auto"/>
        <w:rPr>
          <w:sz w:val="20"/>
          <w:szCs w:val="20"/>
          <w:color w:val="auto"/>
        </w:rPr>
      </w:pPr>
      <w:r>
        <w:rPr>
          <w:rFonts w:ascii="Arial" w:cs="Arial" w:eastAsia="Arial" w:hAnsi="Arial"/>
          <w:sz w:val="18"/>
          <w:szCs w:val="18"/>
          <w:color w:val="auto"/>
        </w:rPr>
        <w:t>The Guarantor has executive offices in Paris, Houston, London and The Hague. The principal U.S. market for the Guarantor’s common stock is the New York Stock Exchange, where it is traded under the symbol “SLB.”</w:t>
      </w:r>
    </w:p>
    <w:p>
      <w:pPr>
        <w:spacing w:after="0" w:line="11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the Company</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Legal and organizational status</w:t>
      </w:r>
    </w:p>
    <w:p>
      <w:pPr>
        <w:spacing w:after="0" w:line="77"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Schlumberger Investment SA is a Société Anonyme incorporated on August 18, 2011 under the laws of the Grand Duchy of Luxembourg and registered with the Luxembourg Register of Commerce and Companies under number B 163.122. Schlumberger Investment SA’s registered office is at 42-44 Avenue de la Gare, L-1610 Luxembourg and its telephone number is +3522848781045.</w:t>
      </w:r>
    </w:p>
    <w:p>
      <w:pPr>
        <w:spacing w:after="0" w:line="12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is part of the Schlumberger Group and all of the shares of the Company are owned indirectly by the Guarantor.</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Activities</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has no subsidiaries, and its principal activities are debt issuance and intercompany group financing.</w:t>
      </w:r>
    </w:p>
    <w:p>
      <w:pPr>
        <w:spacing w:after="0" w:line="17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276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3276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83" w:lineRule="exact"/>
        <w:rPr>
          <w:sz w:val="20"/>
          <w:szCs w:val="20"/>
          <w:color w:val="auto"/>
        </w:rPr>
      </w:pPr>
    </w:p>
    <w:p>
      <w:pPr>
        <w:ind w:left="300" w:right="360" w:firstLine="426"/>
        <w:spacing w:after="0" w:line="259" w:lineRule="auto"/>
        <w:rPr>
          <w:sz w:val="20"/>
          <w:szCs w:val="20"/>
          <w:color w:val="auto"/>
        </w:rPr>
      </w:pPr>
      <w:r>
        <w:rPr>
          <w:rFonts w:ascii="Arial" w:cs="Arial" w:eastAsia="Arial" w:hAnsi="Arial"/>
          <w:sz w:val="18"/>
          <w:szCs w:val="18"/>
          <w:i w:val="1"/>
          <w:iCs w:val="1"/>
          <w:color w:val="auto"/>
        </w:rPr>
        <w:t>The following summary contains basic information about the Notes. It does not contain all the information that is important to you. For a more complete understanding of the Notes, please refer to the section of this prospectus supplement entitled “Description of the Notes,” including those subsections to which we have referred you below.</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3080" w:type="dxa"/>
            <w:vAlign w:val="bottom"/>
          </w:tcPr>
          <w:p>
            <w:pPr>
              <w:ind w:left="180"/>
              <w:spacing w:after="0"/>
              <w:rPr>
                <w:sz w:val="20"/>
                <w:szCs w:val="20"/>
                <w:color w:val="auto"/>
              </w:rPr>
            </w:pPr>
            <w:r>
              <w:rPr>
                <w:rFonts w:ascii="Arial" w:cs="Arial" w:eastAsia="Arial" w:hAnsi="Arial"/>
                <w:sz w:val="18"/>
                <w:szCs w:val="18"/>
                <w:color w:val="auto"/>
              </w:rPr>
              <w:t>Issuer</w:t>
            </w: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rPr>
              <w:t>Schlumberger Investment SA.</w:t>
            </w:r>
          </w:p>
        </w:tc>
      </w:tr>
      <w:tr>
        <w:trPr>
          <w:trHeight w:val="378"/>
        </w:trPr>
        <w:tc>
          <w:tcPr>
            <w:tcW w:w="3080" w:type="dxa"/>
            <w:vAlign w:val="bottom"/>
          </w:tcPr>
          <w:p>
            <w:pPr>
              <w:ind w:left="180"/>
              <w:spacing w:after="0"/>
              <w:rPr>
                <w:sz w:val="20"/>
                <w:szCs w:val="20"/>
                <w:color w:val="auto"/>
              </w:rPr>
            </w:pPr>
            <w:r>
              <w:rPr>
                <w:rFonts w:ascii="Arial" w:cs="Arial" w:eastAsia="Arial" w:hAnsi="Arial"/>
                <w:sz w:val="18"/>
                <w:szCs w:val="18"/>
                <w:color w:val="auto"/>
              </w:rPr>
              <w:t>Guarantor</w:t>
            </w: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rPr>
              <w:t>Schlumberger Limited.</w:t>
            </w:r>
          </w:p>
        </w:tc>
      </w:tr>
      <w:tr>
        <w:trPr>
          <w:trHeight w:val="372"/>
        </w:trPr>
        <w:tc>
          <w:tcPr>
            <w:tcW w:w="3080" w:type="dxa"/>
            <w:vAlign w:val="bottom"/>
          </w:tcPr>
          <w:p>
            <w:pPr>
              <w:ind w:left="180"/>
              <w:spacing w:after="0"/>
              <w:rPr>
                <w:sz w:val="20"/>
                <w:szCs w:val="20"/>
                <w:color w:val="auto"/>
              </w:rPr>
            </w:pPr>
            <w:r>
              <w:rPr>
                <w:rFonts w:ascii="Arial" w:cs="Arial" w:eastAsia="Arial" w:hAnsi="Arial"/>
                <w:sz w:val="18"/>
                <w:szCs w:val="18"/>
                <w:color w:val="auto"/>
              </w:rPr>
              <w:t>Notes Offered</w:t>
            </w:r>
          </w:p>
        </w:tc>
        <w:tc>
          <w:tcPr>
            <w:tcW w:w="1740" w:type="dxa"/>
            <w:vAlign w:val="bottom"/>
          </w:tcPr>
          <w:p>
            <w:pPr>
              <w:ind w:left="1140"/>
              <w:spacing w:after="0"/>
              <w:rPr>
                <w:sz w:val="20"/>
                <w:szCs w:val="20"/>
                <w:color w:val="auto"/>
              </w:rPr>
            </w:pPr>
            <w:r>
              <w:rPr>
                <w:rFonts w:ascii="Arial" w:cs="Arial" w:eastAsia="Arial" w:hAnsi="Arial"/>
                <w:sz w:val="18"/>
                <w:szCs w:val="18"/>
                <w:color w:val="auto"/>
              </w:rPr>
              <w:t>U.S.$</w:t>
            </w:r>
          </w:p>
        </w:tc>
        <w:tc>
          <w:tcPr>
            <w:tcW w:w="6200" w:type="dxa"/>
            <w:vAlign w:val="bottom"/>
          </w:tcPr>
          <w:p>
            <w:pPr>
              <w:ind w:left="180"/>
              <w:spacing w:after="0"/>
              <w:rPr>
                <w:sz w:val="20"/>
                <w:szCs w:val="20"/>
                <w:color w:val="auto"/>
              </w:rPr>
            </w:pPr>
            <w:r>
              <w:rPr>
                <w:rFonts w:ascii="Arial" w:cs="Arial" w:eastAsia="Arial" w:hAnsi="Arial"/>
                <w:sz w:val="18"/>
                <w:szCs w:val="18"/>
                <w:color w:val="auto"/>
                <w:w w:val="96"/>
              </w:rPr>
              <w:t>principal amount of 2.650% Senior Notes due 2030. The Notes offered hereby</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w w:val="99"/>
              </w:rPr>
              <w:t>constitute a further issuance of, and form a single series with, the Existing Notes. See</w:t>
            </w:r>
          </w:p>
        </w:tc>
      </w:tr>
      <w:tr>
        <w:trPr>
          <w:trHeight w:val="222"/>
        </w:trPr>
        <w:tc>
          <w:tcPr>
            <w:tcW w:w="3080" w:type="dxa"/>
            <w:vAlign w:val="bottom"/>
          </w:tcPr>
          <w:p>
            <w:pPr>
              <w:spacing w:after="0"/>
              <w:rPr>
                <w:sz w:val="19"/>
                <w:szCs w:val="19"/>
                <w:color w:val="auto"/>
              </w:rPr>
            </w:pP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rPr>
              <w:t>“Description of Notes—General.”</w:t>
            </w:r>
          </w:p>
        </w:tc>
      </w:tr>
      <w:tr>
        <w:trPr>
          <w:trHeight w:val="364"/>
        </w:trPr>
        <w:tc>
          <w:tcPr>
            <w:tcW w:w="308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rPr>
              <w:t>The Notes will mature on June 26, 2030.</w:t>
            </w:r>
          </w:p>
        </w:tc>
      </w:tr>
      <w:tr>
        <w:trPr>
          <w:trHeight w:val="372"/>
        </w:trPr>
        <w:tc>
          <w:tcPr>
            <w:tcW w:w="30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w w:val="91"/>
              </w:rPr>
              <w:t>The Notes will bear interest at 2.650% per annum, and interest will be payable semi-annually</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w w:val="93"/>
              </w:rPr>
              <w:t>on June 26 and December 26 of each year, commencing December 26, 2020. The interest</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w w:val="92"/>
              </w:rPr>
              <w:t>payment to be made with respect to the Additional Notes on December 26, 2020 will include</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w w:val="95"/>
              </w:rPr>
              <w:t>interest deemed to have accrued from and including June 26, 2020, to, but excluding, the</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w w:val="90"/>
              </w:rPr>
              <w:t>settlement date of the Additional Notes. Such accrued interest must be paid by the purchasers</w:t>
            </w:r>
          </w:p>
        </w:tc>
      </w:tr>
      <w:tr>
        <w:trPr>
          <w:trHeight w:val="222"/>
        </w:trPr>
        <w:tc>
          <w:tcPr>
            <w:tcW w:w="3080" w:type="dxa"/>
            <w:vAlign w:val="bottom"/>
          </w:tcPr>
          <w:p>
            <w:pPr>
              <w:spacing w:after="0"/>
              <w:rPr>
                <w:sz w:val="19"/>
                <w:szCs w:val="19"/>
                <w:color w:val="auto"/>
              </w:rPr>
            </w:pP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rPr>
              <w:t>of the Additional Notes.</w:t>
            </w:r>
          </w:p>
        </w:tc>
      </w:tr>
      <w:tr>
        <w:trPr>
          <w:trHeight w:val="358"/>
        </w:trPr>
        <w:tc>
          <w:tcPr>
            <w:tcW w:w="3080" w:type="dxa"/>
            <w:vAlign w:val="bottom"/>
          </w:tcPr>
          <w:p>
            <w:pPr>
              <w:ind w:left="180"/>
              <w:spacing w:after="0"/>
              <w:rPr>
                <w:sz w:val="20"/>
                <w:szCs w:val="20"/>
                <w:color w:val="auto"/>
              </w:rPr>
            </w:pPr>
            <w:r>
              <w:rPr>
                <w:rFonts w:ascii="Arial" w:cs="Arial" w:eastAsia="Arial" w:hAnsi="Arial"/>
                <w:sz w:val="18"/>
                <w:szCs w:val="18"/>
                <w:color w:val="auto"/>
              </w:rPr>
              <w:t>Price</w:t>
            </w: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w w:val="97"/>
              </w:rPr>
              <w:t>The Notes may be offered by the underwriter from time to time to purchasers directly or</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w w:val="96"/>
              </w:rPr>
              <w:t>through agents, or through brokers in brokerage transactions, or to dealers in negotiated</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w w:val="95"/>
              </w:rPr>
              <w:t>transactions or in a combination of such methods of sale, at a fixed price or prices, which</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w w:val="93"/>
              </w:rPr>
              <w:t>may be changed, or at market prices prevailing at the time of sale, at prices related to such</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w w:val="96"/>
              </w:rPr>
              <w:t>prevailing market prices or at negotiated prices. See “Underwriting (Conflicts of Interest)”</w:t>
            </w:r>
          </w:p>
        </w:tc>
      </w:tr>
      <w:tr>
        <w:trPr>
          <w:trHeight w:val="222"/>
        </w:trPr>
        <w:tc>
          <w:tcPr>
            <w:tcW w:w="3080" w:type="dxa"/>
            <w:vAlign w:val="bottom"/>
          </w:tcPr>
          <w:p>
            <w:pPr>
              <w:spacing w:after="0"/>
              <w:rPr>
                <w:sz w:val="19"/>
                <w:szCs w:val="19"/>
                <w:color w:val="auto"/>
              </w:rPr>
            </w:pP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rPr>
              <w:t>for more information.</w:t>
            </w:r>
          </w:p>
        </w:tc>
      </w:tr>
      <w:tr>
        <w:trPr>
          <w:trHeight w:val="358"/>
        </w:trPr>
        <w:tc>
          <w:tcPr>
            <w:tcW w:w="3080" w:type="dxa"/>
            <w:vAlign w:val="bottom"/>
          </w:tcPr>
          <w:p>
            <w:pPr>
              <w:ind w:left="180"/>
              <w:spacing w:after="0"/>
              <w:rPr>
                <w:sz w:val="20"/>
                <w:szCs w:val="20"/>
                <w:color w:val="auto"/>
              </w:rPr>
            </w:pPr>
            <w:r>
              <w:rPr>
                <w:rFonts w:ascii="Arial" w:cs="Arial" w:eastAsia="Arial" w:hAnsi="Arial"/>
                <w:sz w:val="18"/>
                <w:szCs w:val="18"/>
                <w:color w:val="auto"/>
              </w:rPr>
              <w:t>Guarantee</w:t>
            </w: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w w:val="96"/>
              </w:rPr>
              <w:t>The Guarantor will fully and unconditionally guarantee the principal of, and any premium</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w w:val="92"/>
              </w:rPr>
              <w:t>and interest on, the Notes and the Company’s obligations under the indenture, as described</w:t>
            </w:r>
          </w:p>
        </w:tc>
      </w:tr>
      <w:tr>
        <w:trPr>
          <w:trHeight w:val="222"/>
        </w:trPr>
        <w:tc>
          <w:tcPr>
            <w:tcW w:w="3080" w:type="dxa"/>
            <w:vAlign w:val="bottom"/>
          </w:tcPr>
          <w:p>
            <w:pPr>
              <w:spacing w:after="0"/>
              <w:rPr>
                <w:sz w:val="19"/>
                <w:szCs w:val="19"/>
                <w:color w:val="auto"/>
              </w:rPr>
            </w:pP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rPr>
              <w:t>under “Description of the Notes—Guarantee.”</w:t>
            </w:r>
          </w:p>
        </w:tc>
      </w:tr>
      <w:tr>
        <w:trPr>
          <w:trHeight w:val="459"/>
        </w:trPr>
        <w:tc>
          <w:tcPr>
            <w:tcW w:w="3080" w:type="dxa"/>
            <w:vAlign w:val="bottom"/>
          </w:tcPr>
          <w:p>
            <w:pPr>
              <w:spacing w:after="0"/>
              <w:rPr>
                <w:sz w:val="24"/>
                <w:szCs w:val="24"/>
                <w:color w:val="auto"/>
              </w:rPr>
            </w:pP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rPr>
              <w:t>The Notes will not be guaranteed by any of the Guarantor’s subsidiaries.</w:t>
            </w:r>
          </w:p>
        </w:tc>
      </w:tr>
      <w:tr>
        <w:trPr>
          <w:trHeight w:val="365"/>
        </w:trPr>
        <w:tc>
          <w:tcPr>
            <w:tcW w:w="3080" w:type="dxa"/>
            <w:vAlign w:val="bottom"/>
          </w:tcPr>
          <w:p>
            <w:pPr>
              <w:ind w:left="180"/>
              <w:spacing w:after="0"/>
              <w:rPr>
                <w:sz w:val="20"/>
                <w:szCs w:val="20"/>
                <w:color w:val="auto"/>
              </w:rPr>
            </w:pPr>
            <w:r>
              <w:rPr>
                <w:rFonts w:ascii="Arial" w:cs="Arial" w:eastAsia="Arial" w:hAnsi="Arial"/>
                <w:sz w:val="18"/>
                <w:szCs w:val="18"/>
                <w:color w:val="auto"/>
              </w:rPr>
              <w:t>Minimum Denomination</w:t>
            </w: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rPr>
              <w:t>U.S.$2,000 and integral multiples of U.S.$1,000 in excess thereof.</w:t>
            </w:r>
          </w:p>
        </w:tc>
      </w:tr>
      <w:tr>
        <w:trPr>
          <w:trHeight w:val="372"/>
        </w:trPr>
        <w:tc>
          <w:tcPr>
            <w:tcW w:w="3080" w:type="dxa"/>
            <w:vAlign w:val="bottom"/>
          </w:tcPr>
          <w:p>
            <w:pPr>
              <w:ind w:left="180"/>
              <w:spacing w:after="0"/>
              <w:rPr>
                <w:sz w:val="20"/>
                <w:szCs w:val="20"/>
                <w:color w:val="auto"/>
              </w:rPr>
            </w:pPr>
            <w:r>
              <w:rPr>
                <w:rFonts w:ascii="Arial" w:cs="Arial" w:eastAsia="Arial" w:hAnsi="Arial"/>
                <w:sz w:val="18"/>
                <w:szCs w:val="18"/>
                <w:color w:val="auto"/>
              </w:rPr>
              <w:t>Optional Redemption</w:t>
            </w: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w w:val="92"/>
              </w:rPr>
              <w:t>The Company may redeem some or all of the Notes at any time and from time to time at the</w:t>
            </w:r>
          </w:p>
        </w:tc>
      </w:tr>
      <w:tr>
        <w:trPr>
          <w:trHeight w:val="216"/>
        </w:trPr>
        <w:tc>
          <w:tcPr>
            <w:tcW w:w="3080" w:type="dxa"/>
            <w:vAlign w:val="bottom"/>
          </w:tcPr>
          <w:p>
            <w:pPr>
              <w:spacing w:after="0"/>
              <w:rPr>
                <w:sz w:val="18"/>
                <w:szCs w:val="18"/>
                <w:color w:val="auto"/>
              </w:rPr>
            </w:pPr>
          </w:p>
        </w:tc>
        <w:tc>
          <w:tcPr>
            <w:tcW w:w="7940" w:type="dxa"/>
            <w:vAlign w:val="bottom"/>
            <w:gridSpan w:val="2"/>
          </w:tcPr>
          <w:p>
            <w:pPr>
              <w:ind w:left="1140"/>
              <w:spacing w:after="0"/>
              <w:rPr>
                <w:sz w:val="20"/>
                <w:szCs w:val="20"/>
                <w:color w:val="auto"/>
              </w:rPr>
            </w:pPr>
            <w:r>
              <w:rPr>
                <w:rFonts w:ascii="Arial" w:cs="Arial" w:eastAsia="Arial" w:hAnsi="Arial"/>
                <w:sz w:val="18"/>
                <w:szCs w:val="18"/>
                <w:color w:val="auto"/>
                <w:w w:val="89"/>
              </w:rPr>
              <w:t>redemption prices described in this prospectus supplement plus accrued and unpaid interest to</w:t>
            </w:r>
          </w:p>
        </w:tc>
      </w:tr>
      <w:tr>
        <w:trPr>
          <w:trHeight w:val="221"/>
        </w:trPr>
        <w:tc>
          <w:tcPr>
            <w:tcW w:w="3080" w:type="dxa"/>
            <w:vAlign w:val="bottom"/>
            <w:tcBorders>
              <w:bottom w:val="single" w:sz="8" w:color="auto"/>
            </w:tcBorders>
          </w:tcPr>
          <w:p>
            <w:pPr>
              <w:spacing w:after="0"/>
              <w:rPr>
                <w:sz w:val="19"/>
                <w:szCs w:val="19"/>
                <w:color w:val="auto"/>
              </w:rPr>
            </w:pPr>
          </w:p>
        </w:tc>
        <w:tc>
          <w:tcPr>
            <w:tcW w:w="7940" w:type="dxa"/>
            <w:vAlign w:val="bottom"/>
            <w:tcBorders>
              <w:bottom w:val="single" w:sz="8" w:color="auto"/>
            </w:tcBorders>
            <w:gridSpan w:val="2"/>
          </w:tcPr>
          <w:p>
            <w:pPr>
              <w:ind w:left="1140"/>
              <w:spacing w:after="0"/>
              <w:rPr>
                <w:sz w:val="20"/>
                <w:szCs w:val="20"/>
                <w:color w:val="auto"/>
              </w:rPr>
            </w:pPr>
            <w:r>
              <w:rPr>
                <w:rFonts w:ascii="Arial" w:cs="Arial" w:eastAsia="Arial" w:hAnsi="Arial"/>
                <w:sz w:val="18"/>
                <w:szCs w:val="18"/>
                <w:color w:val="auto"/>
              </w:rPr>
              <w:t>the redemption date. See “Description of the Notes—Optional Redemption.”</w:t>
            </w:r>
          </w:p>
        </w:tc>
      </w:tr>
      <w:tr>
        <w:trPr>
          <w:trHeight w:val="359"/>
        </w:trPr>
        <w:tc>
          <w:tcPr>
            <w:tcW w:w="3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0" w:type="dxa"/>
            <w:vAlign w:val="bottom"/>
          </w:tcPr>
          <w:p>
            <w:pPr>
              <w:ind w:left="5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0"/>
        </w:trPr>
        <w:tc>
          <w:tcPr>
            <w:tcW w:w="33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Optional Tax Redemption</w:t>
            </w:r>
          </w:p>
        </w:tc>
        <w:tc>
          <w:tcPr>
            <w:tcW w:w="768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color w:val="auto"/>
                <w:w w:val="96"/>
              </w:rPr>
              <w:t>In the event that, as a result of certain tax law changes, the Company (or the Guarantor)</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1"/>
              </w:rPr>
              <w:t>becomes obligated to pay additional amounts as described under “Description of the Notes—</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4"/>
              </w:rPr>
              <w:t>Additional Amounts,” the Company (or the Guarantor) may redeem all of the Notes prior to</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maturity at a redemption price equal to 100% of their principal amount plus accrued interest</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to the date of redemption as described under “Description of the Notes—Redemption upon</w:t>
            </w:r>
          </w:p>
        </w:tc>
      </w:tr>
      <w:tr>
        <w:trPr>
          <w:trHeight w:val="222"/>
        </w:trPr>
        <w:tc>
          <w:tcPr>
            <w:tcW w:w="334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Changes in Tax Law.”</w:t>
            </w:r>
          </w:p>
        </w:tc>
      </w:tr>
      <w:tr>
        <w:trPr>
          <w:trHeight w:val="358"/>
        </w:trPr>
        <w:tc>
          <w:tcPr>
            <w:tcW w:w="33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Payment of Additional Amounts</w:t>
            </w: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Any payments made by the Company, or the Guarantor under the Guarantee, will be made</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without withholding or deduction for taxes imposed by any jurisdiction in which the</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1"/>
              </w:rPr>
              <w:t>Company or the Guarantor is incorporated, organized or resident for tax purposes or through</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which a payment is made on the Notes on their behalf. If any such withholding or deduction</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6"/>
              </w:rPr>
              <w:t>is required with respect to Notes, the Company (or the Guarantor, if applicable) will pay,</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89"/>
              </w:rPr>
              <w:t>subject to certain exceptions, additional amounts necessary so that the net amount received by</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the beneficial owners after the withholding is not less than the amount that they would have</w:t>
            </w:r>
          </w:p>
        </w:tc>
      </w:tr>
      <w:tr>
        <w:trPr>
          <w:trHeight w:val="222"/>
        </w:trPr>
        <w:tc>
          <w:tcPr>
            <w:tcW w:w="334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received in the absence of the withholding.</w:t>
            </w:r>
          </w:p>
        </w:tc>
      </w:tr>
      <w:tr>
        <w:trPr>
          <w:trHeight w:val="453"/>
        </w:trPr>
        <w:tc>
          <w:tcPr>
            <w:tcW w:w="334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1"/>
              </w:rPr>
              <w:t>For more information on additional amounts and the situations in which the Company may be</w:t>
            </w:r>
          </w:p>
        </w:tc>
      </w:tr>
      <w:tr>
        <w:trPr>
          <w:trHeight w:val="222"/>
        </w:trPr>
        <w:tc>
          <w:tcPr>
            <w:tcW w:w="334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6"/>
              </w:rPr>
              <w:t>required to pay additional amounts, see “Description of the Notes—Additional Amounts.”</w:t>
            </w:r>
          </w:p>
        </w:tc>
      </w:tr>
      <w:tr>
        <w:trPr>
          <w:trHeight w:val="358"/>
        </w:trPr>
        <w:tc>
          <w:tcPr>
            <w:tcW w:w="33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The Notes will rank equally and ratably with all other unsecured and unsubordinated</w:t>
            </w:r>
          </w:p>
        </w:tc>
      </w:tr>
      <w:tr>
        <w:trPr>
          <w:trHeight w:val="222"/>
        </w:trPr>
        <w:tc>
          <w:tcPr>
            <w:tcW w:w="334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indebtedness of the Company.</w:t>
            </w:r>
          </w:p>
        </w:tc>
      </w:tr>
      <w:tr>
        <w:trPr>
          <w:trHeight w:val="453"/>
        </w:trPr>
        <w:tc>
          <w:tcPr>
            <w:tcW w:w="334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5"/>
              </w:rPr>
              <w:t>The Guarantee will rank equally and ratably with all other unsecured and unsubordinated</w:t>
            </w:r>
          </w:p>
        </w:tc>
      </w:tr>
      <w:tr>
        <w:trPr>
          <w:trHeight w:val="222"/>
        </w:trPr>
        <w:tc>
          <w:tcPr>
            <w:tcW w:w="334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indebtedness of the Guarantor.</w:t>
            </w:r>
          </w:p>
        </w:tc>
      </w:tr>
      <w:tr>
        <w:trPr>
          <w:trHeight w:val="459"/>
        </w:trPr>
        <w:tc>
          <w:tcPr>
            <w:tcW w:w="334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See “Description of the Notes—Ranking of the Notes and Guarantee.”</w:t>
            </w:r>
          </w:p>
        </w:tc>
      </w:tr>
      <w:tr>
        <w:trPr>
          <w:trHeight w:val="358"/>
        </w:trPr>
        <w:tc>
          <w:tcPr>
            <w:tcW w:w="33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Certain Covenants</w:t>
            </w: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4"/>
              </w:rPr>
              <w:t>The Company will issue the Notes under an indenture with The Bank of New York Mellon,</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89"/>
              </w:rPr>
              <w:t>as trustee, dated December 3, 2013, as supplemented by the Second Supplemental Indenture,</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7"/>
              </w:rPr>
              <w:t>dated June 26, 2020 and an officer’s certificate to be dated as of the closing date of this</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offering (as supplemented, the “Indenture”). The Indenture will, among other things, restrict</w:t>
            </w:r>
          </w:p>
        </w:tc>
      </w:tr>
      <w:tr>
        <w:trPr>
          <w:trHeight w:val="222"/>
        </w:trPr>
        <w:tc>
          <w:tcPr>
            <w:tcW w:w="334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the ability of the Guarantor, the Company and the Guarantor’s other subsidiaries to:</w:t>
            </w:r>
          </w:p>
        </w:tc>
      </w:tr>
      <w:tr>
        <w:trPr>
          <w:trHeight w:val="283"/>
        </w:trPr>
        <w:tc>
          <w:tcPr>
            <w:tcW w:w="334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  incur indebtedness secured by liens on specified restricted properties; and</w:t>
            </w:r>
          </w:p>
        </w:tc>
      </w:tr>
      <w:tr>
        <w:trPr>
          <w:trHeight w:val="311"/>
        </w:trPr>
        <w:tc>
          <w:tcPr>
            <w:tcW w:w="334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  consolidate or merge under specific circumstances.</w:t>
            </w:r>
          </w:p>
        </w:tc>
      </w:tr>
      <w:tr>
        <w:trPr>
          <w:trHeight w:val="486"/>
        </w:trPr>
        <w:tc>
          <w:tcPr>
            <w:tcW w:w="334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For more details, see “Description of the Notes—Certain Covenants.”</w:t>
            </w:r>
          </w:p>
        </w:tc>
      </w:tr>
      <w:tr>
        <w:trPr>
          <w:trHeight w:val="358"/>
        </w:trPr>
        <w:tc>
          <w:tcPr>
            <w:tcW w:w="33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68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1"/>
              </w:rPr>
              <w:t>The net proceeds from the offering will be used for general corporate purposes, including the</w:t>
            </w:r>
          </w:p>
        </w:tc>
      </w:tr>
      <w:tr>
        <w:trPr>
          <w:trHeight w:val="221"/>
        </w:trPr>
        <w:tc>
          <w:tcPr>
            <w:tcW w:w="3340" w:type="dxa"/>
            <w:vAlign w:val="bottom"/>
            <w:tcBorders>
              <w:left w:val="single" w:sz="8" w:color="auto"/>
              <w:bottom w:val="single" w:sz="8" w:color="auto"/>
            </w:tcBorders>
          </w:tcPr>
          <w:p>
            <w:pPr>
              <w:spacing w:after="0"/>
              <w:rPr>
                <w:sz w:val="19"/>
                <w:szCs w:val="19"/>
                <w:color w:val="auto"/>
              </w:rPr>
            </w:pPr>
          </w:p>
        </w:tc>
        <w:tc>
          <w:tcPr>
            <w:tcW w:w="768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repayment of outstanding commercial paper borrowings. See “Use of Proceeds.”</w:t>
            </w:r>
          </w:p>
        </w:tc>
      </w:tr>
      <w:tr>
        <w:trPr>
          <w:trHeight w:val="359"/>
        </w:trPr>
        <w:tc>
          <w:tcPr>
            <w:tcW w:w="3340" w:type="dxa"/>
            <w:vAlign w:val="bottom"/>
          </w:tcPr>
          <w:p>
            <w:pPr>
              <w:spacing w:after="0"/>
              <w:rPr>
                <w:sz w:val="24"/>
                <w:szCs w:val="24"/>
                <w:color w:val="auto"/>
              </w:rPr>
            </w:pPr>
          </w:p>
        </w:tc>
        <w:tc>
          <w:tcPr>
            <w:tcW w:w="7680" w:type="dxa"/>
            <w:vAlign w:val="bottom"/>
          </w:tcPr>
          <w:p>
            <w:pPr>
              <w:ind w:left="204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0"/>
        </w:trPr>
        <w:tc>
          <w:tcPr>
            <w:tcW w:w="40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Absence of a Public Market for the Notes</w:t>
            </w:r>
          </w:p>
        </w:tc>
        <w:tc>
          <w:tcPr>
            <w:tcW w:w="69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3"/>
              </w:rPr>
              <w:t>The Notes will not be listed on any securities exchange and there may be no market for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Notes. There can be no assurances as to the maintenance or liquidity of any market for the</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Notes.</w:t>
            </w:r>
          </w:p>
        </w:tc>
      </w:tr>
      <w:tr>
        <w:trPr>
          <w:trHeight w:val="3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The Company may, from time to time, without notice to or the consent of the registered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89"/>
              </w:rPr>
              <w:t>holders of the Notes, create and issue additional Notes having the same terms as, and ranking</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equally and ratably with, any of the outstanding Notes in all respects. Such additional Notes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will also be fully and unconditionally guaranteed by the Guarantor (on the same terms and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with the same ranking as the Guarantee for the Notes). See “Description of the Notes—</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r>
      <w:tr>
        <w:trPr>
          <w:trHeight w:val="3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Assumption by a Subsidiary</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0"/>
              </w:rPr>
              <w:t>Any subsidiary of the Guarantor may, at its option, assume the obligations of the Company as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the issuer of the Notes and the Company will be released from its liability as obligor under</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Notes. See “Description of the Notes—Assumption by a Subsidiary.”</w:t>
            </w:r>
          </w:p>
        </w:tc>
      </w:tr>
      <w:tr>
        <w:trPr>
          <w:trHeight w:val="3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The Indenture, including the Guarantee contained therein, and the Notes shall be governed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by, and construed in accordance with, the laws of the State of New York. The application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the provisions of articles 470-1 to 470-19 (inclusive) of the Luxembourg law of 10 August</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1915 on commercial companies, as amended, is hereby expressly excluded.</w:t>
            </w:r>
          </w:p>
        </w:tc>
      </w:tr>
      <w:tr>
        <w:trPr>
          <w:trHeight w:val="364"/>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1"/>
              </w:rPr>
              <w:t>Trustee, Registrar, Paying Agent and Transfer Agent</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Bank of New York Mellon.</w:t>
            </w:r>
          </w:p>
        </w:tc>
      </w:tr>
      <w:tr>
        <w:trPr>
          <w:trHeight w:val="372"/>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An investment in the Notes involves risk. You should carefully consider the information set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forth in the section entitled “Risk Factors” beginning on page S-5 of this prospectus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0"/>
              </w:rPr>
              <w:t>supplement and in the documents we have incorporated by reference before deciding whether</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to invest in the Notes.</w:t>
            </w:r>
          </w:p>
        </w:tc>
      </w:tr>
      <w:tr>
        <w:trPr>
          <w:trHeight w:val="3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Conflicts of Interest</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Certain affiliates of the underwriter may be holders of our commercial paper. As a result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the anticipated use of proceeds here, one or more affiliates of the underwriter may receive a</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portion of the net proceeds from the offering of the Notes offered hereby in the form of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repayment of indebtedness. Accordingly, the offering of the Notes is being made pursuant to</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Rule 5121 of the Financial Industry Regulatory Authority, Inc. Pursuant to this rule,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appointment of a qualified independent underwriter is not necessary in connection with this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offering, because the conditions of Rule 5121(a)(1)(C) are satisfied. See “Underwriting</w:t>
            </w:r>
          </w:p>
        </w:tc>
      </w:tr>
      <w:tr>
        <w:trPr>
          <w:trHeight w:val="221"/>
        </w:trPr>
        <w:tc>
          <w:tcPr>
            <w:tcW w:w="4040" w:type="dxa"/>
            <w:vAlign w:val="bottom"/>
            <w:tcBorders>
              <w:left w:val="single" w:sz="8" w:color="auto"/>
              <w:bottom w:val="single" w:sz="8" w:color="auto"/>
            </w:tcBorders>
          </w:tcPr>
          <w:p>
            <w:pPr>
              <w:spacing w:after="0"/>
              <w:rPr>
                <w:sz w:val="19"/>
                <w:szCs w:val="19"/>
                <w:color w:val="auto"/>
              </w:rPr>
            </w:pPr>
          </w:p>
        </w:tc>
        <w:tc>
          <w:tcPr>
            <w:tcW w:w="69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(Conflicts of Interest).”</w:t>
            </w:r>
          </w:p>
        </w:tc>
      </w:tr>
      <w:tr>
        <w:trPr>
          <w:trHeight w:val="359"/>
        </w:trPr>
        <w:tc>
          <w:tcPr>
            <w:tcW w:w="4040" w:type="dxa"/>
            <w:vAlign w:val="bottom"/>
          </w:tcPr>
          <w:p>
            <w:pPr>
              <w:spacing w:after="0"/>
              <w:rPr>
                <w:sz w:val="24"/>
                <w:szCs w:val="24"/>
                <w:color w:val="auto"/>
              </w:rPr>
            </w:pPr>
          </w:p>
        </w:tc>
        <w:tc>
          <w:tcPr>
            <w:tcW w:w="6980" w:type="dxa"/>
            <w:vAlign w:val="bottom"/>
          </w:tcPr>
          <w:p>
            <w:pPr>
              <w:ind w:left="134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i w:val="1"/>
          <w:iCs w:val="1"/>
          <w:color w:val="auto"/>
        </w:rPr>
        <w:t>You should carefully consider the risks described below and in the documents incorporated by reference in this prospectus supplement and the accompanying prospectus, including the “Management’s Discussion and Analysis of Financial Condition and Results of Operations” and “Risk Factors” sections of the Guarantor’s Annual Report on Form 10-K for the fiscal year ended December 31, 2019 and its Quarterly Reports on Form 10-Q for the quarterly periods ended March 31, 2020 and June 30, 2020, including the risk factor disclosed in Item 8.01 of the Guarantor’s Current Report on Form 8-K filed on April 17, 2020, before making a decision to invest in the Notes. If any of the matters included in the “Risk Factors” sections were to occur, the Schlumberger Group’s business, properties, assets, financial condition, results of operations, cash flows or prospects could be materially adversely affected. Additional risks and uncertainties not currently known to the Schlumberger Group or that the Schlumberger Group currently deems immaterial may also adversely affect the Schlumberger Group’s business, reputation, financial condition, results of operations, cash flows and prospects.</w:t>
      </w:r>
    </w:p>
    <w:p>
      <w:pPr>
        <w:spacing w:after="0" w:line="104" w:lineRule="exact"/>
        <w:rPr>
          <w:sz w:val="20"/>
          <w:szCs w:val="20"/>
          <w:color w:val="auto"/>
        </w:rPr>
      </w:pPr>
    </w:p>
    <w:p>
      <w:pPr>
        <w:ind w:left="120" w:right="40"/>
        <w:spacing w:after="0" w:line="275" w:lineRule="auto"/>
        <w:rPr>
          <w:sz w:val="20"/>
          <w:szCs w:val="20"/>
          <w:color w:val="auto"/>
        </w:rPr>
      </w:pPr>
      <w:r>
        <w:rPr>
          <w:rFonts w:ascii="Arial" w:cs="Arial" w:eastAsia="Arial" w:hAnsi="Arial"/>
          <w:sz w:val="18"/>
          <w:szCs w:val="18"/>
          <w:b w:val="1"/>
          <w:bCs w:val="1"/>
          <w:color w:val="auto"/>
        </w:rPr>
        <w:t>The COVID-19 pandemic has significantly reduced demand for our services, and has had, and may continue to have, a material adverse impact on our financial condition, results of operations and cash flows.</w:t>
      </w:r>
    </w:p>
    <w:p>
      <w:pPr>
        <w:spacing w:after="0" w:line="3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effects of the COVID-19 (coronavirus) pandemic, including actions taken by businesses and governments, have resulted in a significant and swift reduction in international and U.S. economic activity. These effects have adversely affected the demand for oil and natural gas, as well as for our services and products. The collapse in the demand for oil caused by this unprecedented global health and economic crisis, coupled with oil oversupply, has had, and is reasonably likely to continue to have, a material adverse impact on the demand for our services and products. The decline in our customers’ demand for our services and products has had, and is likely to continue to have, a material adverse impact on our financial condition, results of operations and cash flows.</w:t>
      </w:r>
    </w:p>
    <w:p>
      <w:pPr>
        <w:spacing w:after="0" w:line="130" w:lineRule="exact"/>
        <w:rPr>
          <w:sz w:val="20"/>
          <w:szCs w:val="20"/>
          <w:color w:val="auto"/>
        </w:rPr>
      </w:pPr>
    </w:p>
    <w:p>
      <w:pPr>
        <w:ind w:left="120" w:right="20" w:firstLine="440"/>
        <w:spacing w:after="0" w:line="298" w:lineRule="auto"/>
        <w:rPr>
          <w:sz w:val="20"/>
          <w:szCs w:val="20"/>
          <w:color w:val="auto"/>
        </w:rPr>
      </w:pPr>
      <w:r>
        <w:rPr>
          <w:rFonts w:ascii="Arial" w:cs="Arial" w:eastAsia="Arial" w:hAnsi="Arial"/>
          <w:sz w:val="16"/>
          <w:szCs w:val="16"/>
          <w:color w:val="auto"/>
        </w:rPr>
        <w:t>While the full impact of the COVID-19 outbreak is not yet known, we are closely monitoring the effects of the pandemic on commodity demands and on our customers, as well as on our operations and employees. These effects have included, and may continue to include, adverse revenue and net income effects; disruptions to our operations; customer shutdowns of oil and gas exploration and production; employee impacts from illness, school closures and other community response measures; and temporary closures of our facilities or the facilities of our customers and suppliers.</w:t>
      </w:r>
    </w:p>
    <w:p>
      <w:pPr>
        <w:spacing w:after="0" w:line="9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extent to which our operating and financial results are affected by COVID-19 will depend on various factors and consequences beyond our control, such as the duration and scope of the pandemic; additional actions by businesses and governments in response to the pandemic; and the speed and effectiveness of responses to combat the virus. COVID-19, and the volatile regional and global economic conditions stemming from the pandemic, could also aggravate the other risk factors that we identify in our Annual Report on Form 10-K for the fiscal year ended December 31, 2019. COVID-19 may also materially adversely affect our operating and financial results in a manner that is not currently known to us or that we do not currently consider to present significant risks to our operations.</w:t>
      </w:r>
    </w:p>
    <w:p>
      <w:pPr>
        <w:spacing w:after="0" w:line="124" w:lineRule="exact"/>
        <w:rPr>
          <w:sz w:val="20"/>
          <w:szCs w:val="20"/>
          <w:color w:val="auto"/>
        </w:rPr>
      </w:pPr>
    </w:p>
    <w:p>
      <w:pPr>
        <w:ind w:left="120" w:right="520"/>
        <w:spacing w:after="0" w:line="275" w:lineRule="auto"/>
        <w:rPr>
          <w:sz w:val="20"/>
          <w:szCs w:val="20"/>
          <w:color w:val="auto"/>
        </w:rPr>
      </w:pPr>
      <w:r>
        <w:rPr>
          <w:rFonts w:ascii="Arial" w:cs="Arial" w:eastAsia="Arial" w:hAnsi="Arial"/>
          <w:sz w:val="18"/>
          <w:szCs w:val="18"/>
          <w:b w:val="1"/>
          <w:bCs w:val="1"/>
          <w:color w:val="auto"/>
        </w:rPr>
        <w:t>The Company’s and the Guarantor’s ability to service their debt depends on the Schlumberger Group’s future performance, which may not generate cash required to service their debt.</w:t>
      </w:r>
    </w:p>
    <w:p>
      <w:pPr>
        <w:spacing w:after="0" w:line="3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Company’s ability to make scheduled payments on the Notes depends on the Schlumberger Group’s future operating and financial performance and ability to generate cash. This will be affected by the Schlumberger Group’s ability to successfully implement its business strategy, as well as by general economic, financial, competitive, regulatory, technical and other factors beyond its control. If the Schlumberger Group cannot generate sufficient cash to meet its debt service obligations or fund its other business needs, the Company or the Guarantor may, among other things, need to refinance all or a portion of its obligations, including the</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80"/>
        <w:spacing w:after="0" w:line="256" w:lineRule="auto"/>
        <w:rPr>
          <w:sz w:val="20"/>
          <w:szCs w:val="20"/>
          <w:color w:val="auto"/>
        </w:rPr>
      </w:pPr>
      <w:r>
        <w:rPr>
          <w:rFonts w:ascii="Arial" w:cs="Arial" w:eastAsia="Arial" w:hAnsi="Arial"/>
          <w:sz w:val="18"/>
          <w:szCs w:val="18"/>
          <w:color w:val="auto"/>
        </w:rPr>
        <w:t>Notes or the Guarantee, obtain additional financing, delay planned acquisitions or capital expenditures, or sell assets. No assurance can be given that the Company or the Guarantor will be able to generate sufficient cash through any of the foregoing. If the Company and the Guarantor are not able to refinance any of their debt, obtain additional financing or sell assets on commercially reasonable terms or at all, they may not be able to satisfy their obligations with respect to their debt, including the Notes and the Guarantee.</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and the Guarantee will be subordinated to any secured indebtedness of the Company and the Guarantor.</w:t>
      </w:r>
    </w:p>
    <w:p>
      <w:pPr>
        <w:spacing w:after="0" w:line="83"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Notes will be unsecured and unsubordinated obligations of the Company and will rank pari passu in right of payment with all other existing and future unsecured and unsubordinated indebtedness of the Company and senior in right of payment to all subordinated indebtedness of the Company, if any. The Guarantee will be the unsecured and unsubordinated obligation of the Guarantor and will rank pari passu in right of payment to all other existing and future unsecured and unsubordinated indebtedness of the Guarantor, and senior in right of payment to all subordinated indebtedness of the Guarantor, if any. However, the Notes and the Guarantee will be effectively subordinated to any secured obligations of the Company and the Guarantor to the extent of the assets serving as security therefor. In bankruptcy, the holder of a security interest with respect to any assets of the Company or the Guarantor would be entitled to have the proceeds of such assets applied to the payment of such holder’s claim before the remaining proceeds, if any, are applied to the claims of the holders of the Notes.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Guarantee and the Notes will be structurally subordinated to the obligations of the Guarantor’s subsidiaries other than the Company.</w:t>
      </w:r>
    </w:p>
    <w:p>
      <w:pPr>
        <w:spacing w:after="0" w:line="106"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Guarantor currently conducts its operations through its subsidiaries. The Company currently has no subsidiaries, and its principal activities are debt issuance and intercompany group financing. Accordingly, the Guarantor’s ability to meet its obligations, including payment of principal and interest (including any additional amounts), on the Guarantee, depends on earnings and cash flows of its subsidiaries and the ability of its subsidiaries to pay dividends or advance or repay funds to it. In addition, any of the Guarantor’s rights (including the rights of the holders of the Notes) to participate in the assets of any of its subsidiaries (other than the Company) upon any liquidation or reorganization of any such subsidiary will be subject to the prior claims of that subsidiary’s creditors (except to the extent that the Guarantor may itself be a creditor of that subsidiary), including that subsidiary’s trade creditors and the Guarantor’s creditors who have obtained guarantees from such subsidiaries.</w:t>
      </w:r>
    </w:p>
    <w:p>
      <w:pPr>
        <w:spacing w:after="0" w:line="10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a result, the Guarantee will be structurally subordinated to the obligations and liabilities of all of the Guarantor’s subsidiaries (other than the Company’s obligations and liabilities with respect to the Notes). As of June 30, 2020, the Guarantor had accounts payable and accrued liabilities of approximately U.S.$9.8 billion. In addition, the Indenture governing the Notes will permit the Guarantor’s subsidiaries, including the Company, to incur additional indebtedness, including an unlimited amount of unsecured indebtedness and will not contain any limitation on the amount of other liabilities, such as trade payables, that may be incurred by its subsidiaries.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trading market for the Notes may not be maintained, in which case you may not be able to resell the Notes.</w:t>
      </w:r>
    </w:p>
    <w:p>
      <w:pPr>
        <w:spacing w:after="0" w:line="83"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do not intend to list the Notes on any securities exchange or automated quotation system. As a result, an active or liquid trading market for the Notes may not be maintained. Future liquidity will depend on, among other things, the number of holders of the Notes, our and the Guarantor’s financial performance, the market for similar securities and the interest of securities dealers in making a market in the Notes. In addition, changes in the overall market for investment grade securities and changes in our or the Guarantor’s financial performance or in the markets where we operate may adversely affect the liquidity of the trading market in the Notes and the market price quoted for the Notes. The market, if any, for the Notes may be subject to disruptions that may cause substantial volatility in their prices. Any disruptions may have an adverse effect on the holders of the Notes.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 may be unable to recover in civil proceedings for U.S. securities laws violations.</w:t>
      </w:r>
    </w:p>
    <w:p>
      <w:pPr>
        <w:spacing w:after="0" w:line="83"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The Company is organized under the laws of Luxembourg and does not have any assets in the United States. It is anticipated that some or all of the directors and executive officers of the Company will be nonresidents of the United States and that all or a majority of their assets will be located outside the United States. As a result, it may not be possible for investors to effect service of process within the United States upon the Company or its directors and executive officers, or to enforce any judgments obtained in U.S. courts predicated upon civil liability provisions of the U.S. securities laws. In addition, the Company cannot assure you that civil liabilities predicated upon the federal securities laws of the United States will be enforceable in Luxembourg.</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60"/>
          </w:cols>
          <w:pgMar w:left="32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We estimate that the net proceeds (after deducting the underwriting discount and the estimated expenses of the offering payable by us) from the sale</w:t>
      </w:r>
    </w:p>
    <w:p>
      <w:pPr>
        <w:spacing w:after="0" w:line="38"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of the Notes will be approximately U.S.$ . The net proceeds from the offering will be used for general corporate purposes, including the repayment of outstanding commercial paper borrowings.</w:t>
      </w:r>
    </w:p>
    <w:p>
      <w:pPr>
        <w:spacing w:after="0" w:line="12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Certain affiliates of the underwriter may be holders of our commercial paper. As a result of the anticipated use of proceeds here, one or more affiliates of the underwriter may receive a portion of the net proceeds from the offering of the Notes offered hereby in the form of the repayment of indebtedness. Accordingly, the offering of the Notes is being made pursuant to Rule 5121 of the Financial Industry Regulatory Authority, Inc. Pursuant to this rule, the appointment of a qualified independent underwriter is not necessary in connection with this offering, because the conditions of Rule 5121(a)(1)(C) are satisfied. See “Underwriting (Conflicts of Interest).”</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8"/>
          <w:szCs w:val="18"/>
          <w:color w:val="auto"/>
        </w:rPr>
        <w:t>The following table sets forth the Guarantor’s and its consolidated subsidiaries’ unaudited capitalization as of June 30, 2020 on an actual basis and as adjusted to give effect to the sale of the Notes in this offering.</w:t>
      </w:r>
    </w:p>
    <w:p>
      <w:pPr>
        <w:spacing w:after="0" w:line="118" w:lineRule="exact"/>
        <w:rPr>
          <w:sz w:val="20"/>
          <w:szCs w:val="20"/>
          <w:color w:val="auto"/>
        </w:rPr>
      </w:pPr>
    </w:p>
    <w:p>
      <w:pPr>
        <w:ind w:left="120" w:right="20" w:firstLine="440"/>
        <w:spacing w:after="0" w:line="306" w:lineRule="auto"/>
        <w:rPr>
          <w:sz w:val="20"/>
          <w:szCs w:val="20"/>
          <w:color w:val="auto"/>
        </w:rPr>
      </w:pPr>
      <w:r>
        <w:rPr>
          <w:rFonts w:ascii="Arial" w:cs="Arial" w:eastAsia="Arial" w:hAnsi="Arial"/>
          <w:sz w:val="16"/>
          <w:szCs w:val="16"/>
          <w:color w:val="auto"/>
        </w:rPr>
        <w:t>This table should be read in conjunction with the Guarantor’s and its consolidated subsidiaries’ unaudited consolidated financial statements and the related notes as reported in the Guarantor’s Quarterly Report on Form 10-Q for the quarterly period ended June 30, 2020, which is incorporated by reference in this prospectus supplement and accompanying prospectus. See “Incorporation of Documents by Reference.”</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ind w:left="280"/>
              <w:spacing w:after="0"/>
              <w:rPr>
                <w:sz w:val="20"/>
                <w:szCs w:val="20"/>
                <w:color w:val="auto"/>
              </w:rPr>
            </w:pPr>
            <w:r>
              <w:rPr>
                <w:rFonts w:ascii="Arial" w:cs="Arial" w:eastAsia="Arial" w:hAnsi="Arial"/>
                <w:sz w:val="13"/>
                <w:szCs w:val="13"/>
                <w:b w:val="1"/>
                <w:bCs w:val="1"/>
                <w:color w:val="auto"/>
              </w:rPr>
              <w:t>As of June 30, 2020</w:t>
            </w:r>
          </w:p>
        </w:tc>
      </w:tr>
      <w:tr>
        <w:trPr>
          <w:trHeight w:val="142"/>
        </w:trPr>
        <w:tc>
          <w:tcPr>
            <w:tcW w:w="50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3"/>
                <w:szCs w:val="13"/>
                <w:b w:val="1"/>
                <w:bCs w:val="1"/>
                <w:color w:val="auto"/>
                <w:w w:val="95"/>
              </w:rPr>
              <w:t>Actual</w:t>
            </w:r>
          </w:p>
        </w:tc>
        <w:tc>
          <w:tcPr>
            <w:tcW w:w="5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89"/>
              </w:rPr>
              <w:t>As Adjusted</w:t>
            </w:r>
          </w:p>
        </w:tc>
        <w:tc>
          <w:tcPr>
            <w:tcW w:w="60" w:type="dxa"/>
            <w:vAlign w:val="bottom"/>
          </w:tcPr>
          <w:p>
            <w:pPr>
              <w:spacing w:after="0"/>
              <w:rPr>
                <w:sz w:val="12"/>
                <w:szCs w:val="12"/>
                <w:color w:val="auto"/>
              </w:rPr>
            </w:pPr>
          </w:p>
        </w:tc>
      </w:tr>
      <w:tr>
        <w:trPr>
          <w:trHeight w:val="142"/>
        </w:trPr>
        <w:tc>
          <w:tcPr>
            <w:tcW w:w="50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4"/>
          </w:tcPr>
          <w:p>
            <w:pPr>
              <w:ind w:left="280"/>
              <w:spacing w:after="0" w:line="142" w:lineRule="exact"/>
              <w:rPr>
                <w:sz w:val="20"/>
                <w:szCs w:val="20"/>
                <w:color w:val="auto"/>
              </w:rPr>
            </w:pPr>
            <w:r>
              <w:rPr>
                <w:rFonts w:ascii="Arial" w:cs="Arial" w:eastAsia="Arial" w:hAnsi="Arial"/>
                <w:sz w:val="13"/>
                <w:szCs w:val="13"/>
                <w:b w:val="1"/>
                <w:bCs w:val="1"/>
                <w:color w:val="auto"/>
              </w:rPr>
              <w:t>(dollars in millions)</w:t>
            </w:r>
          </w:p>
        </w:tc>
        <w:tc>
          <w:tcPr>
            <w:tcW w:w="6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420"/>
              <w:spacing w:after="0"/>
              <w:rPr>
                <w:sz w:val="20"/>
                <w:szCs w:val="20"/>
                <w:color w:val="auto"/>
              </w:rPr>
            </w:pPr>
            <w:r>
              <w:rPr>
                <w:rFonts w:ascii="Arial" w:cs="Arial" w:eastAsia="Arial" w:hAnsi="Arial"/>
                <w:sz w:val="18"/>
                <w:szCs w:val="18"/>
                <w:color w:val="auto"/>
                <w:w w:val="96"/>
              </w:rPr>
              <w:t>Short term borrowings and current portion of long-term debt</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603</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603</w:t>
            </w:r>
          </w:p>
        </w:tc>
      </w:tr>
      <w:tr>
        <w:trPr>
          <w:trHeight w:val="216"/>
        </w:trPr>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16,763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16,763</w:t>
            </w:r>
          </w:p>
        </w:tc>
      </w:tr>
      <w:tr>
        <w:trPr>
          <w:trHeight w:val="223"/>
        </w:trPr>
        <w:tc>
          <w:tcPr>
            <w:tcW w:w="5040" w:type="dxa"/>
            <w:vAlign w:val="bottom"/>
          </w:tcPr>
          <w:p>
            <w:pPr>
              <w:ind w:left="420"/>
              <w:spacing w:after="0"/>
              <w:rPr>
                <w:sz w:val="20"/>
                <w:szCs w:val="20"/>
                <w:color w:val="auto"/>
              </w:rPr>
            </w:pPr>
            <w:r>
              <w:rPr>
                <w:rFonts w:ascii="Arial" w:cs="Arial" w:eastAsia="Arial" w:hAnsi="Arial"/>
                <w:sz w:val="18"/>
                <w:szCs w:val="18"/>
                <w:color w:val="auto"/>
              </w:rPr>
              <w:t>Notes offered hereby</w:t>
            </w:r>
          </w:p>
        </w:tc>
        <w:tc>
          <w:tcPr>
            <w:tcW w:w="4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debt</w:t>
            </w:r>
          </w:p>
        </w:tc>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17,366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Schlumberger Limited stockholders’ equity</w:t>
            </w:r>
          </w:p>
        </w:tc>
        <w:tc>
          <w:tcPr>
            <w:tcW w:w="4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12,040</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12,040</w:t>
            </w:r>
          </w:p>
        </w:tc>
        <w:tc>
          <w:tcPr>
            <w:tcW w:w="6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29,406</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6"/>
        </w:trPr>
        <w:tc>
          <w:tcPr>
            <w:tcW w:w="5040" w:type="dxa"/>
            <w:vAlign w:val="bottom"/>
          </w:tcPr>
          <w:p>
            <w:pPr>
              <w:spacing w:after="0"/>
              <w:rPr>
                <w:sz w:val="24"/>
                <w:szCs w:val="24"/>
                <w:color w:val="auto"/>
              </w:rPr>
            </w:pPr>
          </w:p>
        </w:tc>
        <w:tc>
          <w:tcPr>
            <w:tcW w:w="4140" w:type="dxa"/>
            <w:vAlign w:val="bottom"/>
            <w:gridSpan w:val="2"/>
          </w:tcPr>
          <w:p>
            <w:pPr>
              <w:jc w:val="right"/>
              <w:ind w:right="3560"/>
              <w:spacing w:after="0"/>
              <w:rPr>
                <w:sz w:val="20"/>
                <w:szCs w:val="20"/>
                <w:color w:val="auto"/>
              </w:rPr>
            </w:pPr>
            <w:r>
              <w:rPr>
                <w:rFonts w:ascii="Arial" w:cs="Arial" w:eastAsia="Arial" w:hAnsi="Arial"/>
                <w:sz w:val="18"/>
                <w:szCs w:val="18"/>
                <w:color w:val="auto"/>
              </w:rPr>
              <w:t>S-9</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NOTES</w:t>
      </w:r>
    </w:p>
    <w:p>
      <w:pPr>
        <w:spacing w:after="0" w:line="16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Schlumberger Investment SA (the “Company”) is offering U.S.$ principal amount of its 2.650% Senior Notes due 2030 (the “Notes”). The Notes are to be issued under an indenture, dated December 3, 2013, as supplemented by the Second Supplemental Indenture, dated June 26, 2020 and an officer’s certificate to be dated as of the closing date of this offering (as supplemented, the “Indenture”), among the Company, Schlumberger Limited, as guarantor (the “Guarantor”), and The Bank of New York Mellon, as trustee (the “Trustee”). When we refer to the Indenture, we are referring to such indenture, as so supplemented, unless the context requires otherwise. The Guarantor will fully and unconditionally guarantee the Notes under a guarantee contained in the Indenture (the “Guarantee”). The terms of the Notes include those stated in the Indenture. Copies of the Indenture are available as set forth under “Where You Can Find More Information.”</w:t>
      </w:r>
    </w:p>
    <w:p>
      <w:pPr>
        <w:spacing w:after="0" w:line="133" w:lineRule="exact"/>
        <w:rPr>
          <w:sz w:val="20"/>
          <w:szCs w:val="20"/>
          <w:color w:val="auto"/>
        </w:rPr>
      </w:pPr>
    </w:p>
    <w:p>
      <w:pPr>
        <w:ind w:left="120" w:right="80" w:firstLine="440"/>
        <w:spacing w:after="0" w:line="283" w:lineRule="auto"/>
        <w:rPr>
          <w:sz w:val="20"/>
          <w:szCs w:val="20"/>
          <w:color w:val="auto"/>
        </w:rPr>
      </w:pPr>
      <w:r>
        <w:rPr>
          <w:rFonts w:ascii="Arial" w:cs="Arial" w:eastAsia="Arial" w:hAnsi="Arial"/>
          <w:sz w:val="16"/>
          <w:szCs w:val="16"/>
          <w:color w:val="auto"/>
        </w:rPr>
        <w:t>The Notes offered hereby constitute a further issuance of the 2.650% Senior Notes due 2030, of which $900,000,000 aggregate principal amount was issued on June 26, 2020 (the “Existing Notes”). The Notes offered hereby are also referred to herein as the “Additional Notes.” The Additional Notes will form a single series with, and have the same terms (other than the initial offering price and the issue date), as the Existing Notes. Upon settlement, the Additional Notes will have the same CUSIP and will trade interchangeably with the Existing Notes. We expect the Additional Notes and the Existing Notes to be fungible for U.S. federal income tax purposes. Immediately after giving effect to the issuance of the Notes offered hereby, we will have</w:t>
      </w:r>
    </w:p>
    <w:p>
      <w:pPr>
        <w:spacing w:after="0" w:line="2" w:lineRule="exact"/>
        <w:rPr>
          <w:sz w:val="20"/>
          <w:szCs w:val="20"/>
          <w:color w:val="auto"/>
        </w:rPr>
      </w:pPr>
    </w:p>
    <w:p>
      <w:pPr>
        <w:ind w:left="560" w:hanging="444"/>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principal amount outstanding of 2.650% Senior Notes due 2030.</w:t>
      </w:r>
    </w:p>
    <w:p>
      <w:pPr>
        <w:spacing w:after="0" w:line="151"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The Indenture does not limit the amount of debt that may be issued thereunder. The Company may issue debt securities from time to time under the Indenture in separate series (each, a “series”), each up to the aggregate principal amount authorized by the Company for such series. The Additional Notes and the Existing Notes will constitute a single series of debt securities under the Indenture.</w:t>
      </w:r>
    </w:p>
    <w:p>
      <w:pPr>
        <w:spacing w:after="0" w:line="126"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As used in this “Description of the Notes,” the terms “we,” “us” and “our” and similar expressions refer to the Company; and the terms “Guarantor” and “Schlumberger Limited” refer to our parent company, Schlumberger Limited, and not to any of its subsidiaries, in each case unless otherwise stated or the context otherwise requires.</w:t>
      </w:r>
    </w:p>
    <w:p>
      <w:pPr>
        <w:spacing w:after="0" w:line="126"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The following description is a summary of the material provisions of the Indenture. It does not restate the Indenture in its entirety. We urge you to read the Indenture because it, and not this description, defines your rights as holders of the Notes. Certain defined terms used in this description but not defined below have the meanings assigned to them in the Indenture.</w:t>
      </w:r>
    </w:p>
    <w:p>
      <w:pPr>
        <w:spacing w:after="0" w:line="126" w:lineRule="exact"/>
        <w:rPr>
          <w:sz w:val="20"/>
          <w:szCs w:val="20"/>
          <w:color w:val="auto"/>
        </w:rPr>
      </w:pPr>
    </w:p>
    <w:p>
      <w:pPr>
        <w:ind w:left="120" w:right="580" w:firstLine="440"/>
        <w:spacing w:after="0" w:line="375" w:lineRule="auto"/>
        <w:rPr>
          <w:sz w:val="20"/>
          <w:szCs w:val="20"/>
          <w:color w:val="auto"/>
        </w:rPr>
      </w:pPr>
      <w:r>
        <w:rPr>
          <w:rFonts w:ascii="Arial" w:cs="Arial" w:eastAsia="Arial" w:hAnsi="Arial"/>
          <w:sz w:val="18"/>
          <w:szCs w:val="18"/>
          <w:color w:val="auto"/>
        </w:rPr>
        <w:t xml:space="preserve">The registered holder of a Note will be treated as the owner of it for all purposes. Only registered holders will have rights under the Indenture. </w:t>
      </w:r>
      <w:r>
        <w:rPr>
          <w:rFonts w:ascii="Arial" w:cs="Arial" w:eastAsia="Arial" w:hAnsi="Arial"/>
          <w:sz w:val="18"/>
          <w:szCs w:val="18"/>
          <w:b w:val="1"/>
          <w:bCs w:val="1"/>
          <w:color w:val="auto"/>
        </w:rPr>
        <w:t>General</w:t>
      </w:r>
    </w:p>
    <w:p>
      <w:pPr>
        <w:spacing w:after="0" w:line="1" w:lineRule="exact"/>
        <w:rPr>
          <w:sz w:val="20"/>
          <w:szCs w:val="20"/>
          <w:color w:val="auto"/>
        </w:rPr>
      </w:pPr>
    </w:p>
    <w:p>
      <w:pPr>
        <w:ind w:left="560"/>
        <w:spacing w:after="0"/>
        <w:tabs>
          <w:tab w:leader="none" w:pos="7120" w:val="left"/>
        </w:tabs>
        <w:rPr>
          <w:sz w:val="20"/>
          <w:szCs w:val="20"/>
          <w:color w:val="auto"/>
        </w:rPr>
      </w:pPr>
      <w:r>
        <w:rPr>
          <w:rFonts w:ascii="Arial" w:cs="Arial" w:eastAsia="Arial" w:hAnsi="Arial"/>
          <w:sz w:val="18"/>
          <w:szCs w:val="18"/>
          <w:color w:val="auto"/>
        </w:rPr>
        <w:t>The Notes offered hereby are initially issuable in an aggregate principal amount of U.S.$</w:t>
      </w:r>
      <w:r>
        <w:rPr>
          <w:sz w:val="20"/>
          <w:szCs w:val="20"/>
          <w:color w:val="auto"/>
        </w:rPr>
        <w:tab/>
      </w:r>
      <w:r>
        <w:rPr>
          <w:rFonts w:ascii="Arial" w:cs="Arial" w:eastAsia="Arial" w:hAnsi="Arial"/>
          <w:sz w:val="15"/>
          <w:szCs w:val="15"/>
          <w:color w:val="auto"/>
        </w:rPr>
        <w:t>and will mature on June 26, 2030. Interest on the Notes</w:t>
      </w:r>
    </w:p>
    <w:p>
      <w:pPr>
        <w:spacing w:after="0" w:line="15" w:lineRule="exact"/>
        <w:rPr>
          <w:sz w:val="20"/>
          <w:szCs w:val="20"/>
          <w:color w:val="auto"/>
        </w:rPr>
      </w:pPr>
    </w:p>
    <w:p>
      <w:pPr>
        <w:ind w:left="120" w:right="240"/>
        <w:spacing w:after="0" w:line="292" w:lineRule="auto"/>
        <w:rPr>
          <w:sz w:val="20"/>
          <w:szCs w:val="20"/>
          <w:color w:val="auto"/>
        </w:rPr>
      </w:pPr>
      <w:r>
        <w:rPr>
          <w:rFonts w:ascii="Arial" w:cs="Arial" w:eastAsia="Arial" w:hAnsi="Arial"/>
          <w:sz w:val="16"/>
          <w:szCs w:val="16"/>
          <w:color w:val="auto"/>
        </w:rPr>
        <w:t>will be payable in U.S. dollars at the office of the Paying Agent in the Borough of Manhattan, the City of New York, New York, or, at the Company’s option, by check mailed to the address of the registered holder or, with respect to any global Note or upon application by the holder of a definitive, non-global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Notes then maturing will be due and payable, plus accrued and unpaid interest to the applicable maturity date.</w:t>
      </w:r>
    </w:p>
    <w:p>
      <w:pPr>
        <w:spacing w:after="0" w:line="103" w:lineRule="exact"/>
        <w:rPr>
          <w:sz w:val="20"/>
          <w:szCs w:val="20"/>
          <w:color w:val="auto"/>
        </w:rPr>
      </w:pPr>
    </w:p>
    <w:p>
      <w:pPr>
        <w:ind w:left="120" w:right="420" w:firstLine="440"/>
        <w:spacing w:after="0" w:line="268" w:lineRule="auto"/>
        <w:rPr>
          <w:sz w:val="20"/>
          <w:szCs w:val="20"/>
          <w:color w:val="auto"/>
        </w:rPr>
      </w:pPr>
      <w:r>
        <w:rPr>
          <w:rFonts w:ascii="Arial" w:cs="Arial" w:eastAsia="Arial" w:hAnsi="Arial"/>
          <w:sz w:val="18"/>
          <w:szCs w:val="18"/>
          <w:color w:val="auto"/>
        </w:rPr>
        <w:t>The Company may create and issue additional Notes under the Indenture with the same terms as the Notes offered hereby (other than the date of issuance and in certain circumstances the date from which interest thereon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will begin to accrue). The Existing Notes, the Additional Notes, and any additional Notes subsequently issued by the Company under the Indenture will be treated as a single class for all purposes under the Indenture, including, without limitation, waivers, amendments and redemptions. See “—Further Issuances.”</w:t>
      </w:r>
    </w:p>
    <w:p>
      <w:pPr>
        <w:spacing w:after="0" w:line="126" w:lineRule="exact"/>
        <w:rPr>
          <w:sz w:val="20"/>
          <w:szCs w:val="20"/>
          <w:color w:val="auto"/>
        </w:rPr>
      </w:pPr>
    </w:p>
    <w:p>
      <w:pPr>
        <w:ind w:left="120" w:right="380" w:firstLine="440"/>
        <w:spacing w:after="0" w:line="268" w:lineRule="auto"/>
        <w:rPr>
          <w:sz w:val="20"/>
          <w:szCs w:val="20"/>
          <w:color w:val="auto"/>
        </w:rPr>
      </w:pPr>
      <w:r>
        <w:rPr>
          <w:rFonts w:ascii="Arial" w:cs="Arial" w:eastAsia="Arial" w:hAnsi="Arial"/>
          <w:sz w:val="18"/>
          <w:szCs w:val="18"/>
          <w:color w:val="auto"/>
        </w:rPr>
        <w:t>The Notes will be issued only in registered form without interest coupons, in minimum denominations of U.S.$2,000 and in integral multiples of U.S.$1,000 in excess thereof.</w:t>
      </w:r>
    </w:p>
    <w:p>
      <w:pPr>
        <w:spacing w:after="0" w:line="11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Notes will bear interest at 2.650% per annum. Interest on the Notes will accrue from June 26, 2020 and will be payable by the Company on June 26 and December 26 of each year, beginning on December 26, 2020 to the person in whose name such Note is registered, subject to certain exceptions as provided in the Indenture, at the close of business on the June 11 and December 11 immediately preceding such interest payment date (whether or not a business day). The interest payment to be made with respect to the Additional Notes on December 26, 2020 will include interest deemed to have accrued from and including June 26, 2020, to, but excluding, the settlement date of the Additional Notes. Such accrued interest must be paid by the purchasers of the Additional Notes.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are not subject to any mandatory redemption or any sinking fund provision.</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w:t>
      </w:r>
    </w:p>
    <w:p>
      <w:pPr>
        <w:spacing w:after="0" w:line="83" w:lineRule="exact"/>
        <w:rPr>
          <w:sz w:val="20"/>
          <w:szCs w:val="20"/>
          <w:color w:val="auto"/>
        </w:rPr>
      </w:pPr>
    </w:p>
    <w:p>
      <w:pPr>
        <w:ind w:left="120" w:right="40" w:firstLine="440"/>
        <w:spacing w:after="0" w:line="335" w:lineRule="auto"/>
        <w:rPr>
          <w:sz w:val="20"/>
          <w:szCs w:val="20"/>
          <w:color w:val="auto"/>
        </w:rPr>
      </w:pPr>
      <w:r>
        <w:rPr>
          <w:rFonts w:ascii="Arial" w:cs="Arial" w:eastAsia="Arial" w:hAnsi="Arial"/>
          <w:sz w:val="15"/>
          <w:szCs w:val="15"/>
          <w:color w:val="auto"/>
        </w:rPr>
        <w:t>Schlumberger Limited will fully and unconditionally guarantee the due and punctual payment of the principal of, and any premium and interest on, the Notes, and all other amounts payable under the Indenture when and as they become due and payable, whether at maturity, upon acceleration, by call for redemption, repayment or otherwise in accordance with the terms of the Indenture. The Notes will not be guaranteed by any of the Guarantor’s subsidiaries.</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Schlumberger Limited will:</w:t>
      </w:r>
    </w:p>
    <w:p>
      <w:pPr>
        <w:spacing w:after="0" w:line="77" w:lineRule="exact"/>
        <w:rPr>
          <w:sz w:val="20"/>
          <w:szCs w:val="20"/>
          <w:color w:val="auto"/>
        </w:rPr>
      </w:pPr>
    </w:p>
    <w:p>
      <w:pPr>
        <w:ind w:left="760" w:right="60" w:hanging="212"/>
        <w:spacing w:after="0" w:line="325"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agree that, if an Event of Default occurs under any of the Notes, its obligations under the Guarantee will be absolute and unconditional and will be enforceable irrespective of any invalidity, irregularity or unenforceability of the Indenture or any supplement thereto; and</w:t>
      </w:r>
    </w:p>
    <w:p>
      <w:pPr>
        <w:spacing w:after="0" w:line="1" w:lineRule="exact"/>
        <w:rPr>
          <w:rFonts w:ascii="Arial" w:cs="Arial" w:eastAsia="Arial" w:hAnsi="Arial"/>
          <w:sz w:val="16"/>
          <w:szCs w:val="16"/>
          <w:color w:val="auto"/>
        </w:rPr>
      </w:pPr>
    </w:p>
    <w:p>
      <w:pPr>
        <w:ind w:left="760" w:right="100" w:hanging="212"/>
        <w:spacing w:after="0" w:line="26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Notes to pursue or exhaust their legal or equitable remedies against the Company before exercising their rights under the Guarantee.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the Notes and Guarantee</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be:</w:t>
      </w:r>
    </w:p>
    <w:p>
      <w:pPr>
        <w:spacing w:after="0" w:line="77" w:lineRule="exact"/>
        <w:rPr>
          <w:sz w:val="20"/>
          <w:szCs w:val="20"/>
          <w:color w:val="auto"/>
        </w:rPr>
      </w:pPr>
    </w:p>
    <w:p>
      <w:pPr>
        <w:ind w:left="760" w:right="340" w:hanging="212"/>
        <w:spacing w:after="0" w:line="26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the Company’s other unsecured and unsubordinated indebtedness; and</w:t>
      </w:r>
    </w:p>
    <w:p>
      <w:pPr>
        <w:spacing w:after="0" w:line="37" w:lineRule="exact"/>
        <w:rPr>
          <w:rFonts w:ascii="Arial" w:cs="Arial" w:eastAsia="Arial" w:hAnsi="Arial"/>
          <w:sz w:val="18"/>
          <w:szCs w:val="18"/>
          <w:color w:val="auto"/>
        </w:rPr>
      </w:pPr>
    </w:p>
    <w:p>
      <w:pPr>
        <w:ind w:left="760" w:right="1000" w:hanging="212"/>
        <w:spacing w:after="0" w:line="26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Amounts</w:t>
      </w:r>
    </w:p>
    <w:p>
      <w:pPr>
        <w:spacing w:after="0" w:line="83" w:lineRule="exact"/>
        <w:rPr>
          <w:sz w:val="20"/>
          <w:szCs w:val="20"/>
          <w:color w:val="auto"/>
        </w:rPr>
      </w:pPr>
    </w:p>
    <w:p>
      <w:pPr>
        <w:ind w:left="120" w:firstLine="440"/>
        <w:spacing w:after="0" w:line="317" w:lineRule="auto"/>
        <w:rPr>
          <w:sz w:val="20"/>
          <w:szCs w:val="20"/>
          <w:color w:val="auto"/>
        </w:rPr>
      </w:pPr>
      <w:r>
        <w:rPr>
          <w:rFonts w:ascii="Arial" w:cs="Arial" w:eastAsia="Arial" w:hAnsi="Arial"/>
          <w:sz w:val="15"/>
          <w:szCs w:val="15"/>
          <w:color w:val="auto"/>
        </w:rPr>
        <w:t>All payments made by the Company under or with respect to the Notes,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or therein (each, a “Relevant Tax Jurisdiction”) or (2) any jurisdiction from or through which payment is made or deemed made or in which the Company or a Guarantor is doing or deemed to be doing business by or on behalf of the Company, or the Guarantor (including the jurisdiction of any Paying Agent for the Notes) or any political subdivision thereof or therein (each, together with each Relevant Tax Jurisdiction, a “Tax Jurisdiction”) will at any time be required to be made from any payments made or deemed made by or on behalf of the Company under or with respect to the Notes, as applicable, or the Guarantor under or with respect to the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Notes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24" w:lineRule="exact"/>
        <w:rPr>
          <w:sz w:val="20"/>
          <w:szCs w:val="20"/>
          <w:color w:val="auto"/>
        </w:rPr>
      </w:pPr>
    </w:p>
    <w:p>
      <w:pPr>
        <w:ind w:left="1080" w:right="100" w:hanging="532"/>
        <w:spacing w:after="0" w:line="294"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Taxes, to the extent such Taxes would not have been imposed but for the existence of any actual or deemed present or former connection between the holder or the beneficial owner of such Notes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 or under the Guarantee or the receipt of any payments in respect of such Note or Guarantee;</w:t>
      </w:r>
    </w:p>
    <w:p>
      <w:pPr>
        <w:spacing w:after="0" w:line="20"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Taxes, to the extent such Taxes were imposed as a result of the presentation of such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w:t>
      </w:r>
    </w:p>
    <w:p>
      <w:pPr>
        <w:spacing w:after="0" w:line="1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76" w:lineRule="exact"/>
        <w:rPr>
          <w:rFonts w:ascii="Arial" w:cs="Arial" w:eastAsia="Arial" w:hAnsi="Arial"/>
          <w:sz w:val="18"/>
          <w:szCs w:val="18"/>
          <w:color w:val="auto"/>
        </w:rPr>
      </w:pPr>
    </w:p>
    <w:p>
      <w:pPr>
        <w:ind w:left="1080" w:right="200" w:hanging="532"/>
        <w:spacing w:after="0" w:line="30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w:t>
      </w:r>
    </w:p>
    <w:p>
      <w:pPr>
        <w:spacing w:after="0" w:line="11" w:lineRule="exact"/>
        <w:rPr>
          <w:rFonts w:ascii="Arial" w:cs="Arial" w:eastAsia="Arial" w:hAnsi="Arial"/>
          <w:sz w:val="16"/>
          <w:szCs w:val="16"/>
          <w:color w:val="auto"/>
        </w:rPr>
      </w:pPr>
    </w:p>
    <w:p>
      <w:pPr>
        <w:ind w:left="1080" w:right="120" w:hanging="532"/>
        <w:spacing w:after="0" w:line="30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11"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Taxes imposed on or with respect to a payment made to a holder of such Note who would have been able to avoid such withholding or deduction by presenting such Note (where presentation is required) to another Paying Agent;</w:t>
      </w:r>
    </w:p>
    <w:p>
      <w:pPr>
        <w:spacing w:after="0" w:line="3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Taxes payable other than by deduction or withholding from payments under, or with respect to, such Notes or the Guarantee;</w:t>
      </w:r>
    </w:p>
    <w:p>
      <w:pPr>
        <w:spacing w:after="0" w:line="99" w:lineRule="exact"/>
        <w:rPr>
          <w:rFonts w:ascii="Arial" w:cs="Arial" w:eastAsia="Arial" w:hAnsi="Arial"/>
          <w:sz w:val="16"/>
          <w:szCs w:val="16"/>
          <w:color w:val="auto"/>
        </w:rPr>
      </w:pPr>
    </w:p>
    <w:p>
      <w:pPr>
        <w:ind w:left="1080" w:right="60" w:hanging="532"/>
        <w:spacing w:after="0" w:line="29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Taxes to the extent such Taxes are imposed or withheld by reason of the failure of the holder or beneficial owner of such Note to comply with any written request of the Company or the Guarantor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25"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00" w:firstLine="440"/>
        <w:spacing w:after="0" w:line="298" w:lineRule="auto"/>
        <w:rPr>
          <w:sz w:val="20"/>
          <w:szCs w:val="20"/>
          <w:color w:val="auto"/>
        </w:rPr>
      </w:pPr>
      <w:r>
        <w:rPr>
          <w:rFonts w:ascii="Arial" w:cs="Arial" w:eastAsia="Arial" w:hAnsi="Arial"/>
          <w:sz w:val="16"/>
          <w:szCs w:val="16"/>
          <w:color w:val="auto"/>
        </w:rPr>
        <w:t>In addition to the foregoing, the Company and the Guarantor, as the case may be, will also pay and indemnify the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Notes, or the Indenture, Guarantee or any other document or instrument referred to therein.</w:t>
      </w:r>
    </w:p>
    <w:p>
      <w:pPr>
        <w:spacing w:after="0" w:line="9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the Company or the Guarantor, as the case may be, becomes aware that it will be obligated to pay Additional Amounts with respect to any payment under or with respect to its Notes,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0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Company or the Guarantor, as the case may be, will make all withholdings and deductions required by law in respect of its Notes,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04" w:lineRule="exact"/>
        <w:rPr>
          <w:sz w:val="20"/>
          <w:szCs w:val="20"/>
          <w:color w:val="auto"/>
        </w:rPr>
      </w:pPr>
    </w:p>
    <w:p>
      <w:pPr>
        <w:jc w:val="both"/>
        <w:ind w:left="120" w:right="60" w:firstLine="440"/>
        <w:spacing w:after="0" w:line="256" w:lineRule="auto"/>
        <w:rPr>
          <w:sz w:val="20"/>
          <w:szCs w:val="20"/>
          <w:color w:val="auto"/>
        </w:rPr>
      </w:pPr>
      <w:r>
        <w:rPr>
          <w:rFonts w:ascii="Arial" w:cs="Arial" w:eastAsia="Arial" w:hAnsi="Arial"/>
          <w:sz w:val="18"/>
          <w:szCs w:val="18"/>
          <w:color w:val="auto"/>
        </w:rPr>
        <w:t>Whenever in the Indenture or in this “Description of the Notes” there is mentioned, in any context, the payment of amounts based upon the principal amount of the Notes or of principal, interest or of any other amount payable under, or with respect to, any of the Notes or the Guarantee, such mention shall be deemed to include mention of the payment of Additional Amounts to the extent that, in such context, Additional Amounts are, were or would be payable in respect thereof.</w:t>
      </w:r>
    </w:p>
    <w:p>
      <w:pPr>
        <w:spacing w:after="0" w:line="129"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The above obligations will survive any termination, defeasance or discharge of the Indenture, any transfer by a holder or beneficial owner of its Notes, and will apply, mutatis mutandis, to any jurisdiction in which any successor person to the Company or the Guarantor is incorporated, organized or resident for tax purposes or any jurisdiction from or through which payment is made by or on behalf of such person on the Notes (or the Guarantee) and any political subdivision thereof or therein.</w:t>
      </w:r>
    </w:p>
    <w:p>
      <w:pPr>
        <w:spacing w:after="0" w:line="1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Notwithstanding any provision herein or in the Indenture, the Notes or the Guarantee to the contrary, none of the Trustee, the Registrar, any transfer agent or any Paying Agent shall be required to determine the identity of a beneficial owner or be liable for any determination thereof by the Company or the Guarantor.</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left="120" w:right="200" w:firstLine="440"/>
        <w:spacing w:after="0" w:line="268" w:lineRule="auto"/>
        <w:rPr>
          <w:sz w:val="20"/>
          <w:szCs w:val="20"/>
          <w:color w:val="auto"/>
        </w:rPr>
      </w:pPr>
      <w:r>
        <w:rPr>
          <w:rFonts w:ascii="Arial" w:cs="Arial" w:eastAsia="Arial" w:hAnsi="Arial"/>
          <w:sz w:val="18"/>
          <w:szCs w:val="18"/>
          <w:color w:val="auto"/>
        </w:rPr>
        <w:t>Prior to March 26, 2030 (three months prior to their maturity date), the Notes may be redeemed in whole at any time or in part from time to time, at the Company’s option, at a redemption price equal to the greater of:</w:t>
      </w:r>
    </w:p>
    <w:p>
      <w:pPr>
        <w:spacing w:after="0" w:line="37" w:lineRule="exact"/>
        <w:rPr>
          <w:sz w:val="20"/>
          <w:szCs w:val="20"/>
          <w:color w:val="auto"/>
        </w:rPr>
      </w:pPr>
    </w:p>
    <w:p>
      <w:pPr>
        <w:ind w:left="760" w:hanging="212"/>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the principal amount of such Notes then outstanding, and</w:t>
      </w:r>
    </w:p>
    <w:p>
      <w:pPr>
        <w:spacing w:after="0" w:line="103" w:lineRule="exact"/>
        <w:rPr>
          <w:rFonts w:ascii="Arial" w:cs="Arial" w:eastAsia="Arial" w:hAnsi="Arial"/>
          <w:sz w:val="18"/>
          <w:szCs w:val="18"/>
          <w:color w:val="auto"/>
        </w:rPr>
      </w:pPr>
    </w:p>
    <w:p>
      <w:pPr>
        <w:jc w:val="both"/>
        <w:ind w:left="760" w:right="240" w:hanging="212"/>
        <w:spacing w:after="0" w:line="259"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on such Notes to be redeemed that would have been payable in respect of such Notes calculated as if the maturity date of such Notes was March 26, 2030 (three months prior to their maturity date) (not including any portion of</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60" w:right="60"/>
        <w:spacing w:after="0" w:line="259" w:lineRule="auto"/>
        <w:rPr>
          <w:sz w:val="20"/>
          <w:szCs w:val="20"/>
          <w:color w:val="auto"/>
        </w:rPr>
      </w:pPr>
      <w:r>
        <w:rPr>
          <w:rFonts w:ascii="Arial" w:cs="Arial" w:eastAsia="Arial" w:hAnsi="Arial"/>
          <w:sz w:val="18"/>
          <w:szCs w:val="18"/>
          <w:color w:val="auto"/>
        </w:rPr>
        <w:t>such payments of interest accrued to the date of redemption) discounted to the date of redemption on a semiannual basis (assuming a 360-day year consisting of twelve 30-day months) at the applicable treasury rate plus 30 basis points, plus accrued and unpaid interest on the principal amount being redeemed to (but not including) the redemption date.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“treasury rate” means, with respect to any redemption date:</w:t>
      </w:r>
    </w:p>
    <w:p>
      <w:pPr>
        <w:spacing w:after="0" w:line="77" w:lineRule="exact"/>
        <w:rPr>
          <w:sz w:val="20"/>
          <w:szCs w:val="20"/>
          <w:color w:val="auto"/>
        </w:rPr>
      </w:pPr>
    </w:p>
    <w:p>
      <w:pPr>
        <w:ind w:left="760" w:hanging="212"/>
        <w:spacing w:after="0" w:line="291"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25" w:lineRule="exact"/>
        <w:rPr>
          <w:rFonts w:ascii="Arial" w:cs="Arial" w:eastAsia="Arial" w:hAnsi="Arial"/>
          <w:sz w:val="16"/>
          <w:szCs w:val="16"/>
          <w:color w:val="auto"/>
        </w:rPr>
      </w:pPr>
    </w:p>
    <w:p>
      <w:pPr>
        <w:ind w:left="760" w:right="200" w:hanging="212"/>
        <w:spacing w:after="0" w:line="335" w:lineRule="auto"/>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treasury rate will be calculated on the third business day preceding the redemption date.</w:t>
      </w:r>
    </w:p>
    <w:p>
      <w:pPr>
        <w:spacing w:after="0" w:line="158" w:lineRule="exact"/>
        <w:rPr>
          <w:sz w:val="20"/>
          <w:szCs w:val="20"/>
          <w:color w:val="auto"/>
        </w:rPr>
      </w:pPr>
    </w:p>
    <w:p>
      <w:pPr>
        <w:ind w:left="120" w:right="620" w:firstLine="440"/>
        <w:spacing w:after="0" w:line="306" w:lineRule="auto"/>
        <w:rPr>
          <w:sz w:val="20"/>
          <w:szCs w:val="20"/>
          <w:color w:val="auto"/>
        </w:rPr>
      </w:pPr>
      <w:r>
        <w:rPr>
          <w:rFonts w:ascii="Arial" w:cs="Arial" w:eastAsia="Arial" w:hAnsi="Arial"/>
          <w:sz w:val="16"/>
          <w:szCs w:val="16"/>
          <w:color w:val="auto"/>
        </w:rPr>
        <w:t>Notwithstanding the foregoing, commencing on March 26, 2030 (three months prior to their maturity date), the Notes are redeemable at the Company’s option, in whole at any time or in part from time to time, at a redemption price equal to 100% of the principal amount of the Notes to be redeemed, plus in each case accrued and unpaid interest on the principal amount being redeemed to (but not including) the redemption date.</w:t>
      </w:r>
    </w:p>
    <w:p>
      <w:pPr>
        <w:spacing w:after="0" w:line="93" w:lineRule="exact"/>
        <w:rPr>
          <w:sz w:val="20"/>
          <w:szCs w:val="20"/>
          <w:color w:val="auto"/>
        </w:rPr>
      </w:pPr>
    </w:p>
    <w:p>
      <w:pPr>
        <w:ind w:left="120" w:right="240"/>
        <w:spacing w:after="0" w:line="298" w:lineRule="auto"/>
        <w:rPr>
          <w:sz w:val="20"/>
          <w:szCs w:val="20"/>
          <w:color w:val="auto"/>
        </w:rPr>
      </w:pPr>
      <w:r>
        <w:rPr>
          <w:rFonts w:ascii="Arial" w:cs="Arial" w:eastAsia="Arial" w:hAnsi="Arial"/>
          <w:sz w:val="16"/>
          <w:szCs w:val="16"/>
          <w:color w:val="auto"/>
        </w:rPr>
        <w:t>“comparable treasury issue” means the U.S. Treasury security selected by an independent investment banker as having an actual or interpolated maturity comparable to the remaining term (“remaining life”) of the Notes to be redeemed (assuming that such Notes to be redeemed matured on March 26, 2030) that would be utilized, at the time of selection and in accordance with customary financial practice, in pricing new issues of corporate debt securities of comparable maturity to the remaining term of such Notes (assuming that such Notes matured on March 26, 2030).</w:t>
      </w:r>
    </w:p>
    <w:p>
      <w:pPr>
        <w:spacing w:after="0" w:line="9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“comparable treasury price”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2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“independent investment banker” means either Citigroup Global Markets Inc., HSBC Securities (USA) Inc., J.P. Morgan Securities LLC or SG Americas Securities, LLC, or, if these firms are unwilling or unable to select the comparable treasury issue, an independent investment banking institution of national standing appointed by the Company.</w:t>
      </w:r>
    </w:p>
    <w:p>
      <w:pPr>
        <w:spacing w:after="0" w:line="126"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color w:val="auto"/>
        </w:rPr>
        <w:t>“reference treasury dealer” means (1) Citigroup Global Markets Inc., HSBC Securities (USA) Inc., J.P. Morgan Securities LLC and SG Americas Securities, LLC and their respective successors, provided, however, that if any of the foregoing shall cease to be a primary U.S. government securities dealer in New York City (a “primary treasury dealer”), the Company will substitute therefor another primary treasury dealer, and (2) any other primary treasury dealer selected by the independent investment banker after consultation with the Company.</w:t>
      </w:r>
    </w:p>
    <w:p>
      <w:pPr>
        <w:spacing w:after="0" w:line="129" w:lineRule="exact"/>
        <w:rPr>
          <w:sz w:val="20"/>
          <w:szCs w:val="20"/>
          <w:color w:val="auto"/>
        </w:rPr>
      </w:pPr>
    </w:p>
    <w:p>
      <w:pPr>
        <w:ind w:left="120" w:right="380"/>
        <w:spacing w:after="0" w:line="268"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220"/>
        <w:spacing w:after="0" w:line="268" w:lineRule="auto"/>
        <w:rPr>
          <w:sz w:val="20"/>
          <w:szCs w:val="20"/>
          <w:color w:val="auto"/>
        </w:rPr>
      </w:pPr>
      <w:r>
        <w:rPr>
          <w:rFonts w:ascii="Arial" w:cs="Arial" w:eastAsia="Arial" w:hAnsi="Arial"/>
          <w:sz w:val="18"/>
          <w:szCs w:val="18"/>
          <w:color w:val="auto"/>
        </w:rPr>
        <w:t>comparable treasury issue (expressed in each case as a percentage of its principal amount) quoted in writing to the independent investment banker at 5:00 p.m., New York City time, on the third business day preceding such redemption date.</w:t>
      </w:r>
    </w:p>
    <w:p>
      <w:pPr>
        <w:spacing w:after="0" w:line="118" w:lineRule="exact"/>
        <w:rPr>
          <w:sz w:val="20"/>
          <w:szCs w:val="20"/>
          <w:color w:val="auto"/>
        </w:rPr>
      </w:pPr>
    </w:p>
    <w:p>
      <w:pPr>
        <w:ind w:left="120" w:right="660" w:firstLine="440"/>
        <w:spacing w:after="0" w:line="268" w:lineRule="auto"/>
        <w:rPr>
          <w:sz w:val="20"/>
          <w:szCs w:val="20"/>
          <w:color w:val="auto"/>
        </w:rPr>
      </w:pPr>
      <w:r>
        <w:rPr>
          <w:rFonts w:ascii="Arial" w:cs="Arial" w:eastAsia="Arial" w:hAnsi="Arial"/>
          <w:sz w:val="18"/>
          <w:szCs w:val="18"/>
          <w:color w:val="auto"/>
        </w:rPr>
        <w:t>For the avoidance of doubt, the Trustee shall have no obligation to determine or calculate any rate, price or amount in respect of any optional redemption under the Indenture.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upon Changes in Tax Law</w:t>
      </w:r>
    </w:p>
    <w:p>
      <w:pPr>
        <w:spacing w:after="0" w:line="83"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 Company or the Guarantor may redeem the Notes, in whole but not in part, at its discretion at any time upon giving not fewer than 10 nor more than 60 days’ prior notice to the holders of such Notes (which notice will be irrevocable), at a redemption price equal to 100% of the aggregate principal amount thereof, together with accrued and unpaid interest, if any, to (but not including) the date fixed by the Company or Guarantor, as applicable, for redemption (a “Tax Redemption Date”) and all Additional Amounts (if any) then due and which will become due on the Tax Redemption Date as a result of the redemption or otherwise (subject to the right of holders of such Notes on the relevant record date to receive interest due on the relevant interest payment date and Additional Amounts (if any) in respect thereof), if on the next date on which any amount would be payable in respect of such Notes, the Company or the Guarantor, as applicable, is or would be required to pay Additional Amounts, and the Company or Guarantor cannot avoid any such payment obligation by taking reasonable measures available to it (for avoidance of doubt, in the case of the Guarantor, by causing the payment to be made by the Company), and the requirement arises as a result of:</w:t>
      </w:r>
    </w:p>
    <w:p>
      <w:pPr>
        <w:spacing w:after="0" w:line="24" w:lineRule="exact"/>
        <w:rPr>
          <w:sz w:val="20"/>
          <w:szCs w:val="20"/>
          <w:color w:val="auto"/>
        </w:rPr>
      </w:pPr>
    </w:p>
    <w:p>
      <w:pPr>
        <w:ind w:left="1080" w:right="420" w:hanging="532"/>
        <w:spacing w:after="0" w:line="306"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w:t>
      </w:r>
    </w:p>
    <w:p>
      <w:pPr>
        <w:spacing w:after="0" w:line="11"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Neither the Company nor the Guarantor, as applicable, will give any such notice of redemption earlier than 90 days prior to the earliest date on which the Company or Guarantor, as applicable, would be obligated to make such payment or withholding if a payment in respect of the Notes was then due, and the obligation to pay Additional Amounts must be in effect at the time such notice is given. Prior to giving any notice of redemption of the Notes pursuant to the foregoing, the Company or the Guarantor, as applicable, will deliver to the Trustee an opinion of independent tax counsel to the effect that there has been such amendment or change which would entitle the Company or the Guarantor to redeem such Notes hereunder. In addition, before the Company or the Guarantor, as applicable, gives notice of redemption of such Notes as described above, it will deliver to the Trustee an Officer’s Certificate to the effect that the Company or Guarantor, as applicable, cannot avoid its obligation to pay Additional Amounts by the Company or the Guarantor, as applicable, taking reasonable measures available to it.</w:t>
      </w:r>
    </w:p>
    <w:p>
      <w:pPr>
        <w:spacing w:after="0" w:line="110" w:lineRule="exact"/>
        <w:rPr>
          <w:sz w:val="20"/>
          <w:szCs w:val="20"/>
          <w:color w:val="auto"/>
        </w:rPr>
      </w:pPr>
    </w:p>
    <w:p>
      <w:pPr>
        <w:ind w:left="120" w:right="280" w:firstLine="440"/>
        <w:spacing w:after="0" w:line="331" w:lineRule="auto"/>
        <w:rPr>
          <w:sz w:val="20"/>
          <w:szCs w:val="20"/>
          <w:color w:val="auto"/>
        </w:rPr>
      </w:pPr>
      <w:r>
        <w:rPr>
          <w:rFonts w:ascii="Arial" w:cs="Arial" w:eastAsia="Arial" w:hAnsi="Arial"/>
          <w:sz w:val="16"/>
          <w:szCs w:val="16"/>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Notes.</w:t>
      </w:r>
    </w:p>
    <w:p>
      <w:pPr>
        <w:spacing w:after="0" w:line="73" w:lineRule="exact"/>
        <w:rPr>
          <w:sz w:val="20"/>
          <w:szCs w:val="20"/>
          <w:color w:val="auto"/>
        </w:rPr>
      </w:pPr>
    </w:p>
    <w:p>
      <w:pPr>
        <w:ind w:left="120" w:right="240" w:firstLine="440"/>
        <w:spacing w:after="0" w:line="268" w:lineRule="auto"/>
        <w:rPr>
          <w:sz w:val="20"/>
          <w:szCs w:val="20"/>
          <w:color w:val="auto"/>
        </w:rPr>
      </w:pPr>
      <w:r>
        <w:rPr>
          <w:rFonts w:ascii="Arial" w:cs="Arial" w:eastAsia="Arial" w:hAnsi="Arial"/>
          <w:sz w:val="18"/>
          <w:szCs w:val="18"/>
          <w:color w:val="auto"/>
        </w:rPr>
        <w:t xml:space="preserve">The foregoing will also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jurisdiction in which any successor person to the Company or the Guarantor is incorporated, organized or resident for tax purposes and any political subdivision thereof or therein.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83" w:lineRule="exact"/>
        <w:rPr>
          <w:sz w:val="20"/>
          <w:szCs w:val="20"/>
          <w:color w:val="auto"/>
        </w:rPr>
      </w:pPr>
    </w:p>
    <w:p>
      <w:pPr>
        <w:ind w:left="120" w:right="20" w:firstLine="440"/>
        <w:spacing w:after="0" w:line="306" w:lineRule="auto"/>
        <w:rPr>
          <w:sz w:val="20"/>
          <w:szCs w:val="20"/>
          <w:color w:val="auto"/>
        </w:rPr>
      </w:pPr>
      <w:r>
        <w:rPr>
          <w:rFonts w:ascii="Arial" w:cs="Arial" w:eastAsia="Arial" w:hAnsi="Arial"/>
          <w:sz w:val="16"/>
          <w:szCs w:val="16"/>
          <w:color w:val="auto"/>
        </w:rPr>
        <w:t>If fewer than all of the Notes are to be redeemed at any time, the Trustee will select Notes in non-global form for redemption on a pro rata basis (or, in the case of Notes issued in global form as discussed under “—Book-Entry, Delivery and Form,” Notes to be redeemed shall be selected in accordance with the applicable depository requirements) unless otherwise required by law or applicable stock exchange requirements.</w:t>
      </w:r>
    </w:p>
    <w:p>
      <w:pPr>
        <w:spacing w:after="0" w:line="93" w:lineRule="exact"/>
        <w:rPr>
          <w:sz w:val="20"/>
          <w:szCs w:val="20"/>
          <w:color w:val="auto"/>
        </w:rPr>
      </w:pPr>
    </w:p>
    <w:p>
      <w:pPr>
        <w:ind w:left="120" w:right="80" w:firstLine="440"/>
        <w:spacing w:after="0" w:line="335" w:lineRule="auto"/>
        <w:rPr>
          <w:sz w:val="20"/>
          <w:szCs w:val="20"/>
          <w:color w:val="auto"/>
        </w:rPr>
      </w:pPr>
      <w:r>
        <w:rPr>
          <w:rFonts w:ascii="Arial" w:cs="Arial" w:eastAsia="Arial" w:hAnsi="Arial"/>
          <w:sz w:val="15"/>
          <w:szCs w:val="15"/>
          <w:color w:val="auto"/>
        </w:rPr>
        <w:t>No Notes in principal amount of U.S.$2,000 or less can be redeemed in part. Notices of redemption will be given at least 10 but not more than 60 days before the redemption date to each holder of Notes to be redeemed at its registered address, except that redemption notices may be given more than 60 days prior to a redemption date if the notice is issued in connection with a defeasance of the Notes or a satisfaction and discharge of the Indenture.</w:t>
      </w:r>
    </w:p>
    <w:p>
      <w:pPr>
        <w:spacing w:after="0" w:line="7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 unless the Company or the Guarantor defaults in payment of the redemption price.</w:t>
      </w:r>
    </w:p>
    <w:p>
      <w:pPr>
        <w:spacing w:after="0" w:line="133" w:lineRule="exact"/>
        <w:rPr>
          <w:sz w:val="20"/>
          <w:szCs w:val="20"/>
          <w:color w:val="auto"/>
        </w:rPr>
      </w:pPr>
    </w:p>
    <w:p>
      <w:pPr>
        <w:ind w:left="120" w:right="120" w:firstLine="440"/>
        <w:spacing w:after="0" w:line="256" w:lineRule="auto"/>
        <w:rPr>
          <w:sz w:val="20"/>
          <w:szCs w:val="20"/>
          <w:color w:val="auto"/>
        </w:rPr>
      </w:pPr>
      <w:r>
        <w:rPr>
          <w:rFonts w:ascii="Arial" w:cs="Arial" w:eastAsia="Arial" w:hAnsi="Arial"/>
          <w:sz w:val="18"/>
          <w:szCs w:val="18"/>
          <w:color w:val="auto"/>
        </w:rPr>
        <w:t>The Trustee will not be liable for selections made as contemplated in this section. For Notes which are represented by global Notes held on behalf of The Depository Trust Company (“DTC”), Euroclear Bank S.A./N.V., as operator of the Euroclear System (“Euroclear”) and Clearstream Banking S.A. (“Clearstream”), notices may be given by delivery of the relevant notices to DTC, Euroclear or Clearstream for communication to entitled account holders in substitution for the aforesaid mailing.</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Other than the restrictions on liens described below, the Indenture and the Notes do not contain any covenants or other provisions designed to protect holders of the Notes in the event of a highly leveraged transaction. The Indenture and the Notes also do not contain provisions that give holders of the Notes the right to require the Company or the Guarantor to repurchase any Notes in the event of a decline in credit rating resulting from a takeover, recapitalization or similar restructuring or otherwise. The Indenture governing the Notes will not obligate us to provide, and we do not intend to provide, holders of the Notes with financial statements of the Company that are separate from the Guarantor’s.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83"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Notes (together with, if the Company or the Guarantor shall so determine, any of its other indebtedness or the indebtedness of any such restricted subsidiary then existing or thereafter created ranking on a parity with the Notes or Guarantee)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shall not apply to:</w:t>
      </w:r>
    </w:p>
    <w:p>
      <w:pPr>
        <w:spacing w:after="0" w:line="24" w:lineRule="exact"/>
        <w:rPr>
          <w:sz w:val="20"/>
          <w:szCs w:val="20"/>
          <w:color w:val="auto"/>
        </w:rPr>
      </w:pPr>
    </w:p>
    <w:p>
      <w:pPr>
        <w:ind w:left="5460" w:right="5340" w:hanging="4912"/>
        <w:spacing w:after="0" w:line="408" w:lineRule="auto"/>
        <w:tabs>
          <w:tab w:leader="none" w:pos="109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mortgages existing on the date of original issuance of the Notes; S-16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right="2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37"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20"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76" w:lineRule="exact"/>
        <w:rPr>
          <w:rFonts w:ascii="Arial" w:cs="Arial" w:eastAsia="Arial" w:hAnsi="Arial"/>
          <w:sz w:val="18"/>
          <w:szCs w:val="18"/>
          <w:color w:val="auto"/>
        </w:rPr>
      </w:pPr>
    </w:p>
    <w:p>
      <w:pPr>
        <w:ind w:left="1080" w:right="20" w:hanging="532"/>
        <w:spacing w:after="0" w:line="298"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17"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mortgage of any property or assets to secure indebtedness of the pollution control, industrial revenue or other revenue bond type;</w:t>
      </w:r>
    </w:p>
    <w:p>
      <w:pPr>
        <w:spacing w:after="0" w:line="99" w:lineRule="exact"/>
        <w:rPr>
          <w:rFonts w:ascii="Arial" w:cs="Arial" w:eastAsia="Arial" w:hAnsi="Arial"/>
          <w:sz w:val="16"/>
          <w:szCs w:val="16"/>
          <w:color w:val="auto"/>
        </w:rPr>
      </w:pPr>
    </w:p>
    <w:p>
      <w:pPr>
        <w:ind w:left="1080" w:right="120" w:hanging="532"/>
        <w:spacing w:after="0" w:line="256"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4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37"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76" w:lineRule="exact"/>
        <w:rPr>
          <w:rFonts w:ascii="Arial" w:cs="Arial" w:eastAsia="Arial" w:hAnsi="Arial"/>
          <w:sz w:val="18"/>
          <w:szCs w:val="18"/>
          <w:color w:val="auto"/>
        </w:rPr>
      </w:pPr>
    </w:p>
    <w:p>
      <w:pPr>
        <w:jc w:val="both"/>
        <w:ind w:left="1080" w:right="20" w:hanging="532"/>
        <w:spacing w:after="0" w:line="306"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158" w:lineRule="exact"/>
        <w:rPr>
          <w:sz w:val="20"/>
          <w:szCs w:val="20"/>
          <w:color w:val="auto"/>
        </w:rPr>
      </w:pPr>
    </w:p>
    <w:p>
      <w:pPr>
        <w:ind w:left="120" w:right="60"/>
        <w:spacing w:after="0" w:line="294" w:lineRule="auto"/>
        <w:rPr>
          <w:sz w:val="20"/>
          <w:szCs w:val="20"/>
          <w:color w:val="auto"/>
        </w:rPr>
      </w:pPr>
      <w:r>
        <w:rPr>
          <w:rFonts w:ascii="Arial" w:cs="Arial" w:eastAsia="Arial" w:hAnsi="Arial"/>
          <w:sz w:val="16"/>
          <w:szCs w:val="16"/>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02" w:lineRule="exact"/>
        <w:rPr>
          <w:sz w:val="20"/>
          <w:szCs w:val="20"/>
          <w:color w:val="auto"/>
        </w:rPr>
      </w:pPr>
    </w:p>
    <w:p>
      <w:pPr>
        <w:ind w:left="120" w:right="40"/>
        <w:spacing w:after="0" w:line="268"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18" w:lineRule="exact"/>
        <w:rPr>
          <w:sz w:val="20"/>
          <w:szCs w:val="20"/>
          <w:color w:val="auto"/>
        </w:rPr>
      </w:pPr>
    </w:p>
    <w:p>
      <w:pPr>
        <w:ind w:left="120" w:right="960"/>
        <w:spacing w:after="0" w:line="268"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“non-recourse debt” means indebtedness as to which (a) none of the Company, the Guarantor and its subsidiaries (x) provides credit support of any kind or</w:t>
      </w:r>
    </w:p>
    <w:p>
      <w:pPr>
        <w:spacing w:after="0" w:line="38" w:lineRule="exact"/>
        <w:rPr>
          <w:sz w:val="20"/>
          <w:szCs w:val="20"/>
          <w:color w:val="auto"/>
        </w:rPr>
      </w:pPr>
    </w:p>
    <w:p>
      <w:pPr>
        <w:ind w:left="120" w:right="600" w:hanging="4"/>
        <w:spacing w:after="0" w:line="260" w:lineRule="auto"/>
        <w:tabs>
          <w:tab w:leader="none" w:pos="3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26" w:lineRule="exact"/>
        <w:rPr>
          <w:sz w:val="20"/>
          <w:szCs w:val="20"/>
          <w:color w:val="auto"/>
        </w:rPr>
      </w:pPr>
    </w:p>
    <w:p>
      <w:pPr>
        <w:ind w:left="120" w:right="120"/>
        <w:spacing w:after="0" w:line="268"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18" w:lineRule="exact"/>
        <w:rPr>
          <w:sz w:val="20"/>
          <w:szCs w:val="20"/>
          <w:color w:val="auto"/>
        </w:rPr>
      </w:pPr>
    </w:p>
    <w:p>
      <w:pPr>
        <w:ind w:left="120" w:right="60"/>
        <w:spacing w:after="0" w:line="298" w:lineRule="auto"/>
        <w:rPr>
          <w:sz w:val="20"/>
          <w:szCs w:val="20"/>
          <w:color w:val="auto"/>
        </w:rPr>
      </w:pPr>
      <w:r>
        <w:rPr>
          <w:rFonts w:ascii="Arial" w:cs="Arial" w:eastAsia="Arial" w:hAnsi="Arial"/>
          <w:sz w:val="16"/>
          <w:szCs w:val="16"/>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original issue date of the Notes, unless, in the opinion of the board of directors of the Guarantor, such plant or facility or other asset is not of material importance to the total business conducted by the Guarantor and its restricted subsidiaries taken as a whole.</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158"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83"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Indenture and the Notes or the Guarantee, as applicable, by an indenture supplemental to the Indenture to which the Company or the Guarantor is a party to,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 by a Subsidiary</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subsidiary of the Guarantor may, at its option, assume the obligations of the Company under the Indenture and the Notes, provided that:</w:t>
      </w:r>
    </w:p>
    <w:p>
      <w:pPr>
        <w:spacing w:after="0" w:line="100" w:lineRule="exact"/>
        <w:rPr>
          <w:sz w:val="20"/>
          <w:szCs w:val="20"/>
          <w:color w:val="auto"/>
        </w:rPr>
      </w:pPr>
    </w:p>
    <w:p>
      <w:pPr>
        <w:ind w:left="1080" w:right="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subsidiary shall expressly assume such obligations in an assumption agreement or supplemental indenture duly executed and delivered to the Trustee, and</w:t>
      </w:r>
    </w:p>
    <w:p>
      <w:pPr>
        <w:spacing w:after="0" w:line="37"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Upon any such assumption, the person so assuming the Company’s obligations under the Indenture and the Notes shall succeed to, and be substituted for, and may exercise any right and power of, the Company under the Notes and the Indenture with the same effect as if such person had been the issuer thereof, and the Company shall be released from its liability as obligor under the Notes. An Officer’s Certificate and an opinion of counsel will be delivered to the Trustee, which will serve as conclusive evidence of compliance with these provisions.</w:t>
      </w:r>
    </w:p>
    <w:p>
      <w:pPr>
        <w:spacing w:after="0" w:line="9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i w:val="1"/>
          <w:iCs w:val="1"/>
          <w:color w:val="auto"/>
        </w:rPr>
        <w:t>An assumption of the Company’s obligations as the issuer of the Notes by a subsidiary of the Guarantor may be treated for U.S. federal income tax purposes as a taxable exchange of the Notes for new Notes issued by such subsidiary of the Guarantor. In that event, beneficial owners of such Notes may recognize taxable gain for U.S. federal income tax purposes, generally in an amount equal to the excess (if any) of the “issue price” of the new Notes over their basis in the old Notes, as well as other possible adverse tax consequences. Beneficial owners of Notes who are U.S. persons for U.S. federal income tax purposes should consult their tax advisors regarding the non-U.S., U.S. federal, state and local income tax consequences of an assumption of the Company’s obligations as issuer of Notes by a subsidiary of the Guarantor.</w:t>
      </w:r>
    </w:p>
    <w:p>
      <w:pPr>
        <w:spacing w:after="0" w:line="106"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i w:val="1"/>
          <w:iCs w:val="1"/>
          <w:color w:val="auto"/>
        </w:rPr>
        <w:t>Pursuant to the Indenture, the Trustee will notify holders of an assumption of the Company’s obligations as the issuer of the Notes by a subsidiary of the Guarantor. Upon an assumption, such subsidiary will be required under U.S. federal income tax law to determine whether the Notes or the new Notes are “traded on an established market” for purposes of determining the “issue price” of the new Notes for U.S. federal income tax purposes. If such subsidiary determines that either the Notes or the new Notes are “traded on an established market,” then it will make available to holders on the Guarantor’s website (www.slb.com) within 90 days after an assumption its determination that the Notes or the new Notes are “traded on an established market” for these purposes and the “issue price” of the new Notes. The information on or accessible through the Guarantor’s website is not incorporated herein by reference.</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“Events of Default” with respect to the Notes:</w:t>
      </w:r>
    </w:p>
    <w:p>
      <w:pPr>
        <w:spacing w:after="0" w:line="77" w:lineRule="exact"/>
        <w:rPr>
          <w:sz w:val="20"/>
          <w:szCs w:val="20"/>
          <w:color w:val="auto"/>
        </w:rPr>
      </w:pPr>
    </w:p>
    <w:p>
      <w:pPr>
        <w:ind w:left="760" w:hanging="21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failure to pay any interest on its Notes within 30 days after such interest becomes due and payable;</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Company’s failure to pay principal of its Notes at maturity, or if applicable, the redemption price, when the same become due and payable;</w:t>
      </w:r>
    </w:p>
    <w:p>
      <w:pPr>
        <w:spacing w:after="0" w:line="126" w:lineRule="exact"/>
        <w:rPr>
          <w:rFonts w:ascii="Arial" w:cs="Arial" w:eastAsia="Arial" w:hAnsi="Arial"/>
          <w:sz w:val="16"/>
          <w:szCs w:val="16"/>
          <w:color w:val="auto"/>
        </w:rPr>
      </w:pPr>
    </w:p>
    <w:p>
      <w:pPr>
        <w:jc w:val="both"/>
        <w:ind w:left="760" w:right="120" w:hanging="212"/>
        <w:spacing w:after="0" w:line="256"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failure to comply with any of its covenants or agreements in the Notes or the Indenture (other than an agreement or covenant that the Company has included in the Indenture solely for the benefit of another series of debt securities that does not constitute part of the Notes) for 90 days after written notice by the Trustee or by the holders of at least 25% in principal amount of all outstanding debt securities affected by that failure;</w:t>
      </w:r>
    </w:p>
    <w:p>
      <w:pPr>
        <w:spacing w:after="0" w:line="48" w:lineRule="exact"/>
        <w:rPr>
          <w:rFonts w:ascii="Arial" w:cs="Arial" w:eastAsia="Arial" w:hAnsi="Arial"/>
          <w:sz w:val="18"/>
          <w:szCs w:val="18"/>
          <w:color w:val="auto"/>
        </w:rPr>
      </w:pPr>
    </w:p>
    <w:p>
      <w:pPr>
        <w:ind w:left="760" w:right="20" w:hanging="212"/>
        <w:spacing w:after="0" w:line="259"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permitted by the Indenture, the Guarantee of the Notes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45" w:lineRule="exact"/>
        <w:rPr>
          <w:rFonts w:ascii="Arial" w:cs="Arial" w:eastAsia="Arial" w:hAnsi="Arial"/>
          <w:sz w:val="18"/>
          <w:szCs w:val="18"/>
          <w:color w:val="auto"/>
        </w:rPr>
      </w:pPr>
    </w:p>
    <w:p>
      <w:pPr>
        <w:ind w:left="760" w:hanging="21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185" w:lineRule="exact"/>
        <w:rPr>
          <w:sz w:val="20"/>
          <w:szCs w:val="20"/>
          <w:color w:val="auto"/>
        </w:rPr>
      </w:pPr>
    </w:p>
    <w:p>
      <w:pPr>
        <w:jc w:val="both"/>
        <w:ind w:left="120" w:right="80" w:firstLine="440"/>
        <w:spacing w:after="0" w:line="306" w:lineRule="auto"/>
        <w:rPr>
          <w:sz w:val="20"/>
          <w:szCs w:val="20"/>
          <w:color w:val="auto"/>
        </w:rPr>
      </w:pPr>
      <w:r>
        <w:rPr>
          <w:rFonts w:ascii="Arial" w:cs="Arial" w:eastAsia="Arial" w:hAnsi="Arial"/>
          <w:sz w:val="16"/>
          <w:szCs w:val="16"/>
          <w:color w:val="auto"/>
        </w:rPr>
        <w:t>A default under the Notes or another series of debt securities issued under the Indenture will not necessarily be a default under another series of debt securities under the Indenture. The Trustee may withhold notice to the holders of the Notes issued under such Indenture of any default or Event of Default (except in any payment on the Notes) if the Trustee considers it in the interest of the holders of such Notes to do so.</w:t>
      </w:r>
    </w:p>
    <w:p>
      <w:pPr>
        <w:spacing w:after="0" w:line="93"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If an Event of Default for the Notes occurs and is continuing, the Trustee or the holders of at least 25% in principal amount of such outstanding Notes (or, in some cases, 25% in principal amount of all outstanding debt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060"/>
          </w:cols>
          <w:pgMar w:left="320" w:top="459"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securities under the Indenture affected, voting as one class) may require the Company to pay immediately the principal amount plus accrued and unpaid interest on such Notes. If an Event of Default relating to certain events of bankruptcy, insolvency or reorganization occurs with respect to the Company (or with respect to the Guarantor), the principal amount plus accrued and unpaid interest on the Notes (or in the case of the Guarantor, all Notes) will become immediately due and payable without any action on the part of the Trustee or any holder. The holders of a majority in principal amount of such outstanding Notes (or of all outstanding debt securities under the Indenture affected, voting as one class) may in some cases rescind this accelerated payment requirement.</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holder of Notes may pursue any remedy under the Indenture applicable to such Notes only if:</w:t>
      </w:r>
    </w:p>
    <w:p>
      <w:pPr>
        <w:spacing w:after="0" w:line="77" w:lineRule="exact"/>
        <w:rPr>
          <w:sz w:val="20"/>
          <w:szCs w:val="20"/>
          <w:color w:val="auto"/>
        </w:rPr>
      </w:pPr>
    </w:p>
    <w:p>
      <w:pPr>
        <w:ind w:left="760" w:hanging="2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such outstanding Notes make a written request to the Trustee to pursue the remedy;</w:t>
      </w:r>
    </w:p>
    <w:p>
      <w:pPr>
        <w:spacing w:after="0" w:line="126" w:lineRule="exact"/>
        <w:rPr>
          <w:rFonts w:ascii="Arial" w:cs="Arial" w:eastAsia="Arial" w:hAnsi="Arial"/>
          <w:sz w:val="16"/>
          <w:szCs w:val="16"/>
          <w:color w:val="auto"/>
        </w:rPr>
      </w:pPr>
    </w:p>
    <w:p>
      <w:pPr>
        <w:ind w:left="760" w:hanging="2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03" w:lineRule="exact"/>
        <w:rPr>
          <w:rFonts w:ascii="Arial" w:cs="Arial" w:eastAsia="Arial" w:hAnsi="Arial"/>
          <w:sz w:val="18"/>
          <w:szCs w:val="18"/>
          <w:color w:val="auto"/>
        </w:rPr>
      </w:pPr>
    </w:p>
    <w:p>
      <w:pPr>
        <w:ind w:left="760" w:right="100" w:hanging="212"/>
        <w:spacing w:after="0" w:line="268"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such outstanding Notes do not give the Trustee a direction inconsistent with the request.</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provision does not, however, affect the right of a holder of Notes to sue for enforcement of any overdue payment with respect to such Notes.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most cases, holders of a majority in principal amount of the outstanding Notes issued by the Company may direct the time, method and place of:</w:t>
      </w:r>
    </w:p>
    <w:p>
      <w:pPr>
        <w:spacing w:after="0" w:line="100" w:lineRule="exact"/>
        <w:rPr>
          <w:sz w:val="20"/>
          <w:szCs w:val="20"/>
          <w:color w:val="auto"/>
        </w:rPr>
      </w:pPr>
    </w:p>
    <w:p>
      <w:pPr>
        <w:ind w:left="760" w:hanging="21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such Notes; and</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exercising any trust or power conferred on the Trustee not relating to or arising under an Event of Default with respect to such Notes.</w:t>
      </w:r>
    </w:p>
    <w:p>
      <w:pPr>
        <w:spacing w:after="0" w:line="208" w:lineRule="exact"/>
        <w:rPr>
          <w:sz w:val="20"/>
          <w:szCs w:val="20"/>
          <w:color w:val="auto"/>
        </w:rPr>
      </w:pPr>
    </w:p>
    <w:p>
      <w:pPr>
        <w:ind w:left="120" w:right="260" w:firstLine="440"/>
        <w:spacing w:after="0" w:line="268"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83"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Except as provided in the next two succeeding paragraphs, the Indenture or the Notes or Guarantee may be amended or supplemented, and waivers may be obtained, with the consent of the holders of at least a majority in aggregate principal amount of the outstanding Notes (including, without limitation, any subsequently issued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Guarantee may be waived with the consent of the holders of a majority in aggregate principal amount of the outstanding Notes (including, without limitation, any subsequently issued Notes, if any) voting as a single class (including, without limitation, consents obtained in connection with a tender offer or exchange offer for, or purchase of, such Notes).</w:t>
      </w:r>
    </w:p>
    <w:p>
      <w:pPr>
        <w:spacing w:after="0" w:line="110" w:lineRule="exact"/>
        <w:rPr>
          <w:sz w:val="20"/>
          <w:szCs w:val="20"/>
          <w:color w:val="auto"/>
        </w:rPr>
      </w:pPr>
    </w:p>
    <w:p>
      <w:pPr>
        <w:ind w:left="120" w:right="340" w:firstLine="440"/>
        <w:spacing w:after="0" w:line="268" w:lineRule="auto"/>
        <w:rPr>
          <w:sz w:val="20"/>
          <w:szCs w:val="20"/>
          <w:color w:val="auto"/>
        </w:rPr>
      </w:pPr>
      <w:r>
        <w:rPr>
          <w:rFonts w:ascii="Arial" w:cs="Arial" w:eastAsia="Arial" w:hAnsi="Arial"/>
          <w:sz w:val="18"/>
          <w:szCs w:val="18"/>
          <w:color w:val="auto"/>
        </w:rPr>
        <w:t>Without the consent of each holder of Notes affected thereby, an amendment, supplement or waiver may not (with respect to any Notes held by a non-consenting holder):</w:t>
      </w:r>
    </w:p>
    <w:p>
      <w:pPr>
        <w:spacing w:after="0" w:line="37" w:lineRule="exact"/>
        <w:rPr>
          <w:sz w:val="20"/>
          <w:szCs w:val="20"/>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 supplement or waiver;</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its Notes;</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its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any premium payable on the redemption of its Notes or change the time at which its Notes may or must be redeemed;</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its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payments on its Notes payable in currency other than as originally stated in its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its Notes;</w:t>
      </w:r>
    </w:p>
    <w:p>
      <w:pPr>
        <w:spacing w:after="0" w:line="103" w:lineRule="exact"/>
        <w:rPr>
          <w:rFonts w:ascii="Arial" w:cs="Arial" w:eastAsia="Arial" w:hAnsi="Arial"/>
          <w:sz w:val="18"/>
          <w:szCs w:val="18"/>
          <w:color w:val="auto"/>
        </w:rPr>
      </w:pPr>
    </w:p>
    <w:p>
      <w:pPr>
        <w:ind w:left="760" w:right="140" w:hanging="212"/>
        <w:spacing w:after="0" w:line="26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its Notes necessary to waive compliance with certain provisions of the Indenture such Notes were issued under or to make any change in this provision for modification; or</w:t>
      </w:r>
    </w:p>
    <w:p>
      <w:pPr>
        <w:spacing w:after="0" w:line="37"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its Notes.</w:t>
      </w:r>
    </w:p>
    <w:p>
      <w:pPr>
        <w:spacing w:after="0" w:line="185" w:lineRule="exact"/>
        <w:rPr>
          <w:sz w:val="20"/>
          <w:szCs w:val="20"/>
          <w:color w:val="auto"/>
        </w:rPr>
      </w:pPr>
    </w:p>
    <w:p>
      <w:pPr>
        <w:ind w:left="120" w:right="160" w:firstLine="440"/>
        <w:spacing w:after="0" w:line="268" w:lineRule="auto"/>
        <w:rPr>
          <w:sz w:val="20"/>
          <w:szCs w:val="20"/>
          <w:color w:val="auto"/>
        </w:rPr>
      </w:pPr>
      <w:r>
        <w:rPr>
          <w:rFonts w:ascii="Arial" w:cs="Arial" w:eastAsia="Arial" w:hAnsi="Arial"/>
          <w:sz w:val="18"/>
          <w:szCs w:val="18"/>
          <w:color w:val="auto"/>
        </w:rPr>
        <w:t>Notwithstanding the preceding, without the consent of any holder of Notes, the Company, the Guarantor and the Trustee may amend or supplement the Indenture, the Notes or Guarantee in certain circumstances, including:</w:t>
      </w:r>
    </w:p>
    <w:p>
      <w:pPr>
        <w:spacing w:after="0" w:line="37" w:lineRule="exact"/>
        <w:rPr>
          <w:sz w:val="20"/>
          <w:szCs w:val="20"/>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03" w:lineRule="exact"/>
        <w:rPr>
          <w:rFonts w:ascii="Arial" w:cs="Arial" w:eastAsia="Arial" w:hAnsi="Arial"/>
          <w:sz w:val="18"/>
          <w:szCs w:val="18"/>
          <w:color w:val="auto"/>
        </w:rPr>
      </w:pPr>
    </w:p>
    <w:p>
      <w:pPr>
        <w:ind w:left="760" w:right="60" w:hanging="212"/>
        <w:spacing w:after="0" w:line="298"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provide for the assumption of the Company’s or the Guarantor’s obligations under the Indenture, and the Notes or the Guarantee, as applicable, by a successor upon any merger, consolidation or asset transfer in accordance with the requirements under “—Consolidation, Merger and Sale of Assets” or to provide for the assumption of the Company’s obligations under the Indenture and the Notes by a subsidiary of the Guarantor in accordance with the requirements under “—Assumption by a Subsidiary” above;</w:t>
      </w:r>
    </w:p>
    <w:p>
      <w:pPr>
        <w:spacing w:after="0" w:line="17" w:lineRule="exact"/>
        <w:rPr>
          <w:rFonts w:ascii="Arial" w:cs="Arial" w:eastAsia="Arial" w:hAnsi="Arial"/>
          <w:sz w:val="16"/>
          <w:szCs w:val="16"/>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any security for or guarantees of the Notes or for the addition of an additional obligor on the Notes;</w:t>
      </w:r>
    </w:p>
    <w:p>
      <w:pPr>
        <w:spacing w:after="0" w:line="103" w:lineRule="exact"/>
        <w:rPr>
          <w:rFonts w:ascii="Arial" w:cs="Arial" w:eastAsia="Arial" w:hAnsi="Arial"/>
          <w:sz w:val="18"/>
          <w:szCs w:val="18"/>
          <w:color w:val="auto"/>
        </w:rPr>
      </w:pPr>
    </w:p>
    <w:p>
      <w:pPr>
        <w:ind w:left="760" w:right="400" w:hanging="212"/>
        <w:spacing w:after="0" w:line="268"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if applicable;</w:t>
      </w:r>
    </w:p>
    <w:p>
      <w:pPr>
        <w:spacing w:after="0" w:line="37" w:lineRule="exact"/>
        <w:rPr>
          <w:rFonts w:ascii="Arial" w:cs="Arial" w:eastAsia="Arial" w:hAnsi="Arial"/>
          <w:sz w:val="18"/>
          <w:szCs w:val="18"/>
          <w:color w:val="auto"/>
        </w:rPr>
      </w:pPr>
    </w:p>
    <w:p>
      <w:pPr>
        <w:ind w:left="760" w:hanging="212"/>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add covenants that would benefit the holders of the outstanding Notes or to surrender any rights the Company has under the Indenture;</w:t>
      </w:r>
    </w:p>
    <w:p>
      <w:pPr>
        <w:spacing w:after="0" w:line="126" w:lineRule="exact"/>
        <w:rPr>
          <w:rFonts w:ascii="Arial" w:cs="Arial" w:eastAsia="Arial" w:hAnsi="Arial"/>
          <w:sz w:val="16"/>
          <w:szCs w:val="16"/>
          <w:color w:val="auto"/>
        </w:rPr>
      </w:pPr>
    </w:p>
    <w:p>
      <w:pPr>
        <w:ind w:left="760" w:hanging="212"/>
        <w:spacing w:after="0" w:line="325"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change or eliminate any of the provisions of the Indenture, provided that any such change or elimination shall not become effective with respect to any outstanding Notes created prior to the execution of such supplemental indenture which is entitled to the benefit of such provision;</w:t>
      </w:r>
    </w:p>
    <w:p>
      <w:pPr>
        <w:spacing w:after="0" w:line="1" w:lineRule="exact"/>
        <w:rPr>
          <w:rFonts w:ascii="Arial" w:cs="Arial" w:eastAsia="Arial" w:hAnsi="Arial"/>
          <w:sz w:val="16"/>
          <w:szCs w:val="16"/>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03" w:lineRule="exact"/>
        <w:rPr>
          <w:rFonts w:ascii="Arial" w:cs="Arial" w:eastAsia="Arial" w:hAnsi="Arial"/>
          <w:sz w:val="18"/>
          <w:szCs w:val="18"/>
          <w:color w:val="auto"/>
        </w:rPr>
      </w:pPr>
    </w:p>
    <w:p>
      <w:pPr>
        <w:ind w:left="760" w:right="60" w:hanging="212"/>
        <w:spacing w:after="0" w:line="268"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issue additional Notes; provided that such additional Notes have the same terms as, and shall be deemed part of the same series as, the Notes to the extent required under the Indenture;</w:t>
      </w:r>
    </w:p>
    <w:p>
      <w:pPr>
        <w:spacing w:after="0" w:line="37" w:lineRule="exact"/>
        <w:rPr>
          <w:rFonts w:ascii="Arial" w:cs="Arial" w:eastAsia="Arial" w:hAnsi="Arial"/>
          <w:sz w:val="18"/>
          <w:szCs w:val="18"/>
          <w:color w:val="auto"/>
        </w:rPr>
      </w:pPr>
    </w:p>
    <w:p>
      <w:pPr>
        <w:ind w:left="760" w:right="400" w:hanging="212"/>
        <w:spacing w:after="0" w:line="325"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by a successor trustee with respect to the Notes and to add to or change any of the provisions of the Indenture as shall be necessary to provide for or facilitate the administration of the trust by more than one trustee;</w:t>
      </w:r>
    </w:p>
    <w:p>
      <w:pPr>
        <w:spacing w:after="0" w:line="1" w:lineRule="exact"/>
        <w:rPr>
          <w:rFonts w:ascii="Arial" w:cs="Arial" w:eastAsia="Arial" w:hAnsi="Arial"/>
          <w:sz w:val="16"/>
          <w:szCs w:val="16"/>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the Notes; and</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the outstanding Notes in any material respect.</w:t>
      </w:r>
    </w:p>
    <w:p>
      <w:pPr>
        <w:spacing w:after="0" w:line="18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60"/>
          </w:cols>
          <w:pgMar w:left="32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Personal Liability of Directors, Officers, Employees, Stockholders and Certain Others</w:t>
      </w:r>
    </w:p>
    <w:p>
      <w:pPr>
        <w:spacing w:after="0" w:line="83" w:lineRule="exact"/>
        <w:rPr>
          <w:sz w:val="20"/>
          <w:szCs w:val="20"/>
          <w:color w:val="auto"/>
        </w:rPr>
      </w:pPr>
    </w:p>
    <w:p>
      <w:pPr>
        <w:ind w:left="120" w:right="100" w:firstLine="440"/>
        <w:spacing w:after="0" w:line="298" w:lineRule="auto"/>
        <w:rPr>
          <w:sz w:val="20"/>
          <w:szCs w:val="20"/>
          <w:color w:val="auto"/>
        </w:rPr>
      </w:pPr>
      <w:r>
        <w:rPr>
          <w:rFonts w:ascii="Arial" w:cs="Arial" w:eastAsia="Arial" w:hAnsi="Arial"/>
          <w:sz w:val="16"/>
          <w:szCs w:val="16"/>
          <w:color w:val="auto"/>
        </w:rPr>
        <w:t>No director, officer, employee, incorporator or similar founder, stockholder or member of the Company or the Guarantor, as such, will have any liability for any obligations of the Company or the Guarantor under the Notes, Indenture or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83"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the Notes on the dates those payments are due and payable, then, at the Company’s option, either of the following will occur:</w:t>
      </w:r>
    </w:p>
    <w:p>
      <w:pPr>
        <w:spacing w:after="0" w:line="45" w:lineRule="exact"/>
        <w:rPr>
          <w:sz w:val="20"/>
          <w:szCs w:val="20"/>
          <w:color w:val="auto"/>
        </w:rPr>
      </w:pPr>
    </w:p>
    <w:p>
      <w:pPr>
        <w:ind w:left="760" w:right="60" w:hanging="212"/>
        <w:spacing w:after="0" w:line="268"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such Notes, except as described in the paragraph immediately below (“legal defeasance”); or</w:t>
      </w:r>
    </w:p>
    <w:p>
      <w:pPr>
        <w:spacing w:after="0" w:line="37" w:lineRule="exact"/>
        <w:rPr>
          <w:rFonts w:ascii="Arial" w:cs="Arial" w:eastAsia="Arial" w:hAnsi="Arial"/>
          <w:sz w:val="18"/>
          <w:szCs w:val="18"/>
          <w:color w:val="auto"/>
        </w:rPr>
      </w:pPr>
    </w:p>
    <w:p>
      <w:pPr>
        <w:ind w:left="760" w:right="100" w:hanging="212"/>
        <w:spacing w:after="0" w:line="268"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and the related Events of Default will no longer apply to the Company (“covenant defeasance”).</w:t>
      </w:r>
    </w:p>
    <w:p>
      <w:pPr>
        <w:spacing w:after="0" w:line="11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the Company defeases the Notes, the holders of the defeased Notes will not be entitled to the benefits of the Indenture under which such Notes were issued, except for the Company’s obligations to register the transfer or exchange of Notes, replace stolen, lost or mutilated Notes, pay Additional Amounts, maintain paying agencies and hold moneys for payment in trust and to compensate and indemnify the Trustee. In the case of covenant defeasance, the Company’s obligation to pay principal, premium and interest on the Notes will also survive.</w:t>
      </w:r>
    </w:p>
    <w:p>
      <w:pPr>
        <w:spacing w:after="0" w:line="133"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that the deposit and related defeasance would not cause the beneficial owners of the Notes to recognize income, gain or loss for U.S. federal income tax purposes. If the Company elects legal defeasance, that opinion of counsel must be based upon a ruling from the United States Internal Revenue Service addressed to the Company or Trustee or a change in law to that effect.</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left="120" w:right="360" w:firstLine="440"/>
        <w:spacing w:after="0" w:line="268"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18" w:lineRule="exact"/>
        <w:rPr>
          <w:sz w:val="20"/>
          <w:szCs w:val="20"/>
          <w:color w:val="auto"/>
        </w:rPr>
      </w:pPr>
    </w:p>
    <w:p>
      <w:pPr>
        <w:ind w:left="120" w:right="100" w:firstLine="440"/>
        <w:spacing w:after="0" w:line="306" w:lineRule="auto"/>
        <w:rPr>
          <w:sz w:val="20"/>
          <w:szCs w:val="20"/>
          <w:color w:val="auto"/>
        </w:rPr>
      </w:pPr>
      <w:r>
        <w:rPr>
          <w:rFonts w:ascii="Arial" w:cs="Arial" w:eastAsia="Arial" w:hAnsi="Arial"/>
          <w:sz w:val="16"/>
          <w:szCs w:val="16"/>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Notes issued under the Indenture only after those holders have furnished the Trustee indemnity reasonably satisfactory to it.</w:t>
      </w:r>
    </w:p>
    <w:p>
      <w:pPr>
        <w:spacing w:after="0" w:line="93" w:lineRule="exact"/>
        <w:rPr>
          <w:sz w:val="20"/>
          <w:szCs w:val="20"/>
          <w:color w:val="auto"/>
        </w:rPr>
      </w:pPr>
    </w:p>
    <w:p>
      <w:pPr>
        <w:ind w:left="120" w:right="120" w:firstLine="440"/>
        <w:spacing w:after="0" w:line="298" w:lineRule="auto"/>
        <w:rPr>
          <w:sz w:val="20"/>
          <w:szCs w:val="20"/>
          <w:color w:val="auto"/>
        </w:rPr>
      </w:pPr>
      <w:r>
        <w:rPr>
          <w:rFonts w:ascii="Arial" w:cs="Arial" w:eastAsia="Arial" w:hAnsi="Arial"/>
          <w:sz w:val="16"/>
          <w:szCs w:val="16"/>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(as defined under the Trust Indenture Act of 1939, as amended), it must eliminate such conflict, resign or obtain an order from the Securities and Exchange Commission permitting it to remain as Trustee.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83"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Company will maintain one or more paying agents (each a “Paying Agent”) for the Notes in the Borough of Manhattan, City of New York. The Company will undertake to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The Company, upon written notice to the Trustee accompanied by an Officer’s Certificate, may appoint one or more Paying Agents, other than the Trustee, for the Notes. If we fail to appoint or maintain another entity as Paying Agent, the Trustee shall act as such. The Company, the Guarantor or any of the Guarantor’s subsidiaries, upon notice to the Trustee, may act as Paying Agent. The initial Paying Agent will be The Bank of New York Mellon in New York.</w:t>
      </w:r>
    </w:p>
    <w:p>
      <w:pPr>
        <w:spacing w:after="0" w:line="104" w:lineRule="exact"/>
        <w:rPr>
          <w:sz w:val="20"/>
          <w:szCs w:val="20"/>
          <w:color w:val="auto"/>
        </w:rPr>
      </w:pPr>
    </w:p>
    <w:p>
      <w:pPr>
        <w:ind w:left="120" w:right="120" w:firstLine="440"/>
        <w:spacing w:after="0" w:line="298" w:lineRule="auto"/>
        <w:rPr>
          <w:sz w:val="20"/>
          <w:szCs w:val="20"/>
          <w:color w:val="auto"/>
        </w:rPr>
      </w:pPr>
      <w:r>
        <w:rPr>
          <w:rFonts w:ascii="Arial" w:cs="Arial" w:eastAsia="Arial" w:hAnsi="Arial"/>
          <w:sz w:val="16"/>
          <w:szCs w:val="16"/>
          <w:color w:val="auto"/>
        </w:rPr>
        <w:t>The Company will also maintain one registrar (the “Registrar”) with an office in the Borough of Manhattan, City of New York. The Company, upon written notice to the Trustee accompanied by an Officer’s Certificate, may appoint one or more registrars, other than the Trustee, for the Notes. If we fail to appoint or maintain another entity as Registrar, the Trustee shall act as such. The Company, the Guarantor or any of the Guarantor’s subsidiaries, upon notice to the Trustee, may act as Registrar. The initial Registrar will be The Bank of New York Mellon in New York.</w:t>
      </w:r>
    </w:p>
    <w:p>
      <w:pPr>
        <w:spacing w:after="0" w:line="9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Company will also maintain a transfer agent with an office in the Borough of Manhattan, City of New York. Each transfer agent shall perform the functions of a transfer agent. The Company, upon written notice to the Trustee accompanied by an Officer’s Certificate, may appoint one or more transfer agents, other than the Trustee, for the Notes. If we fail to appoint or maintain another entity as transfer agent, the Trustee shall act as such. The Company, the Guarantor or any of the Guarantor’s subsidiaries, upon notice to the Trustee, may act as transfer agent. The initial transfer agent will be The Bank of New York Mellon in New York.</w:t>
      </w:r>
    </w:p>
    <w:p>
      <w:pPr>
        <w:spacing w:after="0" w:line="133" w:lineRule="exact"/>
        <w:rPr>
          <w:sz w:val="20"/>
          <w:szCs w:val="20"/>
          <w:color w:val="auto"/>
        </w:rPr>
      </w:pPr>
    </w:p>
    <w:p>
      <w:pPr>
        <w:ind w:left="120" w:right="140" w:firstLine="440"/>
        <w:spacing w:after="0" w:line="268" w:lineRule="auto"/>
        <w:rPr>
          <w:sz w:val="20"/>
          <w:szCs w:val="20"/>
          <w:color w:val="auto"/>
        </w:rPr>
      </w:pPr>
      <w:r>
        <w:rPr>
          <w:rFonts w:ascii="Arial" w:cs="Arial" w:eastAsia="Arial" w:hAnsi="Arial"/>
          <w:sz w:val="18"/>
          <w:szCs w:val="18"/>
          <w:color w:val="auto"/>
        </w:rPr>
        <w:t>The Registrar will maintain a register reflecting ownership of Notes outstanding from time to time and the Paying Agent will make payments on and facilitate transfer of Notes on the behalf of the Company.</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may change any Paying Agents, Registrars or transfer agents without prior notice to the holders of Notes.</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Issuances</w:t>
      </w:r>
    </w:p>
    <w:p>
      <w:pPr>
        <w:spacing w:after="0" w:line="8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 may, from time to time, without notice to or consent of the registered holders of its Notes, increase the principal amount of such Notes that may be issued under the Indenture and issue such increased principal amount (or any portion thereof), in which case any such subsequently issued Notes will have the same form and terms (other than the date of issuance and, under certain circumstances, the date from which interest thereon will begin to accrue), and will carry the same right to receive accrued and unpaid interest, as the Notes previously issued, and such subsequently issued Notes will form a single series with the previously issued Notes, including for purposes of voting and redemptions; provided, however, that a separate CUSIP or ISIN would be issued for the subsequently issued Notes, unless the Notes and the subsequently issued Notes are fungible for U.S. federal income tax purposes. Such subsequently issued Notes will also be guaranteed by the Guarantor (with the same ranking as the Guarantee for the Notes).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83"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will issue the Notes in registered, global form (each, a “global Note”), without coupons, in minimum denominations of U.S.$2,000 and integral multiples of U.S.$1,000 in excess thereof, that will be deposited with, or on behalf of, DTC. The global Notes will be registered in the name of Cede &amp; Co., DTC’s nominee.</w:t>
      </w:r>
    </w:p>
    <w:p>
      <w:pPr>
        <w:spacing w:after="0" w:line="126"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Beneficial interests in the Global Notes will be represented through book-entry accounts of financial institutions acting on behalf of beneficial owners as direct or indirect participants in DTC.</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Investors may elect to hold their interests in the global Notes in DTC (in the United States) through its direct and indirect participants, including Clearstream or Euroclear. Investors may hold their interests in the global Notes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Notes will be held in authorized denominations. Except as set forth below, the global Notes may be transferred, in whole and not in part, only to another nominee of DTC or to a successor of DTC or its nominee.</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Notes represented by a global Note can be exchanged for definitive securities in registered form only if:</w:t>
      </w:r>
    </w:p>
    <w:p>
      <w:pPr>
        <w:spacing w:after="0" w:line="77" w:lineRule="exact"/>
        <w:rPr>
          <w:sz w:val="20"/>
          <w:szCs w:val="20"/>
          <w:color w:val="auto"/>
        </w:rPr>
      </w:pPr>
    </w:p>
    <w:p>
      <w:pPr>
        <w:jc w:val="both"/>
        <w:ind w:left="760" w:right="20" w:hanging="212"/>
        <w:spacing w:after="0" w:line="259"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DTC (a) notifies us that it is unwilling or unable to continue as depositary for the global Notes or (b) has ceased to be a clearing agency registered under the Securities Exchange Act of 1934, as amended (the “Exchange Act”), and, in either case, we fail to appoint a successor depositary within 90 days of such event; or</w:t>
      </w:r>
    </w:p>
    <w:p>
      <w:pPr>
        <w:spacing w:after="0" w:line="45" w:lineRule="exact"/>
        <w:rPr>
          <w:rFonts w:ascii="Arial" w:cs="Arial" w:eastAsia="Arial" w:hAnsi="Arial"/>
          <w:sz w:val="18"/>
          <w:szCs w:val="18"/>
          <w:color w:val="auto"/>
        </w:rPr>
      </w:pPr>
    </w:p>
    <w:p>
      <w:pPr>
        <w:ind w:left="760" w:right="100" w:hanging="212"/>
        <w:spacing w:after="0" w:line="26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determine that the Notes will no longer be represented by a global Note and execute and deliver to the Trustee an Officer’s Certificate to such effect.</w:t>
      </w:r>
    </w:p>
    <w:p>
      <w:pPr>
        <w:spacing w:after="0" w:line="118" w:lineRule="exact"/>
        <w:rPr>
          <w:sz w:val="20"/>
          <w:szCs w:val="20"/>
          <w:color w:val="auto"/>
        </w:rPr>
      </w:pPr>
    </w:p>
    <w:p>
      <w:pPr>
        <w:ind w:left="120" w:right="500" w:firstLine="440"/>
        <w:spacing w:after="0" w:line="259" w:lineRule="auto"/>
        <w:rPr>
          <w:sz w:val="20"/>
          <w:szCs w:val="20"/>
          <w:color w:val="auto"/>
        </w:rPr>
      </w:pPr>
      <w:r>
        <w:rPr>
          <w:rFonts w:ascii="Arial" w:cs="Arial" w:eastAsia="Arial" w:hAnsi="Arial"/>
          <w:sz w:val="18"/>
          <w:szCs w:val="18"/>
          <w:color w:val="auto"/>
        </w:rPr>
        <w:t>A global Note that can be exchanged as described in the preceding sentence will be exchanged for definitive Notes issued in authorized denominations in registered form for the same aggregate amount. The definitive Notes will be registered in the names of the owners of the beneficial interests in the global Note as directed by DTC.</w:t>
      </w:r>
    </w:p>
    <w:p>
      <w:pPr>
        <w:spacing w:after="0" w:line="126" w:lineRule="exact"/>
        <w:rPr>
          <w:sz w:val="20"/>
          <w:szCs w:val="20"/>
          <w:color w:val="auto"/>
        </w:rPr>
      </w:pPr>
    </w:p>
    <w:p>
      <w:pPr>
        <w:ind w:left="120" w:right="80" w:firstLine="440"/>
        <w:spacing w:after="0" w:line="306" w:lineRule="auto"/>
        <w:rPr>
          <w:sz w:val="20"/>
          <w:szCs w:val="20"/>
          <w:color w:val="auto"/>
        </w:rPr>
      </w:pPr>
      <w:r>
        <w:rPr>
          <w:rFonts w:ascii="Arial" w:cs="Arial" w:eastAsia="Arial" w:hAnsi="Arial"/>
          <w:sz w:val="16"/>
          <w:szCs w:val="16"/>
          <w:color w:val="auto"/>
        </w:rPr>
        <w:t>We will make principal and interest payments on all Notes represented by a global Note to a Paying Agent which in turn will make payment to DTC or its nominee, as the case may be, as the sole registered owner and the sole holder of the Notes represented by a global Note for all purposes under the Indenture. Accordingly, we, the Guarantor, the Trustee, any Paying Agent, Registrar or transfer agent will have no responsibility or liability for:</w:t>
      </w:r>
    </w:p>
    <w:p>
      <w:pPr>
        <w:spacing w:after="0" w:line="12" w:lineRule="exact"/>
        <w:rPr>
          <w:sz w:val="20"/>
          <w:szCs w:val="20"/>
          <w:color w:val="auto"/>
        </w:rPr>
      </w:pPr>
    </w:p>
    <w:p>
      <w:pPr>
        <w:ind w:left="760" w:hanging="212"/>
        <w:spacing w:after="0"/>
        <w:tabs>
          <w:tab w:leader="none" w:pos="7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aspect of DTC’s records relating to, or payments made on account of, beneficial ownership interests in a Note represented by a global Note; or</w:t>
      </w:r>
    </w:p>
    <w:p>
      <w:pPr>
        <w:spacing w:after="0" w:line="138" w:lineRule="exact"/>
        <w:rPr>
          <w:rFonts w:ascii="Arial" w:cs="Arial" w:eastAsia="Arial" w:hAnsi="Arial"/>
          <w:sz w:val="15"/>
          <w:szCs w:val="15"/>
          <w:color w:val="auto"/>
        </w:rPr>
      </w:pPr>
    </w:p>
    <w:p>
      <w:pPr>
        <w:ind w:left="760" w:right="180" w:hanging="212"/>
        <w:spacing w:after="0" w:line="26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Note held through those participants; or</w:t>
      </w:r>
    </w:p>
    <w:p>
      <w:pPr>
        <w:spacing w:after="0" w:line="37" w:lineRule="exact"/>
        <w:rPr>
          <w:rFonts w:ascii="Arial" w:cs="Arial" w:eastAsia="Arial" w:hAnsi="Arial"/>
          <w:sz w:val="18"/>
          <w:szCs w:val="18"/>
          <w:color w:val="auto"/>
        </w:rPr>
      </w:pPr>
    </w:p>
    <w:p>
      <w:pPr>
        <w:ind w:left="760" w:hanging="212"/>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maintenance, supervision or review of any of DTC’s records relating to those beneficial ownership interests.</w:t>
      </w:r>
    </w:p>
    <w:p>
      <w:pPr>
        <w:spacing w:after="0" w:line="185"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DTC has advised us that its current practice is to credit participants’ accounts on each payment date with payments in amounts proportionate to their respective beneficial interests in the principal amount of such global Note as shown on DTC’s records, upon DTC’s receipt of funds and corresponding detail information. The underwriter or agents for the Notes represented by a global Note will initially designate the accounts to be credited. Payments by participants to owners of beneficial interests in a global Note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DTC</w:t>
      </w:r>
    </w:p>
    <w:p>
      <w:pPr>
        <w:spacing w:after="0" w:line="77" w:lineRule="exact"/>
        <w:rPr>
          <w:sz w:val="20"/>
          <w:szCs w:val="20"/>
          <w:color w:val="auto"/>
        </w:rPr>
      </w:pPr>
    </w:p>
    <w:p>
      <w:pPr>
        <w:ind w:left="120" w:right="120" w:firstLine="440"/>
        <w:spacing w:after="0" w:line="298" w:lineRule="auto"/>
        <w:rPr>
          <w:sz w:val="20"/>
          <w:szCs w:val="20"/>
          <w:color w:val="auto"/>
        </w:rPr>
      </w:pPr>
      <w:r>
        <w:rPr>
          <w:rFonts w:ascii="Arial" w:cs="Arial" w:eastAsia="Arial" w:hAnsi="Arial"/>
          <w:sz w:val="16"/>
          <w:szCs w:val="16"/>
          <w:color w:val="auto"/>
        </w:rPr>
        <w:t>So long as DTC or its nominee is the registered owner of a global Note, DTC or its nominee, as the case may be, will be considered the sole owner and holder of the Notes represented by that global Note for all purposes of the Notes. Except as set forth above,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060"/>
          </w:cols>
          <w:pgMar w:left="320" w:top="459"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80"/>
        <w:spacing w:after="0" w:line="294" w:lineRule="auto"/>
        <w:rPr>
          <w:sz w:val="20"/>
          <w:szCs w:val="20"/>
          <w:color w:val="auto"/>
        </w:rPr>
      </w:pPr>
      <w:r>
        <w:rPr>
          <w:rFonts w:ascii="Arial" w:cs="Arial" w:eastAsia="Arial" w:hAnsi="Arial"/>
          <w:sz w:val="16"/>
          <w:szCs w:val="16"/>
          <w:color w:val="auto"/>
        </w:rPr>
        <w:t>person owning a beneficial interest in a global Note must rely on the procedures of DTC and, if that person is not a DTC participant,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Note. Beneficial owners may experience delays in receiving distributions on their Notes since distributions will initially be made to DTC and must then be transferred through the chain of intermediaries to the beneficial owner’s account.</w:t>
      </w:r>
    </w:p>
    <w:p>
      <w:pPr>
        <w:spacing w:after="0" w:line="102" w:lineRule="exact"/>
        <w:rPr>
          <w:sz w:val="20"/>
          <w:szCs w:val="20"/>
          <w:color w:val="auto"/>
        </w:rPr>
      </w:pPr>
    </w:p>
    <w:p>
      <w:pPr>
        <w:ind w:left="120" w:right="100" w:firstLine="440"/>
        <w:spacing w:after="0" w:line="298" w:lineRule="auto"/>
        <w:rPr>
          <w:sz w:val="20"/>
          <w:szCs w:val="20"/>
          <w:color w:val="auto"/>
        </w:rPr>
      </w:pPr>
      <w:r>
        <w:rPr>
          <w:rFonts w:ascii="Arial" w:cs="Arial" w:eastAsia="Arial" w:hAnsi="Arial"/>
          <w:sz w:val="16"/>
          <w:szCs w:val="16"/>
          <w:color w:val="auto"/>
        </w:rPr>
        <w:t>We understand that, under existing industry practices, if we request holders to take any action, or if an owner of a beneficial interest in a global Note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99"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6"/>
          <w:szCs w:val="16"/>
          <w:color w:val="auto"/>
        </w:rPr>
        <w:t>Beneficial interests in a global Note will be shown on, and transfers of those ownership interests will be effected only through, records maintained by DTC and its participants for that global Note. The conveyance of notices and other communications by DTC to its participants and by its participants to owners of beneficial interests in the Notes will be governed by arrangements among them, subject to any statutory or regulatory requirements in effect.</w:t>
      </w:r>
    </w:p>
    <w:p>
      <w:pPr>
        <w:spacing w:after="0" w:line="93" w:lineRule="exact"/>
        <w:rPr>
          <w:sz w:val="20"/>
          <w:szCs w:val="20"/>
          <w:color w:val="auto"/>
        </w:rPr>
      </w:pPr>
    </w:p>
    <w:p>
      <w:pPr>
        <w:ind w:left="120" w:right="160" w:firstLine="440"/>
        <w:spacing w:after="0" w:line="306" w:lineRule="auto"/>
        <w:rPr>
          <w:sz w:val="20"/>
          <w:szCs w:val="20"/>
          <w:color w:val="auto"/>
        </w:rPr>
      </w:pPr>
      <w:r>
        <w:rPr>
          <w:rFonts w:ascii="Arial" w:cs="Arial" w:eastAsia="Arial" w:hAnsi="Arial"/>
          <w:sz w:val="16"/>
          <w:szCs w:val="16"/>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93"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10"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Clearstream</w:t>
      </w:r>
    </w:p>
    <w:p>
      <w:pPr>
        <w:spacing w:after="0" w:line="7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320"/>
        <w:spacing w:after="0" w:line="306" w:lineRule="auto"/>
        <w:rPr>
          <w:sz w:val="20"/>
          <w:szCs w:val="20"/>
          <w:color w:val="auto"/>
        </w:rPr>
      </w:pPr>
      <w:r>
        <w:rPr>
          <w:rFonts w:ascii="Arial" w:cs="Arial" w:eastAsia="Arial" w:hAnsi="Arial"/>
          <w:sz w:val="16"/>
          <w:szCs w:val="16"/>
          <w:color w:val="auto"/>
        </w:rPr>
        <w:t>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93"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8"/>
          <w:szCs w:val="18"/>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Euroclear</w:t>
      </w:r>
    </w:p>
    <w:p>
      <w:pPr>
        <w:spacing w:after="0" w:line="7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08" w:lineRule="exact"/>
        <w:rPr>
          <w:sz w:val="20"/>
          <w:szCs w:val="20"/>
          <w:color w:val="auto"/>
        </w:rPr>
      </w:pPr>
    </w:p>
    <w:p>
      <w:pPr>
        <w:ind w:left="120" w:right="460" w:firstLine="440"/>
        <w:spacing w:after="0" w:line="268"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1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06" w:lineRule="exact"/>
        <w:rPr>
          <w:sz w:val="20"/>
          <w:szCs w:val="20"/>
          <w:color w:val="auto"/>
        </w:rPr>
      </w:pPr>
    </w:p>
    <w:p>
      <w:pPr>
        <w:ind w:left="120" w:right="160" w:firstLine="440"/>
        <w:spacing w:after="0" w:line="268" w:lineRule="auto"/>
        <w:rPr>
          <w:sz w:val="20"/>
          <w:szCs w:val="20"/>
          <w:color w:val="auto"/>
        </w:rPr>
      </w:pPr>
      <w:r>
        <w:rPr>
          <w:rFonts w:ascii="Arial" w:cs="Arial" w:eastAsia="Arial" w:hAnsi="Arial"/>
          <w:sz w:val="18"/>
          <w:szCs w:val="18"/>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18"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Euroclear has further advised us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Notes.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83" w:lineRule="exact"/>
        <w:rPr>
          <w:sz w:val="20"/>
          <w:szCs w:val="20"/>
          <w:color w:val="auto"/>
        </w:rPr>
      </w:pPr>
    </w:p>
    <w:p>
      <w:pPr>
        <w:ind w:left="120" w:right="240" w:firstLine="440"/>
        <w:spacing w:after="0" w:line="268" w:lineRule="auto"/>
        <w:rPr>
          <w:sz w:val="20"/>
          <w:szCs w:val="20"/>
          <w:color w:val="auto"/>
        </w:rPr>
      </w:pPr>
      <w:r>
        <w:rPr>
          <w:rFonts w:ascii="Arial" w:cs="Arial" w:eastAsia="Arial" w:hAnsi="Arial"/>
          <w:sz w:val="18"/>
          <w:szCs w:val="18"/>
          <w:color w:val="auto"/>
        </w:rPr>
        <w:t>Initial settlement for the Notes will be made in immediately available funds. Secondary market trading between DTC participants will occur in the ordinary way in accordance with DTC rules and will be settled in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300"/>
        <w:spacing w:after="0" w:line="306" w:lineRule="auto"/>
        <w:rPr>
          <w:sz w:val="20"/>
          <w:szCs w:val="20"/>
          <w:color w:val="auto"/>
        </w:rPr>
      </w:pPr>
      <w:r>
        <w:rPr>
          <w:rFonts w:ascii="Arial" w:cs="Arial" w:eastAsia="Arial" w:hAnsi="Arial"/>
          <w:sz w:val="16"/>
          <w:szCs w:val="16"/>
          <w:color w:val="auto"/>
        </w:rPr>
        <w:t>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93" w:lineRule="exact"/>
        <w:rPr>
          <w:sz w:val="20"/>
          <w:szCs w:val="20"/>
          <w:color w:val="auto"/>
        </w:rPr>
      </w:pPr>
    </w:p>
    <w:p>
      <w:pPr>
        <w:ind w:left="120" w:right="140" w:firstLine="440"/>
        <w:spacing w:after="0" w:line="283" w:lineRule="auto"/>
        <w:rPr>
          <w:sz w:val="20"/>
          <w:szCs w:val="20"/>
          <w:color w:val="auto"/>
        </w:rPr>
      </w:pPr>
      <w:r>
        <w:rPr>
          <w:rFonts w:ascii="Arial" w:cs="Arial" w:eastAsia="Arial" w:hAnsi="Arial"/>
          <w:sz w:val="16"/>
          <w:szCs w:val="16"/>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w:t>
      </w:r>
    </w:p>
    <w:p>
      <w:pPr>
        <w:spacing w:after="0" w:line="2"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U.S. Depositary to take action to effect final settlement on its behalf by delivering or receiving Notes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3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Because of time-zone differences, credits of Notes received through Clearstream or Euroclear as a result of a transaction with a DTC participant will be made during subsequent securities settlement processing and dated the business day following the DTC settlement date. Such credits or any transactions in such Notes settled during such processing will be reported to the relevant Euroclear Participants or Clearstream Participants on such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30"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If the Notes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04"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None of the Company,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NON-UNITED STATES FEDERAL INCOME TAX CONSIDERATIONS</w:t>
      </w:r>
    </w:p>
    <w:p>
      <w:pPr>
        <w:spacing w:after="0" w:line="164"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The following summary is of a general nature and is included herein solely for information purposes. It is based on the laws presently in force in Luxembourg, though it is not intended to be, nor should it be construed to be, legal or tax advice. Unless otherwise indicated, all information contained in this section is based on laws, regulations, practice and decisions in effect in Luxembourg at the date of this prospectus supplement. Any changes could apply retroactively and could affect the continued validity of this summary.</w:t>
      </w:r>
    </w:p>
    <w:p>
      <w:pPr>
        <w:spacing w:after="0" w:line="129"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This summary does not purport to be a comprehensive description of all potential Luxembourg tax considerations that may be relevant to a decision to invest in, own or dispose of the Notes and is not intended as tax advice to any particular investor. This information also does not take into account the specific circumstances of particular investors. Prospective investors in the Notes, should therefore consult their own professional advisers as to the effects of state, local or foreign laws, including Luxembourg tax law, to which they may be subject.</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overview assumes that each transaction with respect to the Notes is at arm’s length.</w:t>
      </w:r>
    </w:p>
    <w:p>
      <w:pPr>
        <w:spacing w:after="0" w:line="158" w:lineRule="exact"/>
        <w:rPr>
          <w:sz w:val="20"/>
          <w:szCs w:val="20"/>
          <w:color w:val="auto"/>
        </w:rPr>
      </w:pPr>
    </w:p>
    <w:p>
      <w:pPr>
        <w:ind w:left="120" w:right="440" w:firstLine="440"/>
        <w:spacing w:after="0" w:line="331" w:lineRule="auto"/>
        <w:rPr>
          <w:sz w:val="20"/>
          <w:szCs w:val="20"/>
          <w:color w:val="auto"/>
        </w:rPr>
      </w:pPr>
      <w:r>
        <w:rPr>
          <w:rFonts w:ascii="Arial" w:cs="Arial" w:eastAsia="Arial" w:hAnsi="Arial"/>
          <w:sz w:val="16"/>
          <w:szCs w:val="16"/>
          <w:color w:val="auto"/>
        </w:rPr>
        <w:t>Where in this summary English terms and expressions are used to refer to Luxembourg concepts, the meaning to be attributed to such terms and expressions shall be the meaning to be attributed to the equivalent Luxembourg concepts under Luxembourg tax law.</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summary in this Luxembourg taxation paragraph does not address the Luxembourg tax consequences for a holder of Notes who:</w:t>
      </w:r>
    </w:p>
    <w:p>
      <w:pPr>
        <w:spacing w:after="0" w:line="100" w:lineRule="exact"/>
        <w:rPr>
          <w:sz w:val="20"/>
          <w:szCs w:val="20"/>
          <w:color w:val="auto"/>
        </w:rPr>
      </w:pPr>
    </w:p>
    <w:p>
      <w:pPr>
        <w:ind w:left="1080" w:right="140" w:hanging="532"/>
        <w:spacing w:after="0" w:line="294"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is an investor as defined in a specific law (such as the law of 11 May 2007 on family estate management companies, as amended, the law of 17 December 2010 on undertakings for collective investment, as amended, the law of 13 February 2007 on specialized investment funds, as amended, the law of 23 July 2016 on reserved alternative investment funds, the law of 22 March 2004 on securitisation, as amended, the law of 15 June 2004 on venture capital vehicles, as amended, the law of 13 July 2005 on pension saving companies and associations, and the law of 15 June 2004 on venture capital vehicles, as amended);</w:t>
      </w:r>
    </w:p>
    <w:p>
      <w:pPr>
        <w:spacing w:after="0" w:line="20"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although in principle subject to Luxembourg tax, in whole or in part, specifically exempt from tax;</w:t>
      </w:r>
    </w:p>
    <w:p>
      <w:pPr>
        <w:spacing w:after="0" w:line="76"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owns Notes in connection with a membership of a management board or a supervisory board, an employment relationship, a deemed employment relationship or management role; or</w:t>
      </w:r>
    </w:p>
    <w:p>
      <w:pPr>
        <w:spacing w:after="0" w:line="37" w:lineRule="exact"/>
        <w:rPr>
          <w:rFonts w:ascii="Arial" w:cs="Arial" w:eastAsia="Arial" w:hAnsi="Arial"/>
          <w:sz w:val="18"/>
          <w:szCs w:val="18"/>
          <w:color w:val="auto"/>
        </w:rPr>
      </w:pPr>
    </w:p>
    <w:p>
      <w:pPr>
        <w:jc w:val="both"/>
        <w:ind w:left="1080" w:right="160" w:hanging="532"/>
        <w:spacing w:after="0" w:line="369" w:lineRule="auto"/>
        <w:tabs>
          <w:tab w:leader="none" w:pos="1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has a substantial interest in the Company or a deemed substantial interest in the Company for Luxembourg tax purposes. Generally, a person holds a substantial interest if such person owns or is deemed to own, directly or indirectly, 10% or more of the shares or interest in an entity.</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Tax</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Non-resident holders of the Notes</w:t>
      </w:r>
    </w:p>
    <w:p>
      <w:pPr>
        <w:spacing w:after="0" w:line="7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Under Luxembourg general tax laws currently in force, interest payments (including accrued but unpaid interest) and principal made to non-residents of Luxembourg in the context of the holding, disposal, redemption or repurchase of the Notes which are not profit-sharing will not be subject to any Luxembourg withholding tax.</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 holders of the Notes</w:t>
      </w:r>
    </w:p>
    <w:p>
      <w:pPr>
        <w:spacing w:after="0" w:line="7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Under the law of 23 December 2005 as amended (the “23 December 2005 Law”), payments of interest or similar income made or ascribed by a Luxembourg paying agent to or for the benefit of an individual beneficial owner who is resident of Luxembourg will be subject to a withholding tax of 20% (the “20% Withholding Tax”).</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6"/>
          <w:szCs w:val="16"/>
          <w:color w:val="auto"/>
        </w:rPr>
        <w:t>Pursuant to the 23 December 2005 Law, Luxembourg resident individuals acting in the course of the management of their private wealth can opt to self-declare and pay a 20% tax (the “20% Self-Declared Tax”) on interest payments made on or after 31 December 2007 by paying agents located in an EU Member State other than Luxembourg or a Member State of the European Economic Area other than an EU Member State.</w:t>
      </w:r>
    </w:p>
    <w:p>
      <w:pPr>
        <w:spacing w:after="0" w:line="93"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20% Withholding Tax or the 20% Self-Declared Tax will be in full discharge of income tax if the beneficial owner is an individual acting in the course of the management of his or her private wealth. Payments of interest under the Notes coming within the scope of the 23 December 2005 Law are subject to the 20% Withholding Tax or the 20% Self-Declared Tax. Responsibility for the payment of tax in application of the 23 December 2005 Law is assumed by the Luxembourg paying agent (in the case of the 20% Withholding Tax) and by the Luxembourg resident holder of the Notes (in the case of the 20% Self-Declared Tax).</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 on Income and Capital Gains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Non-resident Notes holders</w:t>
      </w:r>
    </w:p>
    <w:p>
      <w:pPr>
        <w:spacing w:after="0" w:line="7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Non-resident Notes holders, not having a permanent establishment or a permanent representative, to which the Notes or income thereon are attributable, are not subject to Luxembourg income taxes on interest accrued or received, redemption premiums or issue discounts, under the Notes or on capital gains realised on the disposal or redemption of the Notes.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 Notes holders</w:t>
      </w:r>
    </w:p>
    <w:p>
      <w:pPr>
        <w:spacing w:after="0" w:line="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 xml:space="preserve">Individuals. </w:t>
      </w:r>
      <w:r>
        <w:rPr>
          <w:rFonts w:ascii="Arial" w:cs="Arial" w:eastAsia="Arial" w:hAnsi="Arial"/>
          <w:sz w:val="18"/>
          <w:szCs w:val="18"/>
          <w:color w:val="auto"/>
        </w:rPr>
        <w:t>A resident individual acting in the course of the management of a professional or business undertaking must include any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or received, any redemption premium or issue discount, as well as any gain realized on the sale or disposal in any form whatsoever, of the Notes, in its taxable income for Luxembourg income tax purposes.</w:t>
      </w:r>
    </w:p>
    <w:p>
      <w:pPr>
        <w:spacing w:after="0" w:line="12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 resident Notes holder, acting in the course of the management of his or her private wealth, is subject to Luxembourg income tax in respect of interest or similar income received (such as premiums or issue discounts) under the Notes, except if tax is levied on such payments in accordance with the 23 December 2005 Law.</w:t>
      </w:r>
    </w:p>
    <w:p>
      <w:pPr>
        <w:spacing w:after="0" w:line="126" w:lineRule="exact"/>
        <w:rPr>
          <w:sz w:val="20"/>
          <w:szCs w:val="20"/>
          <w:color w:val="auto"/>
        </w:rPr>
      </w:pPr>
    </w:p>
    <w:p>
      <w:pPr>
        <w:ind w:left="120" w:right="180" w:firstLine="440"/>
        <w:spacing w:after="0" w:line="256" w:lineRule="auto"/>
        <w:rPr>
          <w:sz w:val="20"/>
          <w:szCs w:val="20"/>
          <w:color w:val="auto"/>
        </w:rPr>
      </w:pPr>
      <w:r>
        <w:rPr>
          <w:rFonts w:ascii="Arial" w:cs="Arial" w:eastAsia="Arial" w:hAnsi="Arial"/>
          <w:sz w:val="18"/>
          <w:szCs w:val="18"/>
          <w:color w:val="auto"/>
        </w:rPr>
        <w:t>A gain realised by an individual Notes holder, acting in the course of the management of his or her private wealth, upon the sale or disposal, in any form whatsoever, of Notes is not subject to Luxembourg income tax, provided this sale or disposal took place more than six months after the Notes were acquired. However, any portion of such gain corresponding to accrued but unpaid interest income is subject to Luxembourg income tax, except if tax is levied on such interest in accordance with the 23 December 2005 Law.</w:t>
      </w:r>
    </w:p>
    <w:p>
      <w:pPr>
        <w:spacing w:after="0" w:line="129" w:lineRule="exact"/>
        <w:rPr>
          <w:sz w:val="20"/>
          <w:szCs w:val="20"/>
          <w:color w:val="auto"/>
        </w:rPr>
      </w:pPr>
    </w:p>
    <w:p>
      <w:pPr>
        <w:ind w:left="120" w:right="220" w:firstLine="440"/>
        <w:spacing w:after="0" w:line="331" w:lineRule="auto"/>
        <w:rPr>
          <w:sz w:val="20"/>
          <w:szCs w:val="20"/>
          <w:color w:val="auto"/>
        </w:rPr>
      </w:pPr>
      <w:r>
        <w:rPr>
          <w:rFonts w:ascii="Arial" w:cs="Arial" w:eastAsia="Arial" w:hAnsi="Arial"/>
          <w:sz w:val="16"/>
          <w:szCs w:val="16"/>
          <w:i w:val="1"/>
          <w:iCs w:val="1"/>
          <w:color w:val="auto"/>
        </w:rPr>
        <w:t xml:space="preserve">Corporations. </w:t>
      </w:r>
      <w:r>
        <w:rPr>
          <w:rFonts w:ascii="Arial" w:cs="Arial" w:eastAsia="Arial" w:hAnsi="Arial"/>
          <w:sz w:val="16"/>
          <w:szCs w:val="16"/>
          <w:color w:val="auto"/>
        </w:rPr>
        <w:t>A corporate resident holder of Notes must include any interest accrued or received, any redemption premium or issue discount,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any gain realized on the sale or disposal, in any form whatsoever, of the Notes, in its taxable income for Luxembourg income tax purposes.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Wealth Tax</w:t>
      </w:r>
    </w:p>
    <w:p>
      <w:pPr>
        <w:spacing w:after="0" w:line="77" w:lineRule="exact"/>
        <w:rPr>
          <w:sz w:val="20"/>
          <w:szCs w:val="20"/>
          <w:color w:val="auto"/>
        </w:rPr>
      </w:pPr>
    </w:p>
    <w:p>
      <w:pPr>
        <w:ind w:left="120" w:right="80" w:firstLine="440"/>
        <w:spacing w:after="0" w:line="298" w:lineRule="auto"/>
        <w:rPr>
          <w:sz w:val="20"/>
          <w:szCs w:val="20"/>
          <w:color w:val="auto"/>
        </w:rPr>
      </w:pPr>
      <w:r>
        <w:rPr>
          <w:rFonts w:ascii="Arial" w:cs="Arial" w:eastAsia="Arial" w:hAnsi="Arial"/>
          <w:sz w:val="16"/>
          <w:szCs w:val="16"/>
          <w:color w:val="auto"/>
        </w:rPr>
        <w:t>Corporate holders of Notes resident in Luxembourg and non-resident corporate holders of Notes that maintain a permanent establishment or permanent representative in the Grand Duchy of Luxembourg to which or to whom such Notes are attributable are subject to annual net wealth tax on their unitary value (i.e., non-exempt assets minus liabilities and certain provisions as valued according to valuation rules), levied at a rate of 0.5% if the unitary value does not exceed €500,000,000 and 0.05% on the portion of the unitary value that exceeds €500,000,000, in respect of the Notes.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corporate resident holder of Notes will further be subject to a minimum net wealth tax that ranges between €535 and €23,100.</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Individuals are not subject to Luxembourg net wealth tax.</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Inheritance and Gift Tax</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Notes are transferred for non-consideration:</w:t>
      </w:r>
    </w:p>
    <w:p>
      <w:pPr>
        <w:spacing w:after="0" w:line="77" w:lineRule="exact"/>
        <w:rPr>
          <w:sz w:val="20"/>
          <w:szCs w:val="20"/>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Luxembourg inheritance tax is levied on the transfer of the Notes upon the death of a holder of Notes in cases where the deceased was not a resident of Luxembourg for inheritance tax purposes;</w:t>
      </w:r>
    </w:p>
    <w:p>
      <w:pPr>
        <w:spacing w:after="0" w:line="37"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way of gift, Luxembourg gift tax will be levied in the event that the gift is made pursuant to a notarial deed signed before a Luxembourg notary or is registered in Luxembourg.</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77"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It is not compulsory that the Notes be filed, recorded or enrolled with any court or other authority in Luxembourg. No registration tax, transfer tax, capital tax, stamp duty or any other similar documentary tax or duty be paid in respect of or in connection with the issue of Notes, the performance by the Company of its obligations under Notes, or the transfer of Notes.</w:t>
      </w:r>
    </w:p>
    <w:p>
      <w:pPr>
        <w:spacing w:after="0" w:line="126"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color w:val="auto"/>
        </w:rPr>
        <w:t>A fixed or ad valorem registration duty in Luxembourg may however apply (i) upon voluntary registration (</w:t>
      </w:r>
      <w:r>
        <w:rPr>
          <w:rFonts w:ascii="Arial" w:cs="Arial" w:eastAsia="Arial" w:hAnsi="Arial"/>
          <w:sz w:val="18"/>
          <w:szCs w:val="18"/>
          <w:i w:val="1"/>
          <w:iCs w:val="1"/>
          <w:color w:val="auto"/>
        </w:rPr>
        <w:t>presentation à l’enregistrement</w:t>
      </w:r>
      <w:r>
        <w:rPr>
          <w:rFonts w:ascii="Arial" w:cs="Arial" w:eastAsia="Arial" w:hAnsi="Arial"/>
          <w:sz w:val="18"/>
          <w:szCs w:val="18"/>
          <w:color w:val="auto"/>
        </w:rPr>
        <w:t>) of the Notes before the Registration and Estates Department (</w:t>
      </w:r>
      <w:r>
        <w:rPr>
          <w:rFonts w:ascii="Arial" w:cs="Arial" w:eastAsia="Arial" w:hAnsi="Arial"/>
          <w:sz w:val="18"/>
          <w:szCs w:val="18"/>
          <w:i w:val="1"/>
          <w:iCs w:val="1"/>
          <w:color w:val="auto"/>
        </w:rPr>
        <w:t>Administration de l’enregistrement, des domaines et de la TVA</w:t>
      </w:r>
      <w:r>
        <w:rPr>
          <w:rFonts w:ascii="Arial" w:cs="Arial" w:eastAsia="Arial" w:hAnsi="Arial"/>
          <w:sz w:val="18"/>
          <w:szCs w:val="18"/>
          <w:color w:val="auto"/>
        </w:rPr>
        <w:t>) in Luxembourg, or (ii) if the Notes are (a) enclosed to a compulsory registrable deed under Luxembourg law (</w:t>
      </w:r>
      <w:r>
        <w:rPr>
          <w:rFonts w:ascii="Arial" w:cs="Arial" w:eastAsia="Arial" w:hAnsi="Arial"/>
          <w:sz w:val="18"/>
          <w:szCs w:val="18"/>
          <w:i w:val="1"/>
          <w:iCs w:val="1"/>
          <w:color w:val="auto"/>
        </w:rPr>
        <w:t>acte obligatoirement enregistrable</w:t>
      </w:r>
      <w:r>
        <w:rPr>
          <w:rFonts w:ascii="Arial" w:cs="Arial" w:eastAsia="Arial" w:hAnsi="Arial"/>
          <w:sz w:val="18"/>
          <w:szCs w:val="18"/>
          <w:color w:val="auto"/>
        </w:rPr>
        <w:t>) or (b) deposited with the official records of a notary (</w:t>
      </w:r>
      <w:r>
        <w:rPr>
          <w:rFonts w:ascii="Arial" w:cs="Arial" w:eastAsia="Arial" w:hAnsi="Arial"/>
          <w:sz w:val="18"/>
          <w:szCs w:val="18"/>
          <w:i w:val="1"/>
          <w:iCs w:val="1"/>
          <w:color w:val="auto"/>
        </w:rPr>
        <w:t>déposé au rang des minutes d’un notaire</w:t>
      </w:r>
      <w:r>
        <w:rPr>
          <w:rFonts w:ascii="Arial" w:cs="Arial" w:eastAsia="Arial" w:hAnsi="Arial"/>
          <w:sz w:val="18"/>
          <w:szCs w:val="18"/>
          <w:color w:val="auto"/>
        </w:rPr>
        <w: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6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following is a summary of material U.S. federal income tax consequences relating to the ownership and disposition of Additional Notes as of the date hereof, and does not purport to be to be a complete analysis of all the potential tax considerations relating thereto. Except where noted, this summary deals only with Additional Notes that are held as capital assets (within the meaning of Section 1221 of the Code (as defined below)) by a beneficial owner who acquired the Additional Notes in connection with the offering contemplated hereby and any references to “Notes” below are intended to refer solely to such Additional Notes.</w:t>
      </w:r>
    </w:p>
    <w:p>
      <w:pPr>
        <w:spacing w:after="0" w:line="133"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For purposes of this summary, a “U.S. Holder” is a beneficial owner of a Note that, for U.S. federal income tax purposes, is: (a) an individual citizen or resident of the United States; (b) a corporation (or other entity treated as a corporation for U.S. federal tax purposes) created or organized in or under the laws of the United States or any state or political subdivision thereof (including the District of Columbia); (c) an estate the income of which is subject to U.S. federal income taxation regardless of its source; or (d) a trust if (i) a court within the United States is able to exercise primary supervision over the trust’s administration and one or more United States persons have the authority to control all substantial decisions of the trust or (ii) such trust has a valid election in effect under applicable U.S. Treasury regulations to be treated as a United States person.</w:t>
      </w:r>
    </w:p>
    <w:p>
      <w:pPr>
        <w:spacing w:after="0" w:line="106" w:lineRule="exact"/>
        <w:rPr>
          <w:sz w:val="20"/>
          <w:szCs w:val="20"/>
          <w:color w:val="auto"/>
        </w:rPr>
      </w:pPr>
    </w:p>
    <w:p>
      <w:pPr>
        <w:jc w:val="both"/>
        <w:ind w:left="120" w:right="240" w:firstLine="440"/>
        <w:spacing w:after="0" w:line="306" w:lineRule="auto"/>
        <w:rPr>
          <w:sz w:val="20"/>
          <w:szCs w:val="20"/>
          <w:color w:val="auto"/>
        </w:rPr>
      </w:pPr>
      <w:r>
        <w:rPr>
          <w:rFonts w:ascii="Arial" w:cs="Arial" w:eastAsia="Arial" w:hAnsi="Arial"/>
          <w:sz w:val="16"/>
          <w:szCs w:val="16"/>
          <w:color w:val="auto"/>
        </w:rPr>
        <w:t>If any entity or arrangement that is treated as a partnership for U.S. federal income tax purposes holds the Notes, the tax treatment of a partner will generally depend upon the status of the partner and the activities of the partnership. If you are a partner of a partnership considering an investment in the Notes, you should consult your tax advisors concerning the U.S. federal income tax consequences of the ownership and disposition of the Notes.</w:t>
      </w:r>
    </w:p>
    <w:p>
      <w:pPr>
        <w:spacing w:after="0" w:line="93"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may be changed, perhaps retroactively, so as to result in United States federal income tax consequences different from those summarized below. We have not sought and do not intend to seek a ruling from the Internal Revenue Service (the “IRS”), on any aspect of these transactions. Accordingly, we cannot assure you that the IRS will agree with the views expressed in this summary, or that a court will not sustain any challenge to those views by the IRS in the event of litigation. This summary does not address all aspects of United States federal income taxes and does not deal with foreign, state, local or other tax considerations that may be relevant to beneficial owners of the Notes in light of their particular circumstances. In addition, it does not present a detailed description of the U.S. federal income tax consequences applicable to you if you are subject to special treatment under the U.S. federal income tax laws (including, for example, if you are a dealer in securities or currencies, a trader in securities that elects to use a mark-to-market method of tax accounting for your securities holdings, a bank or other financial institution, a regulated investment company, a real estate investment trust, an employee stock ownership plan, a controlled foreign corporation, a foreign personal holding company, a passive foreign investment company, a pass-through entity (or an owner of a pass-through entity), a corporation that accumulates earnings to avoid tax, an insurance company, a tax-exempt organization, a former citizen or resident of the United States, a person liable for the alternative minimum tax, a person that owns Notes that are a hedge or that are hedged against interest rate or currency risks, a person that owns Notes as part of a straddle, hedge, conversion, constructive sale or other integrated transaction for U.S. federal income tax purposes, a person that purchases or sells Notes as part of a wash sale for tax purposes, or a U.S. Holder whose functional currency for tax purposes is not the U.S. dollar) or a person subject to special tax accounting rules under Section 451(b) of the Code applicable to persons that maintain certain specified financial statements. A change in law may alter significantly the tax considerations that we describe in this summary.</w:t>
      </w:r>
    </w:p>
    <w:p>
      <w:pPr>
        <w:spacing w:after="0" w:line="113" w:lineRule="exact"/>
        <w:rPr>
          <w:sz w:val="20"/>
          <w:szCs w:val="20"/>
          <w:color w:val="auto"/>
        </w:rPr>
      </w:pPr>
    </w:p>
    <w:p>
      <w:pPr>
        <w:ind w:left="120" w:right="220" w:firstLine="440"/>
        <w:spacing w:after="0" w:line="262" w:lineRule="auto"/>
        <w:rPr>
          <w:sz w:val="20"/>
          <w:szCs w:val="20"/>
          <w:color w:val="auto"/>
        </w:rPr>
      </w:pPr>
      <w:r>
        <w:rPr>
          <w:rFonts w:ascii="Arial" w:cs="Arial" w:eastAsia="Arial" w:hAnsi="Arial"/>
          <w:sz w:val="18"/>
          <w:szCs w:val="18"/>
          <w:b w:val="1"/>
          <w:bCs w:val="1"/>
          <w:color w:val="auto"/>
        </w:rPr>
        <w:t>If you are considering the purchase of Notes, you should consult your own tax advisors concerning the particular U.S. federal income tax consequences to you of the ownership of the Notes, as well as the consequences to you arising under the laws of any other taxing jurisdiction and the possible effects of changes in tax laws.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Qualified Reopening</w:t>
      </w:r>
    </w:p>
    <w:p>
      <w:pPr>
        <w:spacing w:after="0" w:line="83"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For U.S. federal income tax purposes, we expect and the following discussion assumes that the Additional Notes will be treated as issued in a “qualified reopening” of the Existing Notes. For U.S. federal income tax purposes, debt instruments issued in a qualified reopening are deemed to be part of the same issue as the original debt instruments. Under the treatment described in this paragraph, the Additional Notes will have the same issue date and the same issue price as the Existing Notes for U.S. federal income tax purposes, and because the Existing Notes were issued at less than a de minimis discount from their stated principal amount, the Existing Notes were issued without OID and, therefore, the Additional Notes offered hereby will also be issued without OID. If the Additional Notes were not issued in a qualified reopening, the timing, amount and character of the income recognized with respect to the Additional Notes could differ from that described herein and in the accompanying prospectus, and the Additional Notes might not be fungible with the Existing Notes.</w:t>
      </w:r>
    </w:p>
    <w:p>
      <w:pPr>
        <w:spacing w:after="0" w:line="110" w:lineRule="exact"/>
        <w:rPr>
          <w:sz w:val="20"/>
          <w:szCs w:val="20"/>
          <w:color w:val="auto"/>
        </w:rPr>
      </w:pPr>
    </w:p>
    <w:p>
      <w:pPr>
        <w:ind w:left="120" w:right="180" w:firstLine="440"/>
        <w:spacing w:after="0" w:line="317" w:lineRule="auto"/>
        <w:rPr>
          <w:sz w:val="20"/>
          <w:szCs w:val="20"/>
          <w:color w:val="auto"/>
        </w:rPr>
      </w:pPr>
      <w:r>
        <w:rPr>
          <w:rFonts w:ascii="Arial" w:cs="Arial" w:eastAsia="Arial" w:hAnsi="Arial"/>
          <w:sz w:val="15"/>
          <w:szCs w:val="15"/>
          <w:color w:val="auto"/>
        </w:rPr>
        <w:t>A portion of the price paid for the Notes issued pursuant to this offering will be allocable to interest that accrued prior to the date such Notes are purchased (“pre-acquisition accrued interest”). To the extent a portion of your purchase price is allocable to pre-acquisition accrued interest, the portion of the first stated interest payment equal to the amount of such pre-acquisition accrued interest may be treated as a non-taxable return of such pre-acquisition accrued interest to you, rather than as taxable interest, as if you had purchased the Note on the secondary market between interest payment dates. If so, the amount treated as a return of pre-acquisition accrued interest will reduce your adjusted tax basis in the Notes by a corresponding amount.</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Contingent Payments</w:t>
      </w:r>
    </w:p>
    <w:p>
      <w:pPr>
        <w:spacing w:after="0" w:line="83"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5"/>
          <w:szCs w:val="15"/>
          <w:color w:val="auto"/>
        </w:rPr>
        <w:t>We may become obligated to pay an amount in excess of the stated interest and/or the principal amount of the Notes, as described, for example, in “Description of the Notes—Optional Redemption” and “Description of the Notes—Additional Amounts” The obligation to make these payments may cause a special method of accounting for interest income and expense arising with respect to debt instruments that provide for one or more contingent payments (“contingent payment debt instruments”) to apply. The relevant U.S. Treasury regulations state, however, that, for purposes of determining whether a debt instrument is a contingent payment debt instrument, remote or incidental contingencies are ignored. We intend to take the position that the Notes should not be characterized as contingent payment debt instruments under United States federal income tax law because the contingency that would require us to make any of these contingent payments is remote, or is incidental. Our determination is binding on a beneficial owner, unless the beneficial owner discloses in the proper manner to the IRS that it is taking a different position. Our determination is not, however, binding on the IRS, and if the IRS successfully takes a contrary position, you may be required (i) to accrue interest income at a rate higher than the stated interest rate on the Notes, and (ii) to treat as ordinary income, rather than capital gain, a portion or all of any gain on the sale or retirement of the Notes. In addition, in that event the issuance of the Notes will not be treated as a “qualified reopening” for U.S. federal income tax purposes. You should consult your tax advisor about the risk of the Notes being treated as contingent payment debt instruments. The remainder of this discussion assumes that the Notes are not contingent payment debt instruments.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83" w:lineRule="exact"/>
        <w:rPr>
          <w:sz w:val="20"/>
          <w:szCs w:val="20"/>
          <w:color w:val="auto"/>
        </w:rPr>
      </w:pPr>
    </w:p>
    <w:p>
      <w:pPr>
        <w:ind w:left="120" w:right="80" w:firstLine="440"/>
        <w:spacing w:after="0" w:line="256"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on a Note (other than pre-acquisition accrued interest) will generally be taxable to you as ordinary interest income as it accrues or</w:t>
      </w:r>
      <w:r>
        <w:rPr>
          <w:rFonts w:ascii="Arial" w:cs="Arial" w:eastAsia="Arial" w:hAnsi="Arial"/>
          <w:sz w:val="18"/>
          <w:szCs w:val="18"/>
          <w:i w:val="1"/>
          <w:iCs w:val="1"/>
          <w:color w:val="auto"/>
        </w:rPr>
        <w:t xml:space="preserve"> </w:t>
      </w:r>
      <w:r>
        <w:rPr>
          <w:rFonts w:ascii="Arial" w:cs="Arial" w:eastAsia="Arial" w:hAnsi="Arial"/>
          <w:sz w:val="18"/>
          <w:szCs w:val="18"/>
          <w:color w:val="auto"/>
        </w:rPr>
        <w:t>is received by you in accordance with your usual method of accounting for U.S. federal income tax purposes. Interest income from the Notes will constitute foreign-source income, which may be relevant to you in calculating your foreign tax credit limitation. The limitation on foreign taxes eligible for credit is calculated separately with respect to specific classes of income.</w:t>
      </w:r>
    </w:p>
    <w:p>
      <w:pPr>
        <w:spacing w:after="0" w:line="129"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i w:val="1"/>
          <w:iCs w:val="1"/>
          <w:color w:val="auto"/>
        </w:rPr>
        <w:t>Bond Premium</w:t>
      </w:r>
      <w:r>
        <w:rPr>
          <w:rFonts w:ascii="Arial" w:cs="Arial" w:eastAsia="Arial" w:hAnsi="Arial"/>
          <w:sz w:val="18"/>
          <w:szCs w:val="18"/>
          <w:color w:val="auto"/>
        </w:rPr>
        <w:t>. If the amount you paid for the Notes pursuant to this offering (excluding any amount attributable to pre-acquisition accrued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is greater than its principal amount, you will generally be considered to have purchased the Notes with “bond premium” in the amount equal to such excess. You generally</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may be able to elect to amortize this bond premium, using a constant-yield method, over the remaining term of the Notes by offsetting the interest income on such Note allocable to an accrual period with the premium allocable to such accrual period. If the bond premium allocable to an accrual period exceeds the stated interest income allocable to the accrual period, the excess is generally treated as a bond premium deduction. If you make such an election, your adjusted tax basis in the Notes will be reduced by the amount of premium amortized. However, because the Notes may be optionally redeemed by us for an amount in excess of their principal amount, special rules apply that could result in a deferral or reduction of the amortization of the bond premium until later in the term of the Notes. An election to amortize bond premium applies to all taxable debt obligations owned or acquired by you on or after the first day of the first taxable year for which the election is made and may be revoked only with the consent of the IRS. If you do not elect to amortize the premium, the premium will decrease the gain or increase the loss you would otherwise recognize on a disposition of such Notes.</w:t>
      </w:r>
    </w:p>
    <w:p>
      <w:pPr>
        <w:spacing w:after="0" w:line="110"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i w:val="1"/>
          <w:iCs w:val="1"/>
          <w:color w:val="auto"/>
        </w:rPr>
        <w:t xml:space="preserve">Sale, Exchange or Other Taxable Dispositions of Notes. </w:t>
      </w:r>
      <w:r>
        <w:rPr>
          <w:rFonts w:ascii="Arial" w:cs="Arial" w:eastAsia="Arial" w:hAnsi="Arial"/>
          <w:sz w:val="16"/>
          <w:szCs w:val="16"/>
          <w:color w:val="auto"/>
        </w:rPr>
        <w:t>If you are a U.S. Holder, upon the sale, exchange, redemption, retirement or other taxable</w:t>
      </w:r>
      <w:r>
        <w:rPr>
          <w:rFonts w:ascii="Arial" w:cs="Arial" w:eastAsia="Arial" w:hAnsi="Arial"/>
          <w:sz w:val="16"/>
          <w:szCs w:val="16"/>
          <w:i w:val="1"/>
          <w:iCs w:val="1"/>
          <w:color w:val="auto"/>
        </w:rPr>
        <w:t xml:space="preserve"> </w:t>
      </w:r>
      <w:r>
        <w:rPr>
          <w:rFonts w:ascii="Arial" w:cs="Arial" w:eastAsia="Arial" w:hAnsi="Arial"/>
          <w:sz w:val="16"/>
          <w:szCs w:val="16"/>
          <w:color w:val="auto"/>
        </w:rPr>
        <w:t>disposition of a Note, you will generally recognize gain or loss for U.S. federal income tax purposes in an amount equal to the difference between (i) the amount of the cash and the fair market value of any property you receive on the sale or other taxable disposition (less an amount attributable to any accrued but unpaid interest, which will be taxable as ordinary interest income to the extent not previously taken into income), and (ii) your adjusted tax basis in the Note. Your adjusted tax basis in a Note will generally be equal to your cost for the Note (increased by any accrued but unpaid interest that you have previously taken into income and decreased by any amortized bond premium and amounts attributable to pre-acquisition accrued interest).</w:t>
      </w:r>
    </w:p>
    <w:p>
      <w:pPr>
        <w:spacing w:after="0" w:line="106"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color w:val="auto"/>
        </w:rPr>
        <w:t>Such gain or loss will generally be treated as capital gain or loss, and will be treated as long-term capital gain or loss if your holding period for the Note exceeds one year at the time of the disposition. Long-term capital gains of non-corporate taxpayers are subject to reduced rates of taxation. The deductibility of capital losses is subject to limitations. Gain or loss, if any, will generally be U.S.-source income for purposes of computing your foreign tax credit limitation.</w:t>
      </w:r>
    </w:p>
    <w:p>
      <w:pPr>
        <w:spacing w:after="0" w:line="12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i w:val="1"/>
          <w:iCs w:val="1"/>
          <w:color w:val="auto"/>
        </w:rPr>
        <w:t xml:space="preserve">Additional Tax on Net Investment Income. </w:t>
      </w:r>
      <w:r>
        <w:rPr>
          <w:rFonts w:ascii="Arial" w:cs="Arial" w:eastAsia="Arial" w:hAnsi="Arial"/>
          <w:sz w:val="16"/>
          <w:szCs w:val="16"/>
          <w:color w:val="auto"/>
        </w:rPr>
        <w:t>U.S. persons that are individuals, estates, or certain trusts are generally subject to a 3.8% tax on the lesser</w:t>
      </w:r>
      <w:r>
        <w:rPr>
          <w:rFonts w:ascii="Arial" w:cs="Arial" w:eastAsia="Arial" w:hAnsi="Arial"/>
          <w:sz w:val="16"/>
          <w:szCs w:val="16"/>
          <w:i w:val="1"/>
          <w:iCs w:val="1"/>
          <w:color w:val="auto"/>
        </w:rPr>
        <w:t xml:space="preserve"> </w:t>
      </w:r>
      <w:r>
        <w:rPr>
          <w:rFonts w:ascii="Arial" w:cs="Arial" w:eastAsia="Arial" w:hAnsi="Arial"/>
          <w:sz w:val="16"/>
          <w:szCs w:val="16"/>
          <w:color w:val="auto"/>
        </w:rPr>
        <w:t>of (1) the U.S. person’s “net investment income” for the relevant taxable year and (2) the excess of the U.S. person’s modified adjusted gross income for the taxable year over a certain threshold (which in the case of individuals will be between $125,000 and $250,000, depending on the individual’s tax return filing status). Your net investment income will generally include any income or gain recognized by such beneficial owner with respect to the Notes, unless such income or gain is derived in the ordinary course of the conduct of such beneficial owner’s trade or business (other than a trade or business that consists of certain passive or trading activities). U.S. persons that are individuals, estates, or trusts should consult their tax advisors on the applicability of this additional tax to its income and gains in respect of their investment in the Notes.</w:t>
      </w:r>
    </w:p>
    <w:p>
      <w:pPr>
        <w:spacing w:after="0" w:line="104"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i w:val="1"/>
          <w:iCs w:val="1"/>
          <w:color w:val="auto"/>
        </w:rPr>
        <w:t xml:space="preserve">Information Reporting and Backup Withholding. </w:t>
      </w:r>
      <w:r>
        <w:rPr>
          <w:rFonts w:ascii="Arial" w:cs="Arial" w:eastAsia="Arial" w:hAnsi="Arial"/>
          <w:sz w:val="16"/>
          <w:szCs w:val="16"/>
          <w:color w:val="auto"/>
        </w:rPr>
        <w:t>U.S. federal backup withholding will apply to interest on the Notes and proceeds from the sale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disposition of the Notes unless (a) you are an exempt recipient and, when required, demonstrate this fact, (b) you provide a correct taxpayer identification number and otherwise comply with applicable requirements of the backup withholding rules, or (c) in certain circumstances, you certify under penalty of perjury that you are not subject to backup withholding. The backup withholding rate is currently 24%. A U.S. Holder who does not provide a correct taxpayer identification number may also be subject to penalties imposed by the IRS.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credit against your U.S.</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liability and may entitle you to a refund, provided the required information is timely furnished to the IRS.</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You will also be subject to information reporting on interest on the Notes and proceeds from the sale or other disposition of the Notes, unless you are an exempt recipient and appropriately establish that exemption.</w:t>
      </w:r>
    </w:p>
    <w:p>
      <w:pPr>
        <w:spacing w:after="0" w:line="112" w:lineRule="exact"/>
        <w:rPr>
          <w:sz w:val="20"/>
          <w:szCs w:val="20"/>
          <w:color w:val="auto"/>
        </w:rPr>
      </w:pPr>
    </w:p>
    <w:p>
      <w:pPr>
        <w:jc w:val="both"/>
        <w:ind w:left="120" w:firstLine="440"/>
        <w:spacing w:after="0" w:line="310" w:lineRule="auto"/>
        <w:rPr>
          <w:sz w:val="20"/>
          <w:szCs w:val="20"/>
          <w:color w:val="auto"/>
        </w:rPr>
      </w:pPr>
      <w:r>
        <w:rPr>
          <w:rFonts w:ascii="Arial" w:cs="Arial" w:eastAsia="Arial" w:hAnsi="Arial"/>
          <w:sz w:val="16"/>
          <w:szCs w:val="16"/>
          <w:b w:val="1"/>
          <w:bCs w:val="1"/>
          <w:color w:val="auto"/>
        </w:rPr>
        <w:t>The preceding discussion of certain U.S. federal income tax considerations is for general information only and is not tax advice. Accordingly, you should consult your tax advisor as to particular tax consequences to you of holding and disposing of the Notes, including the applicability and effect of any foreign, state, local or other tax laws, and of any pending or subsequent changes in applicable laws.</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040"/>
          </w:cols>
          <w:pgMar w:left="320" w:top="459"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 (CONFLICTS OF INTEREST)</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Subject to the terms and conditions contained in an underwriting agreement, dated as of the date of this prospectus supplement among us, the</w:t>
      </w:r>
    </w:p>
    <w:p>
      <w:pPr>
        <w:spacing w:after="0" w:line="38"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Guarantor and Citigroup Global Markets Inc., we have agreed to sell to the underwriter, and the underwriter has agreed to purchase from us, $ principal amount of Notes.</w:t>
      </w:r>
    </w:p>
    <w:p>
      <w:pPr>
        <w:spacing w:after="0" w:line="126" w:lineRule="exact"/>
        <w:rPr>
          <w:sz w:val="20"/>
          <w:szCs w:val="20"/>
          <w:color w:val="auto"/>
        </w:rPr>
      </w:pPr>
    </w:p>
    <w:p>
      <w:pPr>
        <w:ind w:left="120" w:right="120" w:firstLine="440"/>
        <w:spacing w:after="0" w:line="306" w:lineRule="auto"/>
        <w:rPr>
          <w:sz w:val="20"/>
          <w:szCs w:val="20"/>
          <w:color w:val="auto"/>
        </w:rPr>
      </w:pPr>
      <w:r>
        <w:rPr>
          <w:rFonts w:ascii="Arial" w:cs="Arial" w:eastAsia="Arial" w:hAnsi="Arial"/>
          <w:sz w:val="16"/>
          <w:szCs w:val="16"/>
          <w:color w:val="auto"/>
        </w:rPr>
        <w:t>The underwriter is offering the Notes subject to its acceptance of the Notes from us and subject to prior sale. The underwriting agreement provides that the obligation of the underwriter to pay for and accept delivery of the Notes offered by this prospectus supplement is subject to certain conditions. The underwriter is obligated to take and pay for all of the Notes offered by this prospectus supplement if any such Notes are taken.</w:t>
      </w:r>
    </w:p>
    <w:p>
      <w:pPr>
        <w:spacing w:after="0" w:line="93"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underwriter may offer the Notes through negotiated transactions or otherwise at market prices prevailing at the time of sale, at prices related to prevailing market prices or at negotiated prices, subject to receipt of acceptance by them and subject to their right to reject any order in whole or in part. The underwriter may effect such transactions by selling the Notes to or through dealers, and such dealers may receive compensation in the form of discounts, concessions or commissions from the underwriters and/or purchasers of the Notes for whom they may act as agents or to whom they may sell as principal. The underwriter may offer and sell Notes through certain of its affiliates. The difference between the price at which the underwriter purchases the Notes and the price at which the underwriter resells such Notes may be deemed underwriting compensation.</w:t>
      </w:r>
    </w:p>
    <w:p>
      <w:pPr>
        <w:spacing w:after="0" w:line="106" w:lineRule="exact"/>
        <w:rPr>
          <w:sz w:val="20"/>
          <w:szCs w:val="20"/>
          <w:color w:val="auto"/>
        </w:rPr>
      </w:pPr>
    </w:p>
    <w:p>
      <w:pPr>
        <w:ind w:left="560"/>
        <w:spacing w:after="0"/>
        <w:tabs>
          <w:tab w:leader="none" w:pos="10100" w:val="left"/>
        </w:tabs>
        <w:rPr>
          <w:sz w:val="20"/>
          <w:szCs w:val="20"/>
          <w:color w:val="auto"/>
        </w:rPr>
      </w:pPr>
      <w:r>
        <w:rPr>
          <w:rFonts w:ascii="Arial" w:cs="Arial" w:eastAsia="Arial" w:hAnsi="Arial"/>
          <w:sz w:val="16"/>
          <w:szCs w:val="16"/>
          <w:color w:val="auto"/>
        </w:rPr>
        <w:t>Expenses associated with this offering to be paid by us, other than underwriting discounts, are estimated to be approximately U.S.$</w:t>
      </w:r>
      <w:r>
        <w:rPr>
          <w:sz w:val="20"/>
          <w:szCs w:val="20"/>
          <w:color w:val="auto"/>
        </w:rPr>
        <w:tab/>
      </w:r>
      <w:r>
        <w:rPr>
          <w:rFonts w:ascii="Arial" w:cs="Arial" w:eastAsia="Arial" w:hAnsi="Arial"/>
          <w:sz w:val="14"/>
          <w:szCs w:val="14"/>
          <w:color w:val="auto"/>
        </w:rPr>
        <w:t>.</w:t>
      </w:r>
    </w:p>
    <w:p>
      <w:pPr>
        <w:spacing w:after="0" w:line="181" w:lineRule="exact"/>
        <w:rPr>
          <w:sz w:val="20"/>
          <w:szCs w:val="20"/>
          <w:color w:val="auto"/>
        </w:rPr>
      </w:pPr>
    </w:p>
    <w:p>
      <w:pPr>
        <w:ind w:left="120" w:right="200" w:firstLine="440"/>
        <w:spacing w:after="0" w:line="268" w:lineRule="auto"/>
        <w:rPr>
          <w:sz w:val="20"/>
          <w:szCs w:val="20"/>
          <w:color w:val="auto"/>
        </w:rPr>
      </w:pPr>
      <w:r>
        <w:rPr>
          <w:rFonts w:ascii="Arial" w:cs="Arial" w:eastAsia="Arial" w:hAnsi="Arial"/>
          <w:sz w:val="18"/>
          <w:szCs w:val="18"/>
          <w:color w:val="auto"/>
        </w:rPr>
        <w:t>We have also agreed to indemnify the underwriter against certain liabilities, including liabilities under the Securities Act of 1933, as amended, or to contribute to payments which the underwriter may be required to make in respect of any such liabilities.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Issue of Notes</w:t>
      </w:r>
    </w:p>
    <w:p>
      <w:pPr>
        <w:spacing w:after="0" w:line="83" w:lineRule="exact"/>
        <w:rPr>
          <w:sz w:val="20"/>
          <w:szCs w:val="20"/>
          <w:color w:val="auto"/>
        </w:rPr>
      </w:pPr>
    </w:p>
    <w:p>
      <w:pPr>
        <w:ind w:left="120" w:right="40" w:firstLine="440"/>
        <w:spacing w:after="0" w:line="294" w:lineRule="auto"/>
        <w:rPr>
          <w:sz w:val="20"/>
          <w:szCs w:val="20"/>
          <w:color w:val="auto"/>
        </w:rPr>
      </w:pPr>
      <w:r>
        <w:rPr>
          <w:rFonts w:ascii="Arial" w:cs="Arial" w:eastAsia="Arial" w:hAnsi="Arial"/>
          <w:sz w:val="16"/>
          <w:szCs w:val="16"/>
          <w:color w:val="auto"/>
        </w:rPr>
        <w:t>We do not intend to apply to list the Additional Notes on any securities exchange or arrange for the Additional Notes to be quoted on any automated quotation system. The trading market for the Additional Notes may not be maintained. We have been advised by the underwriter that it presently intends to make a market in the Additional Notes after completion of the offering. However, it is under no obligation to do so and may discontinue any market-making activities at any time without any notice. We cannot assure the liquidity of the trading market for the Notes. If an active public trading market for the Additional Notes is not maintained, the market price and liquidity of the Additional Notes may be adversely affected.</w:t>
      </w:r>
    </w:p>
    <w:p>
      <w:pPr>
        <w:spacing w:after="0" w:line="102"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In connection with the offering of the Notes, the underwriter may engage in transactions that stabilize, maintain or otherwise affect the price of the Notes. Specifically, the underwriter may overallot in connection with the offering, creating a short position. In addition, the underwriter may bid for, and purchase, the Notes in the open market to cover short positions or to stabilize the price of the Notes. Any of these activities may stabilize or maintain the market price of the Notes above independent market levels, but no representation is made hereby that the underwriter will engage in any of those transactions or of the magnitude of any effect that the transactions described above may have on the market price of the Notes. The underwriter will not be required to engage in these activities, and if it engages in these activities, it may end any of these activities at any time without notice.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7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or the United Kingdom. For these purposes, a retail investor means a person who is one (or more) of: (i) a retail client as defined in point (11) of Article 4(1) of Directive 2014/65/EU (as amended, “MiFID II”); or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No. 2017/1129 (as amended, the “Prospectus Regulation”).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and the United Kingdom may be unlawful under the PRIIPs Regulation. This prospectus supplement has been prepared on the basis that any offer of Notes in any Member State of the EEA and the United Kingdom will be made pursuant to an exemption under the Prospectus Regulation from the requirement to publish a prospectus for offers of Notes. This prospectus supplement is not a prospectus for the purposes of the Prospectus Regulation. References to Regulations or Directives include, in relation to the United Kingdom, those Regulations or Directives as they form part of United Kingdom domestic law by virtue of the European Union (Withdrawal) Act 2018 or have been implemented in United Kingdom domestic law, as appropriate.</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Kingdom</w:t>
      </w:r>
    </w:p>
    <w:p>
      <w:pPr>
        <w:spacing w:after="0" w:line="7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Luxembourg</w:t>
      </w:r>
    </w:p>
    <w:p>
      <w:pPr>
        <w:spacing w:after="0" w:line="7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terms and conditions relating to this prospectus supplement have not been approved by and will not be submitted for approval to the Luxembourg Financial Services Authority (</w:t>
      </w:r>
      <w:r>
        <w:rPr>
          <w:rFonts w:ascii="Arial" w:cs="Arial" w:eastAsia="Arial" w:hAnsi="Arial"/>
          <w:sz w:val="16"/>
          <w:szCs w:val="16"/>
          <w:i w:val="1"/>
          <w:iCs w:val="1"/>
          <w:color w:val="auto"/>
        </w:rPr>
        <w:t>Commission de Surveillance du Secteur Financier</w:t>
      </w:r>
      <w:r>
        <w:rPr>
          <w:rFonts w:ascii="Arial" w:cs="Arial" w:eastAsia="Arial" w:hAnsi="Arial"/>
          <w:sz w:val="16"/>
          <w:szCs w:val="16"/>
          <w:color w:val="auto"/>
        </w:rPr>
        <w:t>) for purposes of public offering or sale in the Grand Duchy of Luxembourg (“Luxembourg”). 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77" w:lineRule="exact"/>
        <w:rPr>
          <w:sz w:val="20"/>
          <w:szCs w:val="20"/>
          <w:color w:val="auto"/>
        </w:rPr>
      </w:pPr>
    </w:p>
    <w:p>
      <w:pPr>
        <w:ind w:left="120" w:right="240" w:firstLine="440"/>
        <w:spacing w:after="0" w:line="268"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3"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initial purchasers are not required to comply with the disclosure requirements of NI 33-105 regarding underwriter conflicts of interest in connection with this offering.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7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in Hong Kong as defined in the Securities and Futures Ordinance and any rules made thereunder.</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Notes have not been and will not be registered under the Financial Instruments and Exchange Act of Japan (Act No. 25 of 1948, as amended) (the “FIEA”). The Notes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7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Neither this prospectus supplement nor the accompanying prospectus has been, and neither will be, registered as a prospectus with the Monetary Authority of Singapore. Accordingly, the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Notes, whether directly or indirectly, to persons in Singapore, other than (i) to an institutional investor (as defined in Section 4A of the SFA) pursuant to Section 274 of the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60"/>
        <w:spacing w:after="0" w:line="306" w:lineRule="auto"/>
        <w:rPr>
          <w:sz w:val="20"/>
          <w:szCs w:val="20"/>
          <w:color w:val="auto"/>
        </w:rPr>
      </w:pPr>
      <w:r>
        <w:rPr>
          <w:rFonts w:ascii="Arial" w:cs="Arial" w:eastAsia="Arial" w:hAnsi="Arial"/>
          <w:sz w:val="16"/>
          <w:szCs w:val="16"/>
          <w:color w:val="auto"/>
        </w:rPr>
        <w:t>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w:t>
      </w:r>
    </w:p>
    <w:p>
      <w:pPr>
        <w:spacing w:after="0" w:line="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any Notes are subscribed or purchased under Section 275 by a relevant person which is:</w:t>
      </w:r>
    </w:p>
    <w:p>
      <w:pPr>
        <w:spacing w:after="0" w:line="77" w:lineRule="exact"/>
        <w:rPr>
          <w:sz w:val="20"/>
          <w:szCs w:val="20"/>
          <w:color w:val="auto"/>
        </w:rPr>
      </w:pPr>
    </w:p>
    <w:p>
      <w:pPr>
        <w:ind w:left="1080" w:right="60" w:hanging="532"/>
        <w:spacing w:after="0" w:line="325"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45" w:lineRule="exact"/>
        <w:rPr>
          <w:sz w:val="20"/>
          <w:szCs w:val="20"/>
          <w:color w:val="auto"/>
        </w:rPr>
      </w:pPr>
    </w:p>
    <w:p>
      <w:pPr>
        <w:ind w:left="1080" w:right="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37"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76" w:lineRule="exact"/>
        <w:rPr>
          <w:rFonts w:ascii="Arial" w:cs="Arial" w:eastAsia="Arial" w:hAnsi="Arial"/>
          <w:sz w:val="18"/>
          <w:szCs w:val="18"/>
          <w:color w:val="auto"/>
        </w:rPr>
      </w:pPr>
    </w:p>
    <w:p>
      <w:pPr>
        <w:ind w:left="1140" w:hanging="59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76"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76"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1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Notification under Section 309B(1) of the SFA—The Notes shall be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Switzerland</w:t>
      </w:r>
    </w:p>
    <w:p>
      <w:pPr>
        <w:spacing w:after="0" w:line="77" w:lineRule="exact"/>
        <w:rPr>
          <w:sz w:val="20"/>
          <w:szCs w:val="20"/>
          <w:color w:val="auto"/>
        </w:rPr>
      </w:pPr>
    </w:p>
    <w:p>
      <w:pPr>
        <w:ind w:left="120" w:right="120" w:firstLine="440"/>
        <w:spacing w:after="0" w:line="294" w:lineRule="auto"/>
        <w:rPr>
          <w:sz w:val="20"/>
          <w:szCs w:val="20"/>
          <w:color w:val="auto"/>
        </w:rPr>
      </w:pPr>
      <w:r>
        <w:rPr>
          <w:rFonts w:ascii="Arial" w:cs="Arial" w:eastAsia="Arial" w:hAnsi="Arial"/>
          <w:sz w:val="16"/>
          <w:szCs w:val="16"/>
          <w:color w:val="auto"/>
        </w:rPr>
        <w:t>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Taiwan</w:t>
      </w:r>
    </w:p>
    <w:p>
      <w:pPr>
        <w:spacing w:after="0" w:line="77"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The Notes have not been and will not be registered or filed with, or approved by, the Financial Supervisory Commission of Taiwan and/or any other regulatory authority of Taiwan pursuant to relevant securities laws and regulations and may not be sold, issued or offered within Taiwan through a public offering or in circumstances which could constitute an offer within the meaning of the Securities and Exchange Act of Taiwan or relevant laws and regulations that require a registration, filing or approval of the Financial Supervisory Commission of Taiwan and/or other regulatory authority of Taiwan. No person or entity in Taiwan has been authorized to offer or sell the Notes in Taiwan.</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 and Sale of the Notes</w:t>
      </w:r>
    </w:p>
    <w:p>
      <w:pPr>
        <w:spacing w:after="0" w:line="83"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We expect to deliver the Notes against payment for the Notes on or about the date specified in the last paragraph of the cover page of this prospectus supplement, which will be the fifth business day following the date of the pricing of the Notes. Since trades in the secondary market generally settle in two business days, purchasers who wish to trade Notes on any date prior to the second business day before delivery will be required, by virtue of the fact that the Notes initially will settle in T+5, to specify alternative settlement arrangements to prevent a failed settlement.</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83"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From time to time in the ordinary course of their respective businesses, the underwriter and its affiliates have engaged in and may in the future engage in commercial banking, derivatives and/or financial advisory, investment banking and other commercial transactions and services with us and our affiliates for which they have received or will receive customary fees and commissions.</w:t>
      </w:r>
    </w:p>
    <w:p>
      <w:pPr>
        <w:spacing w:after="0" w:line="12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addition, in the ordinary course of their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or its affiliates may hedge their credit exposure to us consistent with their customary risk management policies. Typically, the underwriter and its affiliates would hedge such exposure by entering into transactions that consist of either the purchase of credit default swaps or the creation of short positions in our securities, including potentially the Notes. Any such credit default swaps and short positions could adversely affect future trading prices of the Notes.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83"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Certain affiliates of the underwriter may be holders of our commercial paper. As a result of the anticipated use of proceeds here, one or more affiliates of the underwriter may receive a portion of the net proceeds from the offering of the Notes offered hereby in the form of the repayment of indebtedness. Accordingly, the offering of the Notes is being made pursuant to Rule 5121 of the Financial Industry Regulatory Authority, Inc. Pursuant to this rule, the appointment of a qualified independent underwriter is not necessary in connection with this offering, because the conditions of Rule 5121(a)(1)(C) are satisfied.</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Certain legal matters in connection with the notes offered hereby will be passed upon for us by Gibson, Dunn &amp; Crutcher LLP, New York, New York, Loyens &amp; Loeff Luxembourg S.à r.l., Luxembourg and STvB Advocaten, Curaçao and for the underwriter by Davis Polk &amp; Wardwell LLP, New York, New York.</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left="120" w:right="280" w:firstLine="440"/>
        <w:spacing w:after="0" w:line="298"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of Schlumberger Limited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left="120" w:right="120" w:firstLine="440"/>
        <w:spacing w:after="0" w:line="268" w:lineRule="auto"/>
        <w:rPr>
          <w:sz w:val="20"/>
          <w:szCs w:val="20"/>
          <w:color w:val="auto"/>
        </w:rPr>
      </w:pPr>
      <w:r>
        <w:rPr>
          <w:rFonts w:ascii="Arial" w:cs="Arial" w:eastAsia="Arial" w:hAnsi="Arial"/>
          <w:sz w:val="18"/>
          <w:szCs w:val="18"/>
          <w:color w:val="auto"/>
        </w:rPr>
        <w:t>The Guarantor files annual, quarterly and other reports and other information with the SEC. You may read and download its filings over the Internet from several commercial document retrieval services, as well as at the SEC’s website at www.sec.gov.</w:t>
      </w:r>
    </w:p>
    <w:p>
      <w:pPr>
        <w:spacing w:after="0" w:line="118" w:lineRule="exact"/>
        <w:rPr>
          <w:sz w:val="20"/>
          <w:szCs w:val="20"/>
          <w:color w:val="auto"/>
        </w:rPr>
      </w:pPr>
    </w:p>
    <w:p>
      <w:pPr>
        <w:ind w:left="120" w:right="120" w:firstLine="440"/>
        <w:spacing w:after="0" w:line="256" w:lineRule="auto"/>
        <w:rPr>
          <w:sz w:val="20"/>
          <w:szCs w:val="20"/>
          <w:color w:val="auto"/>
        </w:rPr>
      </w:pPr>
      <w:r>
        <w:rPr>
          <w:rFonts w:ascii="Arial" w:cs="Arial" w:eastAsia="Arial" w:hAnsi="Arial"/>
          <w:sz w:val="18"/>
          <w:szCs w:val="18"/>
          <w:color w:val="auto"/>
        </w:rPr>
        <w:t>In addition, the Guarantor’s SEC filings are available on its website at www.slb.com at no cost as soon as reasonably practicable after its electronic filing or furnishing thereof with the SEC. Please note that any internet addresses provided in this prospectus supplement and the accompanying prospectus are for informational purposes only and are not intended to be hyperlinks. Accordingly, no information found on or accessible through such internet addresses is intended or deemed to be incorporated by reference herein.</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64" w:lineRule="exact"/>
        <w:rPr>
          <w:sz w:val="20"/>
          <w:szCs w:val="20"/>
          <w:color w:val="auto"/>
        </w:rPr>
      </w:pPr>
    </w:p>
    <w:p>
      <w:pPr>
        <w:ind w:left="120" w:right="120" w:firstLine="440"/>
        <w:spacing w:after="0" w:line="294" w:lineRule="auto"/>
        <w:rPr>
          <w:sz w:val="20"/>
          <w:szCs w:val="20"/>
          <w:color w:val="auto"/>
        </w:rPr>
      </w:pPr>
      <w:r>
        <w:rPr>
          <w:rFonts w:ascii="Arial" w:cs="Arial" w:eastAsia="Arial" w:hAnsi="Arial"/>
          <w:sz w:val="16"/>
          <w:szCs w:val="16"/>
          <w:color w:val="auto"/>
        </w:rPr>
        <w:t>The SEC allows us to incorporate information into this prospectus supplement and the accompanying prospectus by reference, which means that we can disclose important information to you by referring you to another document that the Guarantor has filed separately with the SEC. The information incorporated by reference is deemed to be part of this prospectus supplement and the accompanying prospectus, except for any information superseded by information contained directly in this prospectus supplement or the accompanying prospectus. These documents contain important information about the Schlumberger Group and its financial condition, business and results.</w:t>
      </w:r>
    </w:p>
    <w:p>
      <w:pPr>
        <w:spacing w:after="0" w:line="102"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We are incorporating by reference into this prospectus supplement and the accompanying prospectus the following documents listed below and any other filings made by the Guarantor under Section 13(a), 13(c), 14 or 15(d) of the Exchange Act after the date of this prospectus supplement and prior to the termination of this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18" w:lineRule="exact"/>
        <w:rPr>
          <w:sz w:val="20"/>
          <w:szCs w:val="20"/>
          <w:color w:val="auto"/>
        </w:rPr>
      </w:pPr>
    </w:p>
    <w:p>
      <w:pPr>
        <w:ind w:left="760" w:right="120" w:hanging="212"/>
        <w:spacing w:after="0" w:line="325"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the Guarantor’s Annual Report on </w:t>
      </w:r>
      <w:hyperlink r:id="rId59">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2019, as filed with the SEC on January 22, 2020 (including the portions of the proxy statement for the Guarantor’s 2020 annual meeting of shareholders incorporated by reference therein);</w:t>
      </w:r>
    </w:p>
    <w:p>
      <w:pPr>
        <w:spacing w:after="0" w:line="1" w:lineRule="exact"/>
        <w:rPr>
          <w:rFonts w:ascii="Arial" w:cs="Arial" w:eastAsia="Arial" w:hAnsi="Arial"/>
          <w:sz w:val="16"/>
          <w:szCs w:val="16"/>
          <w:color w:val="auto"/>
        </w:rPr>
      </w:pPr>
    </w:p>
    <w:p>
      <w:pPr>
        <w:ind w:left="760" w:right="60" w:hanging="212"/>
        <w:spacing w:after="0" w:line="268"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Guarantor’s Quarterly Reports on Form 10-Q for the fiscal quarter ended </w:t>
      </w:r>
      <w:hyperlink r:id="rId60">
        <w:r>
          <w:rPr>
            <w:rFonts w:ascii="Arial" w:cs="Arial" w:eastAsia="Arial" w:hAnsi="Arial"/>
            <w:sz w:val="18"/>
            <w:szCs w:val="18"/>
            <w:u w:val="single" w:color="auto"/>
            <w:color w:val="0000EE"/>
          </w:rPr>
          <w:t>March 31, 2020</w:t>
        </w:r>
      </w:hyperlink>
      <w:r>
        <w:rPr>
          <w:rFonts w:ascii="Arial" w:cs="Arial" w:eastAsia="Arial" w:hAnsi="Arial"/>
          <w:sz w:val="18"/>
          <w:szCs w:val="18"/>
          <w:color w:val="auto"/>
        </w:rPr>
        <w:t xml:space="preserve">, as filed with the SEC on April 22, 2020, and for the fiscal quarter ended </w:t>
      </w:r>
      <w:hyperlink r:id="rId61">
        <w:r>
          <w:rPr>
            <w:rFonts w:ascii="Arial" w:cs="Arial" w:eastAsia="Arial" w:hAnsi="Arial"/>
            <w:sz w:val="18"/>
            <w:szCs w:val="18"/>
            <w:u w:val="single" w:color="auto"/>
            <w:color w:val="0000EE"/>
          </w:rPr>
          <w:t>June 30, 2020</w:t>
        </w:r>
      </w:hyperlink>
      <w:r>
        <w:rPr>
          <w:rFonts w:ascii="Arial" w:cs="Arial" w:eastAsia="Arial" w:hAnsi="Arial"/>
          <w:sz w:val="18"/>
          <w:szCs w:val="18"/>
          <w:color w:val="auto"/>
        </w:rPr>
        <w:t>, as filed with the SEC on July 29, 2020; and</w:t>
      </w:r>
    </w:p>
    <w:p>
      <w:pPr>
        <w:spacing w:after="0" w:line="118"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60" w:right="220" w:hanging="212"/>
        <w:spacing w:after="0" w:line="268" w:lineRule="auto"/>
        <w:tabs>
          <w:tab w:leader="none" w:pos="760" w:val="left"/>
        </w:tabs>
        <w:numPr>
          <w:ilvl w:val="0"/>
          <w:numId w:val="28"/>
        </w:numPr>
        <w:rPr>
          <w:rFonts w:ascii="Arial" w:cs="Arial" w:eastAsia="Arial" w:hAnsi="Arial"/>
          <w:sz w:val="18"/>
          <w:szCs w:val="18"/>
          <w:color w:val="0000EE"/>
        </w:rPr>
      </w:pPr>
      <w:hyperlink r:id="rId63">
        <w:r>
          <w:rPr>
            <w:rFonts w:ascii="Arial" w:cs="Arial" w:eastAsia="Arial" w:hAnsi="Arial"/>
            <w:sz w:val="18"/>
            <w:szCs w:val="18"/>
            <w:color w:val="auto"/>
          </w:rPr>
          <w:t xml:space="preserve">the Guarantor’s Current Reports on Form 8-K as filed with the SEC on </w:t>
        </w:r>
        <w:r>
          <w:rPr>
            <w:rFonts w:ascii="Arial" w:cs="Arial" w:eastAsia="Arial" w:hAnsi="Arial"/>
            <w:sz w:val="18"/>
            <w:szCs w:val="18"/>
            <w:u w:val="single" w:color="auto"/>
            <w:color w:val="0000EE"/>
          </w:rPr>
          <w:t>February 14,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17, 2020</w:t>
        </w:r>
        <w:r>
          <w:rPr>
            <w:rFonts w:ascii="Arial" w:cs="Arial" w:eastAsia="Arial" w:hAnsi="Arial"/>
            <w:sz w:val="18"/>
            <w:szCs w:val="18"/>
            <w:color w:val="auto"/>
          </w:rPr>
          <w:t xml:space="preserve"> (Item 8.01 only), </w:t>
        </w:r>
        <w:r>
          <w:rPr>
            <w:rFonts w:ascii="Arial" w:cs="Arial" w:eastAsia="Arial" w:hAnsi="Arial"/>
            <w:sz w:val="18"/>
            <w:szCs w:val="18"/>
            <w:u w:val="single" w:color="auto"/>
            <w:color w:val="0000EE"/>
          </w:rPr>
          <w:t>June</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EE"/>
          </w:rPr>
          <w:t>16, 2020</w:t>
        </w:r>
        <w:r>
          <w:rPr>
            <w:rFonts w:ascii="Arial" w:cs="Arial" w:eastAsia="Arial" w:hAnsi="Arial"/>
            <w:sz w:val="18"/>
            <w:szCs w:val="18"/>
            <w:color w:val="0000EE"/>
          </w:rPr>
          <w:t xml:space="preserve"> </w:t>
        </w:r>
        <w:r>
          <w:rPr>
            <w:rFonts w:ascii="Arial" w:cs="Arial" w:eastAsia="Arial" w:hAnsi="Arial"/>
            <w:sz w:val="18"/>
            <w:szCs w:val="18"/>
            <w:color w:val="000000"/>
          </w:rPr>
          <w:t>(Item 2.05 only),</w:t>
        </w:r>
        <w:r>
          <w:rPr>
            <w:rFonts w:ascii="Arial" w:cs="Arial" w:eastAsia="Arial" w:hAnsi="Arial"/>
            <w:sz w:val="18"/>
            <w:szCs w:val="18"/>
            <w:color w:val="0000EE"/>
          </w:rPr>
          <w:t xml:space="preserve"> </w:t>
        </w:r>
      </w:hyperlink>
      <w:hyperlink r:id="rId64">
        <w:r>
          <w:rPr>
            <w:rFonts w:ascii="Arial" w:cs="Arial" w:eastAsia="Arial" w:hAnsi="Arial"/>
            <w:sz w:val="18"/>
            <w:szCs w:val="18"/>
            <w:u w:val="single" w:color="auto"/>
            <w:color w:val="0000EE"/>
          </w:rPr>
          <w:t xml:space="preserve">June 26, 2020 </w:t>
        </w:r>
      </w:hyperlink>
      <w:hyperlink r:id="rId6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65">
        <w:r>
          <w:rPr>
            <w:rFonts w:ascii="Arial" w:cs="Arial" w:eastAsia="Arial" w:hAnsi="Arial"/>
            <w:sz w:val="18"/>
            <w:szCs w:val="18"/>
            <w:u w:val="single" w:color="auto"/>
            <w:color w:val="0000EE"/>
          </w:rPr>
          <w:t xml:space="preserve">July 24, 2020 </w:t>
        </w:r>
      </w:hyperlink>
      <w:hyperlink r:id="rId63">
        <w:r>
          <w:rPr>
            <w:rFonts w:ascii="Arial" w:cs="Arial" w:eastAsia="Arial" w:hAnsi="Arial"/>
            <w:sz w:val="18"/>
            <w:szCs w:val="18"/>
            <w:color w:val="000000"/>
          </w:rPr>
          <w:t>(Item 5.02 only).</w:t>
        </w:r>
      </w:hyperlink>
    </w:p>
    <w:p>
      <w:pPr>
        <w:spacing w:after="0" w:line="118" w:lineRule="exact"/>
        <w:rPr>
          <w:rFonts w:ascii="Arial" w:cs="Arial" w:eastAsia="Arial" w:hAnsi="Arial"/>
          <w:sz w:val="18"/>
          <w:szCs w:val="18"/>
          <w:color w:val="0000EE"/>
        </w:rPr>
      </w:pPr>
    </w:p>
    <w:p>
      <w:pPr>
        <w:ind w:left="120" w:firstLine="440"/>
        <w:spacing w:after="0" w:line="291" w:lineRule="auto"/>
        <w:rPr>
          <w:sz w:val="20"/>
          <w:szCs w:val="20"/>
          <w:color w:val="auto"/>
        </w:rPr>
      </w:pPr>
      <w:r>
        <w:rPr>
          <w:rFonts w:ascii="Arial" w:cs="Arial" w:eastAsia="Arial" w:hAnsi="Arial"/>
          <w:sz w:val="16"/>
          <w:szCs w:val="16"/>
          <w:color w:val="auto"/>
        </w:rPr>
        <w:t>Any statement contained in this prospectus supplement and accompanying prospectus or in a document incorporated or deemed to be incorporated by reference in this prospectus supplement and accompanying prospectus shall be deemed to be modified or superseded for purposes of this prospectus supplement to the extent that a statement contained in this prospectus supplement and accompanying prospectus or in any other document subsequently filed with the SEC which is or is deemed to be incorporated by reference in this prospectus supplement and accompanying prospectus modifies or supersedes such statement. No such statement so modified or superseded shall be deemed, except as so modified or superseded, to constitute a part of this prospectus supplement and accompanying prospectus.</w:t>
      </w:r>
    </w:p>
    <w:p>
      <w:pPr>
        <w:spacing w:after="0" w:line="106" w:lineRule="exact"/>
        <w:rPr>
          <w:rFonts w:ascii="Arial" w:cs="Arial" w:eastAsia="Arial" w:hAnsi="Arial"/>
          <w:sz w:val="18"/>
          <w:szCs w:val="18"/>
          <w:color w:val="0000EE"/>
        </w:rPr>
      </w:pPr>
    </w:p>
    <w:p>
      <w:pPr>
        <w:ind w:left="120" w:right="140" w:firstLine="440"/>
        <w:spacing w:after="0" w:line="259"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supplement or the accompanying prospectus you should rely on the most recent information. If information in an incorporated document conflicts with information in another incorporated document, you should rely on the information in the most recent incorporated document.</w:t>
      </w:r>
    </w:p>
    <w:p>
      <w:pPr>
        <w:spacing w:after="0" w:line="126" w:lineRule="exact"/>
        <w:rPr>
          <w:rFonts w:ascii="Arial" w:cs="Arial" w:eastAsia="Arial" w:hAnsi="Arial"/>
          <w:sz w:val="18"/>
          <w:szCs w:val="18"/>
          <w:color w:val="0000EE"/>
        </w:rPr>
      </w:pPr>
    </w:p>
    <w:p>
      <w:pPr>
        <w:ind w:left="120" w:firstLine="440"/>
        <w:spacing w:after="0" w:line="259"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supplement or the accompanying prospectus or in the incorporated document, by making such a request in writing or by telephone to the following address:</w:t>
      </w:r>
    </w:p>
    <w:p>
      <w:pPr>
        <w:spacing w:after="0" w:line="126"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Schlumberger Limited</w:t>
      </w:r>
    </w:p>
    <w:p>
      <w:pPr>
        <w:spacing w:after="0" w:line="15"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5599 San Felipe Street, 17th Floor</w:t>
      </w:r>
    </w:p>
    <w:p>
      <w:pPr>
        <w:spacing w:after="0" w:line="9"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Houston, Texas 77056</w:t>
      </w:r>
    </w:p>
    <w:p>
      <w:pPr>
        <w:spacing w:after="0" w:line="9" w:lineRule="exact"/>
        <w:rPr>
          <w:rFonts w:ascii="Arial" w:cs="Arial" w:eastAsia="Arial" w:hAnsi="Arial"/>
          <w:sz w:val="18"/>
          <w:szCs w:val="18"/>
          <w:color w:val="0000EE"/>
        </w:rPr>
      </w:pPr>
    </w:p>
    <w:p>
      <w:pPr>
        <w:ind w:left="5500" w:hanging="424"/>
        <w:spacing w:after="0"/>
        <w:tabs>
          <w:tab w:leader="none" w:pos="5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375-3535</w:t>
      </w:r>
    </w:p>
    <w:p>
      <w:pPr>
        <w:spacing w:after="0" w:line="9" w:lineRule="exact"/>
        <w:rPr>
          <w:rFonts w:ascii="Arial" w:cs="Arial" w:eastAsia="Arial" w:hAnsi="Arial"/>
          <w:sz w:val="18"/>
          <w:szCs w:val="18"/>
          <w:color w:val="auto"/>
        </w:rPr>
      </w:pPr>
    </w:p>
    <w:p>
      <w:pPr>
        <w:ind w:left="460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51" w:lineRule="exact"/>
        <w:rPr>
          <w:rFonts w:ascii="Arial" w:cs="Arial" w:eastAsia="Arial" w:hAnsi="Arial"/>
          <w:sz w:val="18"/>
          <w:szCs w:val="18"/>
          <w:color w:val="0000EE"/>
        </w:rPr>
      </w:pPr>
    </w:p>
    <w:p>
      <w:pPr>
        <w:ind w:left="120" w:right="40" w:firstLine="440"/>
        <w:spacing w:after="0" w:line="268" w:lineRule="auto"/>
        <w:rPr>
          <w:sz w:val="20"/>
          <w:szCs w:val="20"/>
          <w:color w:val="auto"/>
        </w:rPr>
      </w:pPr>
      <w:r>
        <w:rPr>
          <w:rFonts w:ascii="Arial" w:cs="Arial" w:eastAsia="Arial" w:hAnsi="Arial"/>
          <w:sz w:val="18"/>
          <w:szCs w:val="18"/>
          <w:color w:val="auto"/>
        </w:rPr>
        <w:t>Except as provided above, no other information (including information on or accessible through the Guarantor’s website) is incorporated by reference into this prospectus supplement and accompanying prospectus.</w:t>
      </w:r>
    </w:p>
    <w:p>
      <w:pPr>
        <w:spacing w:after="0" w:line="118"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2417445</wp:posOffset>
            </wp:positionV>
            <wp:extent cx="6995160" cy="17576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99516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Schlumberger Investment SA</w:t>
      </w: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Senior Debt Securities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Fully and Unconditionally Guaranteed by</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396875</wp:posOffset>
            </wp:positionV>
            <wp:extent cx="1474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Schlumberger Investment SA (the “Company”) may, from time to time, offer to sell senior debt securities. Such senior debt securities will be fully and unconditionally guaranteed by Schlumberger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252" w:lineRule="exact"/>
        <w:rPr>
          <w:sz w:val="20"/>
          <w:szCs w:val="20"/>
          <w:color w:val="auto"/>
        </w:rPr>
      </w:pPr>
    </w:p>
    <w:p>
      <w:pPr>
        <w:ind w:left="120" w:firstLine="440"/>
        <w:spacing w:after="0" w:line="239" w:lineRule="auto"/>
        <w:rPr>
          <w:sz w:val="20"/>
          <w:szCs w:val="20"/>
          <w:color w:val="auto"/>
        </w:rPr>
      </w:pPr>
      <w:r>
        <w:rPr>
          <w:rFonts w:ascii="Arial" w:cs="Arial" w:eastAsia="Arial" w:hAnsi="Arial"/>
          <w:sz w:val="22"/>
          <w:szCs w:val="22"/>
          <w:b w:val="1"/>
          <w:bCs w:val="1"/>
          <w:color w:val="auto"/>
        </w:rPr>
        <w:t>Investing in the securities involves risks. You should consider carefully the risk factors identified in Part I, Item 1A “Risk Factors” of our most recent Annual Report on Form 10-K, as well as any risk factors we may describe in any subsequent periodic reports or information we file with the SEC, or in any prospectus supplement, before making an investment in the offered securities.</w:t>
      </w:r>
    </w:p>
    <w:p>
      <w:pPr>
        <w:sectPr>
          <w:pgSz w:w="11900" w:h="16838" w:orient="portrait"/>
          <w:cols w:equalWidth="0" w:num="1">
            <w:col w:w="11100"/>
          </w:cols>
          <w:pgMar w:left="320" w:top="459" w:right="479" w:bottom="0" w:gutter="0" w:footer="0" w:header="0"/>
        </w:sectPr>
      </w:pPr>
    </w:p>
    <w:bookmarkStart w:id="47" w:name="page48"/>
    <w:bookmarkEnd w:id="47"/>
    <w:p>
      <w:pPr>
        <w:ind w:firstLine="440"/>
        <w:spacing w:after="0" w:line="308"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3037205</wp:posOffset>
            </wp:positionH>
            <wp:positionV relativeFrom="page">
              <wp:posOffset>474980</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359410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The date of this prospectus is April 25, 2019</w:t>
      </w:r>
    </w:p>
    <w:p>
      <w:pPr>
        <w:sectPr>
          <w:pgSz w:w="11900" w:h="16838" w:orient="portrait"/>
          <w:cols w:equalWidth="0" w:num="1">
            <w:col w:w="10540"/>
          </w:cols>
          <w:pgMar w:left="440" w:top="1178" w:right="9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6280" w:type="dxa"/>
            <w:vAlign w:val="bottom"/>
          </w:tcPr>
          <w:p>
            <w:pPr>
              <w:spacing w:after="0"/>
              <w:rPr>
                <w:sz w:val="20"/>
                <w:szCs w:val="20"/>
                <w:color w:val="auto"/>
              </w:rPr>
            </w:pPr>
          </w:p>
        </w:tc>
      </w:tr>
      <w:tr>
        <w:trPr>
          <w:trHeight w:val="513"/>
        </w:trPr>
        <w:tc>
          <w:tcPr>
            <w:tcW w:w="4800" w:type="dxa"/>
            <w:vAlign w:val="bottom"/>
          </w:tcPr>
          <w:p>
            <w:pPr>
              <w:spacing w:after="0"/>
              <w:rPr>
                <w:sz w:val="24"/>
                <w:szCs w:val="24"/>
                <w:color w:val="auto"/>
              </w:rPr>
            </w:pPr>
          </w:p>
        </w:tc>
        <w:tc>
          <w:tcPr>
            <w:tcW w:w="6280" w:type="dxa"/>
            <w:vAlign w:val="bottom"/>
          </w:tcPr>
          <w:p>
            <w:pPr>
              <w:jc w:val="right"/>
              <w:ind w:right="4710"/>
              <w:spacing w:after="0"/>
              <w:rPr>
                <w:sz w:val="20"/>
                <w:szCs w:val="20"/>
                <w:color w:val="auto"/>
              </w:rPr>
            </w:pPr>
            <w:r>
              <w:rPr>
                <w:rFonts w:ascii="Arial" w:cs="Arial" w:eastAsia="Arial" w:hAnsi="Arial"/>
                <w:sz w:val="18"/>
                <w:szCs w:val="18"/>
                <w:b w:val="1"/>
                <w:bCs w:val="1"/>
                <w:color w:val="auto"/>
                <w:w w:val="97"/>
              </w:rPr>
              <w:t>Table of contents</w:t>
            </w:r>
          </w:p>
        </w:tc>
      </w:tr>
      <w:tr>
        <w:trPr>
          <w:trHeight w:val="459"/>
        </w:trPr>
        <w:tc>
          <w:tcPr>
            <w:tcW w:w="480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About this Prospectus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About the Guarantor</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About the Company</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Where You Can Find More Information</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Incorporation of Documents by Reference</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800" w:type="dxa"/>
            <w:vAlign w:val="bottom"/>
          </w:tcPr>
          <w:p>
            <w:pPr>
              <w:ind w:left="120"/>
              <w:spacing w:after="0"/>
              <w:rPr>
                <w:rFonts w:ascii="Arial" w:cs="Arial" w:eastAsia="Arial" w:hAnsi="Arial"/>
                <w:sz w:val="18"/>
                <w:szCs w:val="18"/>
                <w:u w:val="single" w:color="auto"/>
                <w:color w:val="0000EE"/>
                <w:w w:val="93"/>
              </w:rPr>
            </w:pPr>
            <w:hyperlink w:anchor="page52">
              <w:r>
                <w:rPr>
                  <w:rFonts w:ascii="Arial" w:cs="Arial" w:eastAsia="Arial" w:hAnsi="Arial"/>
                  <w:sz w:val="18"/>
                  <w:szCs w:val="18"/>
                  <w:u w:val="single" w:color="auto"/>
                  <w:color w:val="0000EE"/>
                  <w:w w:val="93"/>
                </w:rPr>
                <w:t>Cautionary Statement Regarding Forward-Looking Statements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Use of Proceeds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Description of Debt Securities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Plan of Distribution</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Validity of the Securities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Experts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and in any accompanying prospectus supplement or in any related free writing prospectus. Neither the Company nor the Guarantor have authorized any other person to provide you with different information.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or financial position of the Company and the Guarantor may have changed since that date. Neither the delivery of this prospectus nor of any prospectus supplement, nor any sale made thereunder, shall under any circumstances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unless otherwise stated or the context otherwise requires:</w:t>
      </w:r>
    </w:p>
    <w:p>
      <w:pPr>
        <w:spacing w:after="0" w:line="13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refers to Schlumberger Investment SA;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“Guarantor” or “Schlumberger” refers to Schlumberger Limited, the ultimate parent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“Schlumberger Group” refers to Schlumberger Limited and its consolidated subsidiaries, including the Company; and</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“us” and “our” and similar expressions refer to Schlumberger Limited and its consolidated subsidiaries, including the Company, except when used in connection with “securities,” in which case these terms refer only to the Company.</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This prospectus is part of an automatic shelf registration statement that we have filed with the SEC as a “well-known seasoned issuer” as defined in Rule 405 under the Securities Act of 1933, as amended.</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9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6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Schlumberger Group and Schlumberger’s financial statements. You can read the registration statement and exhibits on the SEC’s website or at the SEC as described under “Where You Can Find More Information.”</w:t>
      </w: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the Guarantor</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Guarantor, together with its subsidiaries, is the world’s leading provider of technology for reservoir characterization, drilling, production and processing to the oil and gas industry, and supplies the industry’s most comprehensive range of products and services, from exploration through production, and integrated pore-to-pipeline solutions that optimize hydrocarbon recovery to deliver reservoir performance.</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Guarantor was founded in 1926 and incorporated in the former Netherlands Antilles as a public limited company on November 6, 1956 for an unlimited duration. The Netherlands Antilles dissolved on October 10, 2010 and, pursuant to such dissolution, the Guarantor is now governed by the applicable laws of Curaçao. It is entered in the Curaçao Commercial Register with company number 1674. The Guarantor is the ultimate parent of the Company.</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Guarantor has principal executive offices in Paris, Houston, London and The Hague. The principal United States market for Schlumberger’s common stock is the NYSE, where it is traded under the symbol “SLB.”</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organizational status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Schlumberger Investment SA is a Société Anonyme incorporated on August 18, 2011 under the laws of the Grand Duchy of Luxembourg and registered with the Luxembourg Register of Commerce and Companies under number B 163.122. Schlumberger Investment SA’s registered office is at 42-44 Avenue de la Gare, L-1610 Luxembourg and its telephone number is +3522848781045.</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is part of the Schlumberger Group and all of the shares of the Company are owned indirectly by the Guarantor.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Activities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no subsidiaries, and its principal activities are debt issuance and intercompany group financing.</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Guarantor files annual, quarterly and other reports and other information with the SEC. You may read and download its filings over the Internet from several commercial document retrieval services, as well as at the SEC’s website at www.sec.gov.</w:t>
      </w:r>
    </w:p>
    <w:p>
      <w:pPr>
        <w:spacing w:after="0" w:line="17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addition, the Guarantor’s SEC filings are available on its website at www.slb.com at no cost as soon as reasonably practicable after its electronic filing or furnishing thereof with the SEC. Please note that any internet addresses provided in this prospectus are for informational purposes only and are not intended to be hyperlinks. Accordingly, no information found or provided at such internet addresses is intended or deemed to be incorporated by reference herein.</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21"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Schlumberger Group and its financial condition, business and results.</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incorporating by reference into this prospectus the following documents listed below and any other filings made by the Guarantor under Section 13(a), 13(c), 14 or 15(d) of the Exchange Act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92" w:lineRule="exact"/>
        <w:rPr>
          <w:sz w:val="20"/>
          <w:szCs w:val="20"/>
          <w:color w:val="auto"/>
        </w:rPr>
      </w:pPr>
    </w:p>
    <w:p>
      <w:pPr>
        <w:ind w:left="1080" w:right="26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Annual Report on </w:t>
      </w:r>
      <w:hyperlink r:id="rId5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Schlumberger Limited for the fiscal year ended December 31, 2018, as filed with the SEC on January 23, 2019 (including the portions of our proxy statement for our 2019 annual meeting of shareholders incorporated by reference therein);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1"/>
        </w:numPr>
        <w:rPr>
          <w:rFonts w:ascii="Arial" w:cs="Arial" w:eastAsia="Arial" w:hAnsi="Arial"/>
          <w:sz w:val="18"/>
          <w:szCs w:val="18"/>
          <w:color w:val="0000EE"/>
        </w:rPr>
      </w:pPr>
      <w:r>
        <w:rPr>
          <w:rFonts w:ascii="Arial" w:cs="Arial" w:eastAsia="Arial" w:hAnsi="Arial"/>
          <w:sz w:val="18"/>
          <w:szCs w:val="18"/>
          <w:color w:val="auto"/>
        </w:rPr>
        <w:t xml:space="preserve">the Current Reports on Form 8-K or Form 8-K/A of Schlumberger Limited as filed with the SEC on </w:t>
      </w:r>
      <w:hyperlink r:id="rId75">
        <w:r>
          <w:rPr>
            <w:rFonts w:ascii="Arial" w:cs="Arial" w:eastAsia="Arial" w:hAnsi="Arial"/>
            <w:sz w:val="18"/>
            <w:szCs w:val="18"/>
            <w:u w:val="single" w:color="auto"/>
            <w:color w:val="0000EE"/>
          </w:rPr>
          <w:t>February 8,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(Item 5.02 only), </w:t>
      </w:r>
      <w:hyperlink r:id="rId76">
        <w:r>
          <w:rPr>
            <w:rFonts w:ascii="Arial" w:cs="Arial" w:eastAsia="Arial" w:hAnsi="Arial"/>
            <w:sz w:val="18"/>
            <w:szCs w:val="18"/>
            <w:u w:val="single" w:color="auto"/>
            <w:color w:val="0000EE"/>
          </w:rPr>
          <w:t>March 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7">
        <w:r>
          <w:rPr>
            <w:rFonts w:ascii="Arial" w:cs="Arial" w:eastAsia="Arial" w:hAnsi="Arial"/>
            <w:sz w:val="18"/>
            <w:szCs w:val="18"/>
            <w:u w:val="single" w:color="auto"/>
            <w:color w:val="0000EE"/>
          </w:rPr>
          <w:t xml:space="preserve">March 28,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78">
        <w:r>
          <w:rPr>
            <w:rFonts w:ascii="Arial" w:cs="Arial" w:eastAsia="Arial" w:hAnsi="Arial"/>
            <w:sz w:val="18"/>
            <w:szCs w:val="18"/>
            <w:u w:val="single" w:color="auto"/>
            <w:color w:val="0000EE"/>
          </w:rPr>
          <w:t>April 3, 2019</w:t>
        </w:r>
      </w:hyperlink>
      <w:r>
        <w:rPr>
          <w:rFonts w:ascii="Arial" w:cs="Arial" w:eastAsia="Arial" w:hAnsi="Arial"/>
          <w:sz w:val="18"/>
          <w:szCs w:val="18"/>
          <w:color w:val="000000"/>
        </w:rPr>
        <w:t>.</w:t>
      </w:r>
    </w:p>
    <w:p>
      <w:pPr>
        <w:spacing w:after="0" w:line="170" w:lineRule="exact"/>
        <w:rPr>
          <w:rFonts w:ascii="Arial" w:cs="Arial" w:eastAsia="Arial" w:hAnsi="Arial"/>
          <w:sz w:val="18"/>
          <w:szCs w:val="18"/>
          <w:color w:val="0000EE"/>
        </w:rPr>
      </w:pPr>
    </w:p>
    <w:p>
      <w:pPr>
        <w:ind w:left="120" w:firstLine="440"/>
        <w:spacing w:after="0" w:line="255" w:lineRule="auto"/>
        <w:rPr>
          <w:sz w:val="20"/>
          <w:szCs w:val="20"/>
          <w:color w:val="auto"/>
        </w:rPr>
      </w:pPr>
      <w:r>
        <w:rPr>
          <w:rFonts w:ascii="Arial" w:cs="Arial" w:eastAsia="Arial" w:hAnsi="Arial"/>
          <w:sz w:val="18"/>
          <w:szCs w:val="18"/>
          <w:color w:val="auto"/>
        </w:rPr>
        <w:t>Any statement contained in this prospectus and any accompanying prospectus or in a document incorporated or deemed to be incorporated by reference in this prospectus and any accompanying prospectus shall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shall be deemed, except as so modified or superseded, to constitute a part of this prospectus and any accompanying prospectus.</w:t>
      </w:r>
    </w:p>
    <w:p>
      <w:pPr>
        <w:spacing w:after="0" w:line="192" w:lineRule="exact"/>
        <w:rPr>
          <w:rFonts w:ascii="Arial" w:cs="Arial" w:eastAsia="Arial" w:hAnsi="Arial"/>
          <w:sz w:val="18"/>
          <w:szCs w:val="18"/>
          <w:color w:val="0000EE"/>
        </w:rPr>
      </w:pPr>
    </w:p>
    <w:p>
      <w:pPr>
        <w:jc w:val="both"/>
        <w:ind w:left="120" w:right="800" w:firstLine="440"/>
        <w:spacing w:after="0" w:line="263"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16"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5599 San Felipe Street, 17th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00" w:hanging="438"/>
        <w:spacing w:after="0"/>
        <w:tabs>
          <w:tab w:leader="none" w:pos="5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375-3400</w:t>
      </w:r>
    </w:p>
    <w:p>
      <w:pPr>
        <w:spacing w:after="0" w:line="9"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Except as provided above, no other information (including information on our website) is incorporated by reference into this prospectus.</w:t>
      </w: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92" w:lineRule="exact"/>
        <w:rPr>
          <w:sz w:val="20"/>
          <w:szCs w:val="20"/>
          <w:color w:val="auto"/>
        </w:rPr>
      </w:pPr>
    </w:p>
    <w:p>
      <w:pPr>
        <w:jc w:val="both"/>
        <w:ind w:left="120" w:right="60" w:firstLine="440"/>
        <w:spacing w:after="0" w:line="257" w:lineRule="auto"/>
        <w:rPr>
          <w:sz w:val="20"/>
          <w:szCs w:val="20"/>
          <w:color w:val="auto"/>
        </w:rPr>
      </w:pPr>
      <w:r>
        <w:rPr>
          <w:rFonts w:ascii="Arial" w:cs="Arial" w:eastAsia="Arial" w:hAnsi="Arial"/>
          <w:sz w:val="18"/>
          <w:szCs w:val="18"/>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93"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Schlumberger Group’s forecasts or expectations regarding business outlook;</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growth for the Schlumberger Group as a whole and for each of its segments (and for specified products or geographic areas within each segment);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oil and natural gas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Schlumberger Group’s effective tax 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of U.S. tax reform;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improvements in operating procedures and technology, including our transformation program;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 expenditures by the Schlumberger Group and the oil and gas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Schlumberger Group’s SPM projects, joint ventures and alliances;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business strategies of the Schlumberger Group’s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global economic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results of operations.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statements are subject to risks and uncertainties, including, but not limited to:</w:t>
      </w:r>
    </w:p>
    <w:p>
      <w:pPr>
        <w:spacing w:after="0" w:line="131"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the Schlumberger Group’s customers and changes in the level of oil and natural gas exploration and development;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key regions of the world;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risk;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pricing pressure;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operational modifications, delays or cancellations;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production declines;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risks and uncertainties detailed in the Guarantor’s filings with the SEC.</w:t>
      </w:r>
    </w:p>
    <w:p>
      <w:pPr>
        <w:spacing w:after="0" w:line="22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Unless we otherwise state in a prospectus supplement or pricing supplement, we will use the net proceeds from the sale of the offered securities for general corporate purposes of the Schlumberger Group. General corporate purposes may include repayment of debt, additions to working capital, capital expenditures, investments in subsidiaries, possible acquisitions and the repurchase, redemption or retirement of securities, including the Guarantor’s common stock. The net proceeds may be temporarily invested or applied to repay short-term or revolving debt prior to use.</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The following is a general description of the debt securities that the Company may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used in this “Description of Debt Securities,” the terms “we,” “us” and “our” and similar expressions refer to the Company and not to any of its consolidated subsidiaries; and the terms “Guarantor” and “Schlumberger” refer to our parent company, Schlumberger Limited, and not to any of its subsidiaries, in each case unless otherwise stated or the context otherwise requires.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defined terms used in this description but not defined below have the meanings assigned to them in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The debt securities that we may issue will be senior debt securities that will be issued under an indenture, dated December 3, 2013, among us, Schlumberger Limited, as guarantor, and The Bank of New York Mellon, as trustee.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indenture has been filed as an exhibit to the registration statement of which this prospectus is a part. The indenture is subject to, and is governed by, the Trust Indenture Act of 1939, as amended.</w:t>
      </w:r>
    </w:p>
    <w:p>
      <w:pPr>
        <w:spacing w:after="0" w:line="164"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indenture does not limit the amount of debt securities that can be issued thereunder and provides that the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7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Reference is made to the prospectus supplement for the following and other possible terms of each series of the debt securities with respect to which this prospectus is being delivered:</w:t>
      </w:r>
    </w:p>
    <w:p>
      <w:pPr>
        <w:spacing w:after="0" w:line="76"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of the series to be issued;</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is payable;</w:t>
      </w:r>
    </w:p>
    <w:p>
      <w:pPr>
        <w:spacing w:after="0" w:line="130"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89" w:lineRule="exact"/>
        <w:rPr>
          <w:rFonts w:ascii="Arial" w:cs="Arial" w:eastAsia="Arial" w:hAnsi="Arial"/>
          <w:sz w:val="18"/>
          <w:szCs w:val="18"/>
          <w:color w:val="auto"/>
        </w:rPr>
      </w:pPr>
    </w:p>
    <w:p>
      <w:pPr>
        <w:jc w:val="both"/>
        <w:ind w:left="1080" w:right="20" w:hanging="424"/>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debt securities of the series shall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92"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trustees, authenticating agents or paying agents with respect to such series, if different from those set forth in the indenture;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right, if any, to extend the interest payment periods or defer the payment of interest and the duration of such extension or deferral;</w:t>
      </w:r>
    </w:p>
    <w:p>
      <w:pPr>
        <w:spacing w:after="0" w:line="142"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debt securities of the series may be redeemed by the Company, in whole or in part, at our option;</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shall be redeemed, purchased or repaid, in whole or in part, pursuant to such obligation;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form of the debt securities of the series including the form of the trustee’s certificate of authentication for such series;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other than denominations of $2,000 or integral multiples of $1,000 in excess thereof, the denominations in which the debt securities of the series shall be issuable;</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currency or currencies in which payment of the principal of, premium, if any, and interest on, debt securities of the series shall be payable;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debt securities of the series that shall be payable upon declaration of acceleration of the maturity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terms of any repurchase or remarketing rights;</w:t>
      </w:r>
    </w:p>
    <w:p>
      <w:pPr>
        <w:spacing w:after="0" w:line="130"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debt securities of the series shall be issued in whole or in part in the form of a global security or securities, the type of global security to be issued; the terms and conditions, if different from those contained in the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93"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whether and upon what terms debt securities of a series may be defeased if different from the provisions set forth in the indenture;</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guarantees on the debt securities of the series, if different from the provisions set forth in the indenture;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 of the series;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debt securities of such series if other than those appointed in the indenture;</w:t>
      </w:r>
    </w:p>
    <w:p>
      <w:pPr>
        <w:spacing w:after="0" w:line="75" w:lineRule="exact"/>
        <w:rPr>
          <w:rFonts w:ascii="Arial" w:cs="Arial" w:eastAsia="Arial" w:hAnsi="Arial"/>
          <w:sz w:val="18"/>
          <w:szCs w:val="18"/>
          <w:color w:val="auto"/>
        </w:rPr>
      </w:pPr>
    </w:p>
    <w:p>
      <w:pPr>
        <w:ind w:left="1080" w:right="240" w:hanging="424"/>
        <w:spacing w:after="0" w:line="296"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w:t>
      </w:r>
    </w:p>
    <w:p>
      <w:pPr>
        <w:spacing w:after="0" w:line="66" w:lineRule="exact"/>
        <w:rPr>
          <w:rFonts w:ascii="Arial" w:cs="Arial" w:eastAsia="Arial" w:hAnsi="Arial"/>
          <w:sz w:val="16"/>
          <w:szCs w:val="16"/>
          <w:color w:val="auto"/>
        </w:rPr>
      </w:pPr>
    </w:p>
    <w:p>
      <w:pPr>
        <w:ind w:left="1080" w:right="24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shall apply to the debt securities of the series, including any terms that may be required by or advisable under United States laws or regulations, including the Securities Act and the rules and regulations promulgated thereunder, or advisable in connection with the marketing of debt securities of that series;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regard to the debt securities of any series that do not bear interest, the dates for certain required reports to the trustee.</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84"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Schlumberger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 in accordance with the terms of the indenture. The debt securities will not be guaranteed by any of the Guarantor’s subsidiaries.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Schlumberger will:</w:t>
      </w:r>
    </w:p>
    <w:p>
      <w:pPr>
        <w:spacing w:after="0" w:line="131" w:lineRule="exact"/>
        <w:rPr>
          <w:sz w:val="20"/>
          <w:szCs w:val="20"/>
          <w:color w:val="auto"/>
        </w:rPr>
      </w:pPr>
    </w:p>
    <w:p>
      <w:pPr>
        <w:ind w:left="1080" w:right="34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debt securities to pursue or exhaust their legal or equitable remedies against the Company before exercising their rights under the guarantees.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the Debt Securities and the Guarantee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debt securities of any series will be:</w:t>
      </w:r>
    </w:p>
    <w:p>
      <w:pPr>
        <w:spacing w:after="0" w:line="131" w:lineRule="exact"/>
        <w:rPr>
          <w:sz w:val="20"/>
          <w:szCs w:val="20"/>
          <w:color w:val="auto"/>
        </w:rPr>
      </w:pPr>
    </w:p>
    <w:p>
      <w:pPr>
        <w:ind w:left="1080" w:right="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Company’s other unsecured and unsubordinated indebtedness; and</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Amounts</w:t>
      </w:r>
    </w:p>
    <w:p>
      <w:pPr>
        <w:spacing w:after="0" w:line="121"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6"/>
          <w:szCs w:val="16"/>
          <w:color w:val="auto"/>
        </w:rPr>
        <w:t>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w:t>
      </w:r>
    </w:p>
    <w:p>
      <w:pPr>
        <w:spacing w:after="0" w:line="1" w:lineRule="exact"/>
        <w:rPr>
          <w:sz w:val="20"/>
          <w:szCs w:val="20"/>
          <w:color w:val="auto"/>
        </w:rPr>
      </w:pPr>
    </w:p>
    <w:p>
      <w:pPr>
        <w:ind w:left="120" w:hanging="4"/>
        <w:spacing w:after="0" w:line="286" w:lineRule="auto"/>
        <w:tabs>
          <w:tab w:leader="none" w:pos="375"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its debt securities, as applicable, or the Guarantor under or with respect to the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74" w:lineRule="exact"/>
        <w:rPr>
          <w:rFonts w:ascii="Arial" w:cs="Arial" w:eastAsia="Arial" w:hAnsi="Arial"/>
          <w:sz w:val="16"/>
          <w:szCs w:val="16"/>
          <w:color w:val="auto"/>
        </w:rPr>
      </w:pPr>
    </w:p>
    <w:p>
      <w:pPr>
        <w:ind w:left="1080" w:right="120" w:hanging="532"/>
        <w:spacing w:after="0" w:line="255" w:lineRule="auto"/>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Taxes, to the extent such Taxes would not have been imposed but for the existence of any actual or deemed present or former connection between the holder or the beneficial owner of such debt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97" w:lineRule="exact"/>
        <w:rPr>
          <w:rFonts w:ascii="Arial" w:cs="Arial" w:eastAsia="Arial" w:hAnsi="Arial"/>
          <w:sz w:val="18"/>
          <w:szCs w:val="18"/>
          <w:color w:val="auto"/>
        </w:rPr>
      </w:pPr>
    </w:p>
    <w:p>
      <w:pPr>
        <w:ind w:left="1080" w:right="120" w:hanging="532"/>
        <w:spacing w:after="0" w:line="259" w:lineRule="auto"/>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30" w:lineRule="exact"/>
        <w:rPr>
          <w:rFonts w:ascii="Arial" w:cs="Arial" w:eastAsia="Arial" w:hAnsi="Arial"/>
          <w:sz w:val="18"/>
          <w:szCs w:val="18"/>
          <w:color w:val="auto"/>
        </w:rPr>
      </w:pPr>
    </w:p>
    <w:p>
      <w:pPr>
        <w:ind w:left="1080" w:right="220" w:hanging="532"/>
        <w:spacing w:after="0" w:line="286" w:lineRule="auto"/>
        <w:tabs>
          <w:tab w:leader="none" w:pos="10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70" w:lineRule="exact"/>
        <w:rPr>
          <w:rFonts w:ascii="Arial" w:cs="Arial" w:eastAsia="Arial" w:hAnsi="Arial"/>
          <w:sz w:val="17"/>
          <w:szCs w:val="17"/>
          <w:color w:val="auto"/>
        </w:rPr>
      </w:pPr>
    </w:p>
    <w:p>
      <w:pPr>
        <w:ind w:left="1080" w:right="620" w:hanging="532"/>
        <w:spacing w:after="0" w:line="277" w:lineRule="auto"/>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Taxes withheld, deducted or imposed on a payment to an individual that are required to be made pursuant to European Council Directive 2003/48/EC or any other directive implementing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conclusions of the ECOFIN Council meeting of November 26 and 27, 2000 on the taxation of savings income, or any law implementing or complying with or introduced in order to conform to, such directive;</w:t>
      </w:r>
    </w:p>
    <w:p>
      <w:pPr>
        <w:spacing w:after="0" w:line="76" w:lineRule="exact"/>
        <w:rPr>
          <w:sz w:val="20"/>
          <w:szCs w:val="20"/>
          <w:color w:val="auto"/>
        </w:rPr>
      </w:pPr>
    </w:p>
    <w:p>
      <w:pPr>
        <w:ind w:left="1080" w:right="800" w:hanging="532"/>
        <w:spacing w:after="0" w:line="34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Taxes imposed on or with respect to a payment made to a holder of such debt securities who would have been able to avoid such withholding or deduction by presenting such debt securities (where presentation is required) to another paying agent;</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Taxes payable other than by deduction or withholding from payments under, or with respect to, such debt securities or the Guarantee;</w:t>
      </w:r>
    </w:p>
    <w:p>
      <w:pPr>
        <w:spacing w:after="0" w:line="153" w:lineRule="exact"/>
        <w:rPr>
          <w:rFonts w:ascii="Arial" w:cs="Arial" w:eastAsia="Arial" w:hAnsi="Arial"/>
          <w:sz w:val="16"/>
          <w:szCs w:val="16"/>
          <w:color w:val="auto"/>
        </w:rPr>
      </w:pPr>
    </w:p>
    <w:p>
      <w:pPr>
        <w:ind w:left="1080" w:right="40" w:hanging="532"/>
        <w:spacing w:after="0" w:line="254"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10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225"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In addition to the foregoing, the Company and the Guarantor, as the case may be, will also pay and indemnify the holder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w:t>
      </w:r>
    </w:p>
    <w:p>
      <w:pPr>
        <w:spacing w:after="0" w:line="15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7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4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8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shall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deemed to include mention of the payment of Additional Amounts to the extent that, in such context, Additional Amounts are, were or would be payable in respect thereof.</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specified in the applicable prospectus supplement, the Company may redeem the debt securities of any series, as a whole or in part, at its option on and after the dates and in accordance with the terms established for such series, if any, in the applicable prospectus supplement. If the Company redeems the debt securities of any series, the Company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Upon Changes in Tax Law</w:t>
      </w:r>
    </w:p>
    <w:p>
      <w:pPr>
        <w:spacing w:after="0" w:line="121"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 Company or the Guarantor, as applicable, may redeem the debt securities (and the Guarantor may redeem any debt securities which it has guaranteed), in whole but not in part, at its discretion at any time upon giving not less than 30 nor more than 60 days’ prior notice to the holders of such debt securities (which notice will be irrevocable), at a redemption price equal to 100% of the aggregate principal amount thereof, together with accrued and unpaid interest, if any, to the date fixed by the Company or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86" w:lineRule="exact"/>
        <w:rPr>
          <w:sz w:val="20"/>
          <w:szCs w:val="20"/>
          <w:color w:val="auto"/>
        </w:rPr>
      </w:pPr>
    </w:p>
    <w:p>
      <w:pPr>
        <w:ind w:left="1080" w:right="12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of the relevant debt securities, such later date), or</w:t>
      </w:r>
    </w:p>
    <w:p>
      <w:pPr>
        <w:spacing w:after="0" w:line="9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of the relevant debt securities, such later date).</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Neither the Company nor the Guarantor, as applicable, will give any such notice of redemption earlier than 90 days prior to the earliest date on which the Company or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of such debt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foregoing will also apply to any jurisdiction in which any successor person to the Company or the Guarantor is incorporated or organized, or any jurisdiction from or through which payment is made by or on behalf of such person on the debt securities of such series (or any Guarantee) and any political subdivision thereof or therein.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fewer than all of the debt securities of a series are to be redeemed at any time, the trustee will select the debt securities of such series for redemption on a pro rata basis (or,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8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No debt securities in principal amount of less than the minimum authorized denomination can be redeemed in part. Notices of redemption will be mailed by first class mail at least 30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 or any supplement thereto.</w:t>
      </w:r>
    </w:p>
    <w:p>
      <w:pPr>
        <w:spacing w:after="0" w:line="15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6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trustee will not be liable for selections made by it as contemplated in this section. For any debt securities which are represented by global securities held on behalf of the relevant Debt Depository, notices may be given by delivery of the relevant notices to the relevant Debt Depository for communication to entitled account holders in substitution for the aforesaid mailing.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So long as any debt securities are outstanding, the Guarantor shall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shall be deemed to have complied with the previous sentence to the extent that such information, documents and reports are filed with the SEC via EDGAR, or any successor electronic delivery procedure. The trustee shall not have any obligation to determine if and when the Guarantor’s information is available on the SEC’s (EDGAR) website. The Guarantor shall either (i) provide the trustee with prompt written notification at such time as the Guarantor becomes or ceases to be a reporting company or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hanging="4"/>
        <w:spacing w:after="0" w:line="259" w:lineRule="auto"/>
        <w:tabs>
          <w:tab w:leader="none" w:pos="38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continue to provide the trustee with the foregoing information. Delivery of such reports, information and documents to the trustee is for informational purposes only and the trustee’s receipt of such shall not constitute constructive notice of any information contained therein or determinable from information contained therein, including compliance by us or the Guarantor with any covenants under the indenture (as to which the trustee is entitled to rely exclusively on officer’s certificates).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do not contain provisions that give holders of the debt securities the right to require the Company or the Guarantor to repurchase any debt securities in the event of a decline in credit rating resulting from a takeover, recapitalization or similar restructuring or otherwise. The indenture governing the debt securities will not obligate us to provide, and we do not intend to provide, holders of the debt securities with financial statements of any of the Company that are separate from the Guarantor’s.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12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shall so determine, any of its other indebtedness or the indebtedness of any such restricted subsidiary then existing or thereafter created ranking on a parity with the debt securities or guarantees)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shall not apply to:</w:t>
      </w:r>
    </w:p>
    <w:p>
      <w:pPr>
        <w:spacing w:after="0" w:line="72"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any debt securities;</w:t>
      </w:r>
    </w:p>
    <w:p>
      <w:pPr>
        <w:spacing w:after="0" w:line="130" w:lineRule="exact"/>
        <w:rPr>
          <w:rFonts w:ascii="Arial" w:cs="Arial" w:eastAsia="Arial" w:hAnsi="Arial"/>
          <w:sz w:val="18"/>
          <w:szCs w:val="18"/>
          <w:color w:val="auto"/>
        </w:rPr>
      </w:pPr>
    </w:p>
    <w:p>
      <w:pPr>
        <w:ind w:left="1080" w:right="300" w:hanging="532"/>
        <w:spacing w:after="0" w:line="308"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1" w:lineRule="exact"/>
        <w:rPr>
          <w:rFonts w:ascii="Arial" w:cs="Arial" w:eastAsia="Arial" w:hAnsi="Arial"/>
          <w:sz w:val="17"/>
          <w:szCs w:val="17"/>
          <w:color w:val="auto"/>
        </w:rPr>
      </w:pPr>
    </w:p>
    <w:p>
      <w:pPr>
        <w:ind w:left="1080" w:right="180" w:hanging="532"/>
        <w:spacing w:after="0" w:line="296"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66"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130"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mortgage of any property or assets to secure indebtedness of the pollution control, industrial revenue or other revenue bond type;</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92"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30" w:lineRule="exact"/>
        <w:rPr>
          <w:rFonts w:ascii="Arial" w:cs="Arial" w:eastAsia="Arial" w:hAnsi="Arial"/>
          <w:sz w:val="18"/>
          <w:szCs w:val="18"/>
          <w:color w:val="auto"/>
        </w:rPr>
      </w:pPr>
    </w:p>
    <w:p>
      <w:pPr>
        <w:ind w:left="1080" w:hanging="532"/>
        <w:spacing w:after="0" w:line="31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70"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“non-recourse debt” means indebtedness as to which (a) neither the Company, the Guarantor nor any of its other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6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original issue date of the debt securities, unless, in the opinion of the board of directors of the Guarantor, such plant or facility or other asset is not of material importance to the total business conducted by the Guarantor and its restricted subsidiaries taken as a whole.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to,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 by a Subsidiary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subsidiary of the Guarantor may, at its option, assume the obligations of the Company under the indenture and the debt securities, provided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that:</w:t>
      </w:r>
    </w:p>
    <w:p>
      <w:pPr>
        <w:spacing w:after="0" w:line="116" w:lineRule="exact"/>
        <w:rPr>
          <w:sz w:val="20"/>
          <w:szCs w:val="20"/>
          <w:color w:val="auto"/>
        </w:rPr>
      </w:pPr>
    </w:p>
    <w:p>
      <w:pPr>
        <w:ind w:left="540" w:right="80" w:hanging="424"/>
        <w:spacing w:after="0" w:line="277"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subsidiary shall expressly assume such obligations in an assumption agreement or supplemental indenture duly executed and delivered to the trustee, and</w:t>
      </w:r>
    </w:p>
    <w:p>
      <w:pPr>
        <w:spacing w:after="0" w:line="75"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70"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Upon any such assumption, the person so assuming the Company’s obligations under the indenture and the debt securities shall succeed to, and be substituted for, and may exercise any right and power of, the Company under such debt securities and the indenture with the same effect as if such person had been the issuer thereof, and the Company shall be released from its liability as obligor under such debt securities. An officer’s certificate and an opinion of counsel will be delivered to the trustee, which will serve as conclusive evidence of compliance with these provisions.</w:t>
      </w:r>
    </w:p>
    <w:p>
      <w:pPr>
        <w:spacing w:after="0" w:line="15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i w:val="1"/>
          <w:iCs w:val="1"/>
          <w:color w:val="auto"/>
        </w:rPr>
        <w:t>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are “Events of Default” with respect to debt securities of a particular series, except to the extent provided in the officer’s certificate, supplemental indenture or resolution of the board of directors pursuant to which a series of debt securities is issued:</w:t>
      </w:r>
    </w:p>
    <w:p>
      <w:pPr>
        <w:spacing w:after="0" w:line="76" w:lineRule="exact"/>
        <w:rPr>
          <w:sz w:val="20"/>
          <w:szCs w:val="20"/>
          <w:color w:val="auto"/>
        </w:rPr>
      </w:pPr>
    </w:p>
    <w:p>
      <w:pPr>
        <w:ind w:left="1080" w:right="24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Company’s failure to pay any interest on any of the debt securities of such series within 30 days after such interest becomes due and payable;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Company’s failure to pay principal on any of the debt securities of such series at maturity, or if applicable, the redemption price, when the same become due and payable;</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Company’s failure to pay any sinking fund installment as and when the same shall become due and payable by the terms of the debt securities of such series, and continuance of such default for a period of 30 days;</w:t>
      </w:r>
    </w:p>
    <w:p>
      <w:pPr>
        <w:spacing w:after="0" w:line="75"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76" w:lineRule="exact"/>
        <w:rPr>
          <w:rFonts w:ascii="Arial" w:cs="Arial" w:eastAsia="Arial" w:hAnsi="Arial"/>
          <w:sz w:val="17"/>
          <w:szCs w:val="17"/>
          <w:color w:val="auto"/>
        </w:rPr>
      </w:pPr>
    </w:p>
    <w:p>
      <w:pPr>
        <w:jc w:val="both"/>
        <w:ind w:left="1080" w:right="40" w:hanging="424"/>
        <w:spacing w:after="0" w:line="286"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 default under one series of debt securities issued under the indenture will not necessarily be a default under another series of debt securities under the indenture. The trustee may withhold notice to the holders of the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8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holder of debt securities of any series may pursue any remedy under the indenture applicable to the debt securities of that series only if:</w:t>
      </w:r>
    </w:p>
    <w:p>
      <w:pPr>
        <w:spacing w:after="0" w:line="142"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debt securities;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debt securities of such series then outstanding make a written request to the trustee to pursue the remedy;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outstanding debt securities of that series do not give the trustee a direction inconsistent with the request.</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This provision does not, however, affect the right of any holder to sue for enforcement of any overdue payment with respect to the debt securities of such series.</w:t>
      </w:r>
    </w:p>
    <w:p>
      <w:pPr>
        <w:spacing w:after="0" w:line="170"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76"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the debt securities of such series;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the debt securities of such series.</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w:t>
      </w:r>
    </w:p>
    <w:p>
      <w:pPr>
        <w:spacing w:after="0" w:line="18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Without the consent of each holder of outstanding debt securities of any series, an amendment, supplement or waiver may not (with respect to any debt securities held by a non-consenting holder):</w:t>
      </w:r>
    </w:p>
    <w:p>
      <w:pPr>
        <w:spacing w:after="0" w:line="76"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amount of debt securities of such series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debt securities of such series;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any premium payable on the redemption of any debt security of such series or change the time at which any debt security of such series may or must be redeemed;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payments on any debt security of such series payable in currency other than as originally stated in such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any debt security of such series;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34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make any change in the percentage of principal amount of the debt securities of such series necessary to waive compliance with certain provisions of the indenture the debt securities of such series were issued under or to make any change in this provision for modification; or</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w:t>
      </w:r>
    </w:p>
    <w:p>
      <w:pPr>
        <w:spacing w:after="0" w:line="225"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52"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30" w:lineRule="exact"/>
        <w:rPr>
          <w:rFonts w:ascii="Arial" w:cs="Arial" w:eastAsia="Arial" w:hAnsi="Arial"/>
          <w:sz w:val="18"/>
          <w:szCs w:val="18"/>
          <w:color w:val="auto"/>
        </w:rPr>
      </w:pPr>
    </w:p>
    <w:p>
      <w:pPr>
        <w:ind w:left="1080" w:right="40" w:hanging="424"/>
        <w:spacing w:after="0" w:line="301"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provide for the assumption of the Company’s or the Guarantor’s obligations under the indenture, and such series of debt securities or the Guarantee, as applicable, by a successor upon any merger, consolidation or asset transfer in accordance with the requirements under “— Consolidation, Merger and Sale of Assets” or to provide for the assumption of the Company’s obligations under the indenture by a subsidiary of the Guarantor in accordance with the requirements under “—Assumption by a Subsidiary” above;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provide for uncertificated debt securities of any series in addition to or in place of certificated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provide any security for or guarantees of the debt securities or for the addition of an additional obligor on the debt securities;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if applicable;</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outstanding series of debt securities or to surrender any rights the Company has under the indenture;</w:t>
      </w:r>
    </w:p>
    <w:p>
      <w:pPr>
        <w:spacing w:after="0" w:line="75"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shall not become effective with respect to any outstanding debt security of any series created prior to the execution of such supplemental indenture which is entitled to the benefit of such provision;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permit or facilitate the defeasance and discharge of the debt securities;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 by more than one trustee;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any series of debt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debt securities of such series in any material respect.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Stockholders and Certain Others</w:t>
      </w:r>
    </w:p>
    <w:p>
      <w:pPr>
        <w:spacing w:after="0" w:line="12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term defeasance means the discharge of the Company from some or all of its obligations under the indenture to which it is a party.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54" w:lineRule="exact"/>
        <w:rPr>
          <w:sz w:val="20"/>
          <w:szCs w:val="20"/>
          <w:color w:val="auto"/>
        </w:rPr>
      </w:pPr>
    </w:p>
    <w:p>
      <w:pPr>
        <w:ind w:left="108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the debt securities of such series, except as described in the paragraph immediately below (“legal defeasance”); or</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7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maintain paying agencies, hold moneys for payment in trust and to compensate and indemnify the trustee. In the case of covenant defeasance, the Company’s obligation to pay principal, premium and interest on the debt securities of such series will also survive.</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United States Internal Revenue Service addressed to the Company or trustee or a change in law to that effect.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70"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4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Securities and Exchange Commission permitting it to remain as trustee.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Debt Securities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 will maintain one or more paying agents (each, a “Paying Agent”) for any debt securities we issue in the Borough of Manhattan, City of New York. The Company will undertake to maintain a Paying Agent in a member state of the European Union that is not obligated to withhold or deduct tax pursuant to the European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Union Directive 2003/48/EC or any other directive implementing the conclusions of the ECOFIN Council meeting of 26 and 27 November 2000 on the taxation of savings income, or any law implementing, or complying with or introduced in order to conform to, such directive. The Company, upon written notice to the trustee accompanied by an officer’s certificate, may appoint one or more paying agents, other than the trustee, for all or any series of such debt securities. If we fail to appoint or maintain another entity as paying agent, the trustee shall act as such. The Company, the Guarantor or any of the Guarantor’s subsidiaries, upon notice to the trustee, may act as paying agent.</w:t>
      </w:r>
    </w:p>
    <w:p>
      <w:pPr>
        <w:spacing w:after="0" w:line="17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Company will also maintain one or more registrars (each, a “Registrar”) with an office in the Borough of Manhattan, City of New York. The Company, upon written notice to the trustee accompanied by an officer’s certificate, may appoint one or more registrars, other than the trustee, for all or any series of debt securities. If we fail to appoint or maintain another entity as registrar, the trustee shall act as such. The Company, the Guarantor or any of the Guarantor’s subsidiaries, upon notice to the trustee, may act as registrar.</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Company will also maintain a transfer agent with an office in the Borough of Manhattan, City of New York. Each transfer agent shall perform the functions of a transfer agent. The Company, upon written notice to the trustee accompanied by an officer’s certificate, may appoint one or more transfer agents, other than the trustee, for all or any series of debt securities. If we fail to appoint or maintain another entity as transfer agent, the trustee shall act as such. The Company, the Guarantor or any of the Guarantor’s subsidiaries, upon notice to the trustee, may act as transfer agent.</w:t>
      </w:r>
    </w:p>
    <w:p>
      <w:pPr>
        <w:spacing w:after="0" w:line="15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Registrar will maintain a register reflecting ownership of debt securities outstanding from time to time and the Paying Agent will make payments on and facilitate transfer of debt securities on the behalf of the Company.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may change any Paying Agents, Registrars or transfer agents without prior notice to the holders of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anticipate that the Debt Depository for the debt securities shall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70" w:lineRule="exact"/>
        <w:rPr>
          <w:sz w:val="20"/>
          <w:szCs w:val="20"/>
          <w:color w:val="auto"/>
        </w:rPr>
      </w:pPr>
    </w:p>
    <w:p>
      <w:pPr>
        <w:ind w:left="120" w:right="480" w:firstLine="440"/>
        <w:spacing w:after="0" w:line="301" w:lineRule="auto"/>
        <w:rPr>
          <w:sz w:val="20"/>
          <w:szCs w:val="20"/>
          <w:color w:val="auto"/>
        </w:rPr>
      </w:pPr>
      <w:r>
        <w:rPr>
          <w:rFonts w:ascii="Arial" w:cs="Arial" w:eastAsia="Arial" w:hAnsi="Arial"/>
          <w:sz w:val="16"/>
          <w:szCs w:val="16"/>
          <w:color w:val="auto"/>
        </w:rPr>
        <w:t>Investors may elect to hold their interests in the global securities in DTC (in the United States) through its direct and indirect participants, including Clearstream or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Debt securities represented by a global security can be exchanged for definitive securities in registered form only if:</w:t>
      </w:r>
    </w:p>
    <w:p>
      <w:pPr>
        <w:spacing w:after="0" w:line="131" w:lineRule="exact"/>
        <w:rPr>
          <w:sz w:val="20"/>
          <w:szCs w:val="20"/>
          <w:color w:val="auto"/>
        </w:rPr>
      </w:pPr>
    </w:p>
    <w:p>
      <w:pPr>
        <w:ind w:left="1080" w:right="32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Debt Depository for that global security and we do not appoint a successor Debt Depository within 90 days after receiving that notice;</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any time DTC ceases to be a clearing agency registered or in good standing under the Securities Exchange Act of 1934, as amended, or other applicable statute or regulation and we do not appoint a successor depositary within 90 days after becoming aware that DTC has ceased to be registered as a clearing agency; or</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determine that that global security will be exchangeable for definitive securities in registered form and notify the trustee of such decision in writing.</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84"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92" w:lineRule="exact"/>
        <w:rPr>
          <w:sz w:val="20"/>
          <w:szCs w:val="20"/>
          <w:color w:val="auto"/>
        </w:rPr>
      </w:pPr>
    </w:p>
    <w:p>
      <w:pPr>
        <w:ind w:left="10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debt security represented by a global security; or</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8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w:t>
      </w:r>
    </w:p>
    <w:p>
      <w:pPr>
        <w:spacing w:after="0" w:line="117" w:lineRule="exact"/>
        <w:rPr>
          <w:sz w:val="20"/>
          <w:szCs w:val="20"/>
          <w:color w:val="auto"/>
        </w:rPr>
      </w:pPr>
    </w:p>
    <w:p>
      <w:pPr>
        <w:jc w:val="both"/>
        <w:ind w:left="120" w:right="260" w:firstLine="440"/>
        <w:spacing w:after="0" w:line="279" w:lineRule="auto"/>
        <w:rPr>
          <w:sz w:val="20"/>
          <w:szCs w:val="20"/>
          <w:color w:val="auto"/>
        </w:rPr>
      </w:pPr>
      <w:r>
        <w:rPr>
          <w:rFonts w:ascii="Arial" w:cs="Arial" w:eastAsia="Arial" w:hAnsi="Arial"/>
          <w:sz w:val="17"/>
          <w:szCs w:val="17"/>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9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7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8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70"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7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Initial settlement for the debt securities will be made in immediately available funds. Secondary market trading between DTC participants will occur in the ordinary way in accordance with DTC rules and will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7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8"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6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29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offered pursuant to this prospectus in any of the following ways:</w:t>
      </w:r>
    </w:p>
    <w:p>
      <w:pPr>
        <w:spacing w:after="0" w:line="131"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through underwriters, brokers or dealers;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brokers, dealers, agents or direct purchasers and their compensation in a prospectus supplement.</w:t>
      </w:r>
    </w:p>
    <w:p>
      <w:pPr>
        <w:spacing w:after="0" w:line="27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Validity of the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validity of the debt securities offered hereby will be passed upon for us by Gibson, Dunn &amp; Crutcher LLP, New York, New York.</w:t>
      </w:r>
    </w:p>
    <w:p>
      <w:pPr>
        <w:spacing w:after="0" w:line="34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Guarantor’s Annual Report on Form 10-K for the year ended December 31, 2018 have been so incorporated in reliance on the report of PricewaterhouseCoopers LLP, an independent registered public accounting firm, given on the authority of that firm as experts in auditing and accounting.</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320" w:top="459" w:right="5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274320</wp:posOffset>
            </wp:positionV>
            <wp:extent cx="6995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ind w:right="439"/>
        <w:spacing w:after="0"/>
        <w:rPr>
          <w:sz w:val="20"/>
          <w:szCs w:val="20"/>
          <w:color w:val="auto"/>
        </w:rPr>
      </w:pPr>
      <w:r>
        <w:rPr>
          <w:rFonts w:ascii="Arial" w:cs="Arial" w:eastAsia="Arial" w:hAnsi="Arial"/>
          <w:sz w:val="65"/>
          <w:szCs w:val="65"/>
          <w:b w:val="1"/>
          <w:bCs w:val="1"/>
          <w:color w:val="auto"/>
        </w:rPr>
        <w:t>Schlumberger Investment SA</w:t>
      </w:r>
    </w:p>
    <w:p>
      <w:pPr>
        <w:spacing w:after="0" w:line="160" w:lineRule="exact"/>
        <w:rPr>
          <w:sz w:val="20"/>
          <w:szCs w:val="20"/>
          <w:color w:val="auto"/>
        </w:rPr>
      </w:pPr>
    </w:p>
    <w:p>
      <w:pPr>
        <w:ind w:left="2800" w:right="1699" w:firstLine="155"/>
        <w:spacing w:after="0" w:line="275" w:lineRule="auto"/>
        <w:tabs>
          <w:tab w:leader="none" w:pos="4083" w:val="left"/>
        </w:tabs>
        <w:numPr>
          <w:ilvl w:val="0"/>
          <w:numId w:val="58"/>
        </w:numPr>
        <w:rPr>
          <w:rFonts w:ascii="Arial" w:cs="Arial" w:eastAsia="Arial" w:hAnsi="Arial"/>
          <w:sz w:val="29"/>
          <w:szCs w:val="29"/>
          <w:b w:val="1"/>
          <w:bCs w:val="1"/>
          <w:color w:val="auto"/>
        </w:rPr>
      </w:pPr>
      <w:r>
        <w:rPr>
          <w:rFonts w:ascii="Arial" w:cs="Arial" w:eastAsia="Arial" w:hAnsi="Arial"/>
          <w:sz w:val="29"/>
          <w:szCs w:val="29"/>
          <w:b w:val="1"/>
          <w:bCs w:val="1"/>
          <w:color w:val="auto"/>
        </w:rPr>
        <w:t>2.650% Senior Notes due 2030 Fully and unconditionally guaranteed by</w:t>
      </w:r>
    </w:p>
    <w:p>
      <w:pPr>
        <w:ind w:left="4060"/>
        <w:spacing w:after="0"/>
        <w:rPr>
          <w:rFonts w:ascii="Arial" w:cs="Arial" w:eastAsia="Arial" w:hAnsi="Arial"/>
          <w:sz w:val="29"/>
          <w:szCs w:val="29"/>
          <w:b w:val="1"/>
          <w:bCs w:val="1"/>
          <w:color w:val="auto"/>
        </w:rPr>
      </w:pPr>
      <w:r>
        <w:rPr>
          <w:rFonts w:ascii="Arial" w:cs="Arial" w:eastAsia="Arial" w:hAnsi="Arial"/>
          <w:sz w:val="32"/>
          <w:szCs w:val="32"/>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6207760</wp:posOffset>
            </wp:positionV>
            <wp:extent cx="7715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2281555</wp:posOffset>
            </wp:positionV>
            <wp:extent cx="6995160" cy="16630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PRELIMINARY PROSPECTUS SUPPLEMENT</w:t>
      </w:r>
    </w:p>
    <w:p>
      <w:pPr>
        <w:spacing w:after="0" w:line="158" w:lineRule="exact"/>
        <w:rPr>
          <w:sz w:val="20"/>
          <w:szCs w:val="20"/>
          <w:color w:val="auto"/>
        </w:rPr>
      </w:pPr>
    </w:p>
    <w:p>
      <w:pPr>
        <w:jc w:val="center"/>
        <w:ind w:left="3460"/>
        <w:spacing w:after="0"/>
        <w:tabs>
          <w:tab w:leader="none" w:pos="200" w:val="left"/>
        </w:tabs>
        <w:rPr>
          <w:sz w:val="20"/>
          <w:szCs w:val="20"/>
          <w:color w:val="auto"/>
        </w:rPr>
      </w:pPr>
      <w:r>
        <w:rPr>
          <w:rFonts w:ascii="Arial" w:cs="Arial" w:eastAsia="Arial" w:hAnsi="Arial"/>
          <w:sz w:val="18"/>
          <w:szCs w:val="18"/>
          <w:b w:val="1"/>
          <w:bCs w:val="1"/>
          <w:color w:val="auto"/>
        </w:rPr>
        <w:t>August</w:t>
        <w:tab/>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160655</wp:posOffset>
            </wp:positionV>
            <wp:extent cx="7715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1100"/>
        <w:spacing w:after="0"/>
        <w:rPr>
          <w:sz w:val="20"/>
          <w:szCs w:val="20"/>
          <w:color w:val="auto"/>
        </w:rPr>
      </w:pPr>
      <w:r>
        <w:rPr>
          <w:rFonts w:ascii="Arial" w:cs="Arial" w:eastAsia="Arial" w:hAnsi="Arial"/>
          <w:sz w:val="22"/>
          <w:szCs w:val="22"/>
          <w:i w:val="1"/>
          <w:iCs w:val="1"/>
          <w:color w:val="auto"/>
        </w:rPr>
        <w:t>Sole Book-Running Manager</w:t>
      </w:r>
    </w:p>
    <w:p>
      <w:pPr>
        <w:spacing w:after="0" w:line="36" w:lineRule="exact"/>
        <w:rPr>
          <w:sz w:val="20"/>
          <w:szCs w:val="20"/>
          <w:color w:val="auto"/>
        </w:rPr>
      </w:pPr>
    </w:p>
    <w:p>
      <w:pPr>
        <w:ind w:left="4720"/>
        <w:spacing w:after="0"/>
        <w:rPr>
          <w:sz w:val="20"/>
          <w:szCs w:val="20"/>
          <w:color w:val="auto"/>
        </w:rPr>
      </w:pPr>
      <w:r>
        <w:rPr>
          <w:rFonts w:ascii="Arial" w:cs="Arial" w:eastAsia="Arial" w:hAnsi="Arial"/>
          <w:sz w:val="43"/>
          <w:szCs w:val="43"/>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219075</wp:posOffset>
            </wp:positionV>
            <wp:extent cx="6995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253365</wp:posOffset>
            </wp:positionV>
            <wp:extent cx="699516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0139"/>
      </w:cols>
      <w:pgMar w:left="320" w:top="459" w:right="1440" w:bottom="106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2"/>
    </w:lvl>
  </w:abstractNum>
  <w:abstractNum w:abstractNumId="11">
    <w:nsid w:val="5577F8E1"/>
    <w:multiLevelType w:val="hybridMultilevel"/>
    <w:lvl w:ilvl="0">
      <w:lvlJc w:val="left"/>
      <w:lvlText w:val="(%1)"/>
      <w:numFmt w:val="lowerLetter"/>
      <w:start w:val="25"/>
    </w:lvl>
  </w:abstractNum>
  <w:abstractNum w:abstractNumId="12">
    <w:nsid w:val="440BADFC"/>
    <w:multiLevelType w:val="hybridMultilevel"/>
    <w:lvl w:ilvl="0">
      <w:lvlJc w:val="left"/>
      <w:lvlText w:val="(%1)"/>
      <w:numFmt w:val="lowerLetter"/>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lowerRoman"/>
      <w:start w:val="1"/>
    </w:lvl>
  </w:abstractNum>
  <w:abstractNum w:abstractNumId="23">
    <w:nsid w:val="153EA438"/>
    <w:multiLevelType w:val="hybridMultilevel"/>
    <w:lvl w:ilvl="0">
      <w:lvlJc w:val="left"/>
      <w:lvlText w:val="(%1)"/>
      <w:numFmt w:val="lowerRoman"/>
      <w:start w:val="1"/>
    </w:lvl>
  </w:abstractNum>
  <w:abstractNum w:abstractNumId="24">
    <w:nsid w:val="3855585C"/>
    <w:multiLevelType w:val="hybridMultilevel"/>
    <w:lvl w:ilvl="0">
      <w:lvlJc w:val="left"/>
      <w:lvlText w:val="(%1)"/>
      <w:numFmt w:val="lowerLetter"/>
      <w:start w:val="1"/>
    </w:lvl>
  </w:abstractNum>
  <w:abstractNum w:abstractNumId="25">
    <w:nsid w:val="70A64E2A"/>
    <w:multiLevelType w:val="hybridMultilevel"/>
    <w:lvl w:ilvl="0">
      <w:lvlJc w:val="left"/>
      <w:lvlText w:val="(%1)"/>
      <w:numFmt w:val="lowerRoman"/>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713"/>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decimal"/>
      <w:start w:val="713"/>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decimal"/>
      <w:start w:val="1"/>
    </w:lvl>
    <w:lvl w:ilvl="1">
      <w:lvlJc w:val="left"/>
      <w:lvlText w:val="(%2)"/>
      <w:numFmt w:val="decimal"/>
      <w:start w:val="1"/>
    </w:lvl>
  </w:abstractNum>
  <w:abstractNum w:abstractNumId="40">
    <w:nsid w:val="579478FE"/>
    <w:multiLevelType w:val="hybridMultilevel"/>
    <w:lvl w:ilvl="0">
      <w:lvlJc w:val="left"/>
      <w:lvlText w:val="(%1)"/>
      <w:numFmt w:val="decimal"/>
      <w:start w:val="6"/>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lowerRoman"/>
      <w:start w:val="2"/>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7"/>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jpe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jpe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59" Type="http://schemas.openxmlformats.org/officeDocument/2006/relationships/hyperlink" Target="http://www.sec.gov/ix?doc=/Archives/edgar/data/87347/000156459020001578/slb-10k_20191231.htm" TargetMode="External"/><Relationship Id="rId60" Type="http://schemas.openxmlformats.org/officeDocument/2006/relationships/hyperlink" Target="http://www.sec.gov/ix?doc=/Archives/edgar/data/87347/000156459020017823/slb-10q_20200331.htm" TargetMode="External"/><Relationship Id="rId61" Type="http://schemas.openxmlformats.org/officeDocument/2006/relationships/hyperlink" Target="http://www.sec.gov/ix?doc=/Archives/edgar/data/87347/000156459020034137/slb-10q_20200630.htm" TargetMode="External"/><Relationship Id="rId63" Type="http://schemas.openxmlformats.org/officeDocument/2006/relationships/hyperlink" Target="http://www.sec.gov/ix?doc=/Archives/edgar/data/87347/000119312520170138/d944136d8k.htm" TargetMode="External"/><Relationship Id="rId64" Type="http://schemas.openxmlformats.org/officeDocument/2006/relationships/hyperlink" Target="http://www.sec.gov/ix?doc=/Archives/edgar/data/87347/000119312520180957/d925505d8k.htm" TargetMode="External"/><Relationship Id="rId65" Type="http://schemas.openxmlformats.org/officeDocument/2006/relationships/hyperlink" Target="http://www.sec.gov/ix?doc=/Archives/edgar/data/87347/000119312520198628/d79341d8k.htm" TargetMode="External"/><Relationship Id="rId75" Type="http://schemas.openxmlformats.org/officeDocument/2006/relationships/hyperlink" Target="http://www.sec.gov/Archives/edgar/data/87347/000119312519031479/d662264d8k.htm" TargetMode="External"/><Relationship Id="rId76" Type="http://schemas.openxmlformats.org/officeDocument/2006/relationships/hyperlink" Target="http://www.sec.gov/Archives/edgar/data/87347/000119312519060080/d717830d8ka.htm" TargetMode="External"/><Relationship Id="rId77" Type="http://schemas.openxmlformats.org/officeDocument/2006/relationships/hyperlink" Target="http://www.sec.gov/Archives/edgar/data/87347/000119312519090118/d722544d8k.htm" TargetMode="External"/><Relationship Id="rId78" Type="http://schemas.openxmlformats.org/officeDocument/2006/relationships/hyperlink" Target="http://www.sec.gov/Archives/edgar/data/87347/000119312519096693/d729562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2020-08-04T07:49:32Z</dcterms:created>
  <dcterms:modified xsi:type="dcterms:W3CDTF">2020-08-04T07:49:32Z</dcterms:modified>
</cp:coreProperties>
</file>