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190500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179070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SCHLUMBERGER N.V. (SCHLUMBERGER LIMITED)</w:t>
      </w:r>
    </w:p>
    <w:p>
      <w:pPr>
        <w:spacing w:after="0" w:line="4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jc w:val="center"/>
              <w:ind w:right="1718"/>
              <w:spacing w:after="0"/>
              <w:rPr>
                <w:sz w:val="20"/>
                <w:szCs w:val="20"/>
                <w:color w:val="auto"/>
              </w:rPr>
            </w:pPr>
            <w:r>
              <w:rPr>
                <w:rFonts w:ascii="Times New Roman" w:cs="Times New Roman" w:eastAsia="Times New Roman" w:hAnsi="Times New Roman"/>
                <w:sz w:val="18"/>
                <w:szCs w:val="18"/>
                <w:b w:val="1"/>
                <w:bCs w:val="1"/>
                <w:color w:val="auto"/>
                <w:w w:val="97"/>
              </w:rPr>
              <w:t>Netherlands Antilles</w:t>
            </w:r>
          </w:p>
        </w:tc>
        <w:tc>
          <w:tcPr>
            <w:tcW w:w="2880" w:type="dxa"/>
            <w:vAlign w:val="bottom"/>
          </w:tcPr>
          <w:p>
            <w:pPr>
              <w:jc w:val="right"/>
              <w:ind w:right="1242"/>
              <w:spacing w:after="0"/>
              <w:rPr>
                <w:sz w:val="20"/>
                <w:szCs w:val="20"/>
                <w:color w:val="auto"/>
              </w:rPr>
            </w:pPr>
            <w:r>
              <w:rPr>
                <w:rFonts w:ascii="Times New Roman" w:cs="Times New Roman" w:eastAsia="Times New Roman" w:hAnsi="Times New Roman"/>
                <w:sz w:val="18"/>
                <w:szCs w:val="18"/>
                <w:b w:val="1"/>
                <w:bCs w:val="1"/>
                <w:color w:val="auto"/>
              </w:rPr>
              <w:t>1-4601</w:t>
            </w:r>
          </w:p>
        </w:tc>
        <w:tc>
          <w:tcPr>
            <w:tcW w:w="2780" w:type="dxa"/>
            <w:vAlign w:val="bottom"/>
          </w:tcPr>
          <w:p>
            <w:pPr>
              <w:jc w:val="center"/>
              <w:ind w:left="1661"/>
              <w:spacing w:after="0"/>
              <w:rPr>
                <w:sz w:val="20"/>
                <w:szCs w:val="20"/>
                <w:color w:val="auto"/>
              </w:rPr>
            </w:pPr>
            <w:r>
              <w:rPr>
                <w:rFonts w:ascii="Times New Roman" w:cs="Times New Roman" w:eastAsia="Times New Roman" w:hAnsi="Times New Roman"/>
                <w:sz w:val="18"/>
                <w:szCs w:val="18"/>
                <w:b w:val="1"/>
                <w:bCs w:val="1"/>
                <w:color w:val="auto"/>
                <w:w w:val="96"/>
              </w:rPr>
              <w:t>52-0684746</w:t>
            </w:r>
          </w:p>
        </w:tc>
      </w:tr>
      <w:tr>
        <w:trPr>
          <w:trHeight w:val="149"/>
        </w:trPr>
        <w:tc>
          <w:tcPr>
            <w:tcW w:w="3340" w:type="dxa"/>
            <w:vAlign w:val="bottom"/>
          </w:tcPr>
          <w:p>
            <w:pPr>
              <w:jc w:val="center"/>
              <w:ind w:right="17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28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(Commission File Number)</w:t>
            </w:r>
          </w:p>
        </w:tc>
        <w:tc>
          <w:tcPr>
            <w:tcW w:w="2780" w:type="dxa"/>
            <w:vAlign w:val="bottom"/>
          </w:tcPr>
          <w:p>
            <w:pPr>
              <w:jc w:val="center"/>
              <w:ind w:left="16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3340" w:type="dxa"/>
            <w:vAlign w:val="bottom"/>
          </w:tcPr>
          <w:p>
            <w:pPr>
              <w:jc w:val="center"/>
              <w:ind w:right="1718"/>
              <w:spacing w:after="0"/>
              <w:rPr>
                <w:sz w:val="20"/>
                <w:szCs w:val="20"/>
                <w:color w:val="auto"/>
              </w:rPr>
            </w:pPr>
            <w:r>
              <w:rPr>
                <w:rFonts w:ascii="Times New Roman" w:cs="Times New Roman" w:eastAsia="Times New Roman" w:hAnsi="Times New Roman"/>
                <w:sz w:val="14"/>
                <w:szCs w:val="14"/>
                <w:b w:val="1"/>
                <w:bCs w:val="1"/>
                <w:color w:val="auto"/>
                <w:w w:val="95"/>
              </w:rPr>
              <w:t>of incorporation)</w:t>
            </w:r>
          </w:p>
        </w:tc>
        <w:tc>
          <w:tcPr>
            <w:tcW w:w="2880" w:type="dxa"/>
            <w:vAlign w:val="bottom"/>
          </w:tcPr>
          <w:p>
            <w:pPr>
              <w:spacing w:after="0"/>
              <w:rPr>
                <w:sz w:val="15"/>
                <w:szCs w:val="15"/>
                <w:color w:val="auto"/>
              </w:rPr>
            </w:pPr>
          </w:p>
        </w:tc>
        <w:tc>
          <w:tcPr>
            <w:tcW w:w="278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49"/>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153 East 53</w:t>
            </w:r>
            <w:r>
              <w:rPr>
                <w:rFonts w:ascii="Times New Roman" w:cs="Times New Roman" w:eastAsia="Times New Roman" w:hAnsi="Times New Roman"/>
                <w:sz w:val="22"/>
                <w:szCs w:val="22"/>
                <w:b w:val="1"/>
                <w:bCs w:val="1"/>
                <w:color w:val="auto"/>
                <w:w w:val="94"/>
                <w:vertAlign w:val="superscript"/>
              </w:rPr>
              <w:t>rd</w:t>
            </w:r>
            <w:r>
              <w:rPr>
                <w:rFonts w:ascii="Times New Roman" w:cs="Times New Roman" w:eastAsia="Times New Roman" w:hAnsi="Times New Roman"/>
                <w:sz w:val="18"/>
                <w:szCs w:val="18"/>
                <w:b w:val="1"/>
                <w:bCs w:val="1"/>
                <w:color w:val="auto"/>
                <w:w w:val="94"/>
              </w:rPr>
              <w:t xml:space="preserve"> Street, 57</w:t>
            </w:r>
            <w:r>
              <w:rPr>
                <w:rFonts w:ascii="Times New Roman" w:cs="Times New Roman" w:eastAsia="Times New Roman" w:hAnsi="Times New Roman"/>
                <w:sz w:val="22"/>
                <w:szCs w:val="22"/>
                <w:b w:val="1"/>
                <w:bCs w:val="1"/>
                <w:color w:val="auto"/>
                <w:w w:val="94"/>
                <w:vertAlign w:val="superscript"/>
              </w:rPr>
              <w:t>th</w:t>
            </w:r>
            <w:r>
              <w:rPr>
                <w:rFonts w:ascii="Times New Roman" w:cs="Times New Roman" w:eastAsia="Times New Roman" w:hAnsi="Times New Roman"/>
                <w:sz w:val="18"/>
                <w:szCs w:val="18"/>
                <w:b w:val="1"/>
                <w:bCs w:val="1"/>
                <w:color w:val="auto"/>
                <w:w w:val="94"/>
              </w:rPr>
              <w:t xml:space="preserve"> Floor</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44"/>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New York, New York</w:t>
            </w:r>
          </w:p>
        </w:tc>
        <w:tc>
          <w:tcPr>
            <w:tcW w:w="2880" w:type="dxa"/>
            <w:vAlign w:val="bottom"/>
          </w:tcPr>
          <w:p>
            <w:pPr>
              <w:spacing w:after="0"/>
              <w:rPr>
                <w:sz w:val="21"/>
                <w:szCs w:val="21"/>
                <w:color w:val="auto"/>
              </w:rPr>
            </w:pPr>
          </w:p>
        </w:tc>
        <w:tc>
          <w:tcPr>
            <w:tcW w:w="2780" w:type="dxa"/>
            <w:vAlign w:val="bottom"/>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10022-4624</w:t>
            </w:r>
          </w:p>
        </w:tc>
      </w:tr>
      <w:tr>
        <w:trPr>
          <w:trHeight w:val="418"/>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42, rue Saint-Dominique</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44"/>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Paris, France</w:t>
            </w:r>
          </w:p>
        </w:tc>
        <w:tc>
          <w:tcPr>
            <w:tcW w:w="2880" w:type="dxa"/>
            <w:vAlign w:val="bottom"/>
          </w:tcPr>
          <w:p>
            <w:pPr>
              <w:spacing w:after="0"/>
              <w:rPr>
                <w:sz w:val="21"/>
                <w:szCs w:val="21"/>
                <w:color w:val="auto"/>
              </w:rPr>
            </w:pPr>
          </w:p>
        </w:tc>
        <w:tc>
          <w:tcPr>
            <w:tcW w:w="278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418"/>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Parkstraat 83,</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The Hague,</w:t>
            </w:r>
          </w:p>
        </w:tc>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9"/>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288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78"/>
        </w:trPr>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(Addresses of principal executive offices)</w:t>
            </w:r>
          </w:p>
        </w:tc>
        <w:tc>
          <w:tcPr>
            <w:tcW w:w="288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(Zip or Postal Codes)</w:t>
            </w:r>
          </w:p>
        </w:tc>
      </w:tr>
    </w:tbl>
    <w:p>
      <w:pPr>
        <w:spacing w:after="0" w:line="1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125730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99"/>
          </w:cols>
          <w:pgMar w:left="1360" w:top="34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Other Events.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information included in the press release filed as Exhibit 99.1 to this Form 8-K is incorporated by reference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Financial Statements and Exhibits.</w:t>
      </w:r>
    </w:p>
    <w:p>
      <w:pPr>
        <w:spacing w:after="0" w:line="79" w:lineRule="exact"/>
        <w:rPr>
          <w:sz w:val="20"/>
          <w:szCs w:val="20"/>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6"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   Press Release dated April 30, 2004</w:t>
      </w:r>
    </w:p>
    <w:p>
      <w:pPr>
        <w:sectPr>
          <w:pgSz w:w="11900" w:h="16838" w:orient="portrait"/>
          <w:cols w:equalWidth="0" w:num="1">
            <w:col w:w="10219"/>
          </w:cols>
          <w:pgMar w:left="240" w:top="272"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3" w:lineRule="exact"/>
        <w:rPr>
          <w:sz w:val="20"/>
          <w:szCs w:val="20"/>
          <w:color w:val="auto"/>
        </w:rPr>
      </w:pPr>
    </w:p>
    <w:p>
      <w:pPr>
        <w:ind w:left="686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83820</wp:posOffset>
            </wp:positionV>
            <wp:extent cx="26327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Frank A. Sorgie</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2004</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110490</wp:posOffset>
            </wp:positionV>
            <wp:extent cx="121793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79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Sells its Remaining Holding in Atos Origin</w:t>
      </w:r>
    </w:p>
    <w:p>
      <w:pPr>
        <w:spacing w:after="0" w:line="16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NEW YORK, April 30, 2004 - Schlumberger Limited announced today that its subsidiaries, Schlumberger Investments Limited and Schlumberger S.A., have sold their entire residual holding in Atos Origin, amounting to a total of 9.7 million ordinary shares of Atos Origin, at a price of €48.50 per share in a private placement to institutional investors.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completion of the sale, which is subject to customary conditions, Schlumberger will not retain any participation in Atos Origin.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expects to apply the proceeds to reduce net debt.</w:t>
      </w:r>
    </w:p>
    <w:p>
      <w:pPr>
        <w:spacing w:after="0" w:line="15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Schlumberger and Atos Origin confirm the previously announced agreement whereby Atos Origin will provide outsourcing and systems integration services to Schlumberger over a maximum period of 7 years, up to a contract value of $700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Schlumberger</w:t>
      </w:r>
    </w:p>
    <w:p>
      <w:pPr>
        <w:spacing w:after="0" w:line="79"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6"/>
          <w:szCs w:val="16"/>
          <w:color w:val="auto"/>
        </w:rPr>
        <w:t>Schlumberger is the world’s leading oilfield services company supplying technology, project management and information solutions that optimize performance for customers working in the oil and gas industry. The company employs more than 50,000 people of over 140 nationalities working in 100 countries, and comprises two primary business segments. Schlumberger Oilfield Services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BakerHughes, is the world’s largest seismic company and provides advanced acquisition and data processing services. In 2003, Schlumberger operating revenue was $11.4 billion. For more information, visit www.slb.com</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w:t>
      </w:r>
    </w:p>
    <w:p>
      <w:pPr>
        <w:spacing w:after="0" w:line="77"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The securities offered will not be and have not been registered under the Securities Act of 1933 and may not be offered and sold in the United States absent registration or an applicable exemption from the registration requirement of the Securities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Whittaker, Director of Communications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+33 1 4062 1330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Paulo Loureiro, Investor Relations Manager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+1-212-350-9432</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ir-nam@slb.com</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2019-12-11T19:04:54Z</dcterms:created>
  <dcterms:modified xsi:type="dcterms:W3CDTF">2019-12-11T19:04:54Z</dcterms:modified>
</cp:coreProperties>
</file>