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31,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1-4601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7"/>
              </w:rPr>
              <w:t>CURAÇAO</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52-0684746</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6"/>
              </w:rPr>
              <w:t>42 RUE SAINT-DOMINIQUE</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PARIS, FRANCE</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75007</w:t>
            </w: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5599 SAN FELIPE, 17</w:t>
            </w:r>
            <w:r>
              <w:rPr>
                <w:rFonts w:ascii="Arial" w:cs="Arial" w:eastAsia="Arial" w:hAnsi="Arial"/>
                <w:sz w:val="15"/>
                <w:szCs w:val="15"/>
                <w:color w:val="auto"/>
                <w:w w:val="93"/>
              </w:rPr>
              <w:t>th</w:t>
            </w:r>
            <w:r>
              <w:rPr>
                <w:rFonts w:ascii="Arial" w:cs="Arial" w:eastAsia="Arial" w:hAnsi="Arial"/>
                <w:sz w:val="18"/>
                <w:szCs w:val="18"/>
                <w:color w:val="auto"/>
                <w:w w:val="93"/>
              </w:rPr>
              <w:t xml:space="preserve"> FLOOR</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5"/>
              </w:rPr>
              <w:t>HOUSTON, TEXAS, U.S.A.</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77056</w:t>
            </w: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PARKSTRAAT 83</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8"/>
              </w:rPr>
              <w:t>THE HAGUE,</w:t>
            </w:r>
          </w:p>
        </w:tc>
        <w:tc>
          <w:tcPr>
            <w:tcW w:w="58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THE NETHERLANDS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2514 JG</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1"/>
              </w:rPr>
              <w:t>(Addresses of principal executive offices)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(Zip Codes)</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(713) 375-3400</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1" w:lineRule="exact"/>
        <w:rPr>
          <w:sz w:val="20"/>
          <w:szCs w:val="20"/>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41" w:lineRule="exact"/>
        <w:rPr>
          <w:sz w:val="20"/>
          <w:szCs w:val="20"/>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0" w:gutter="0" w:footer="0" w:header="0"/>
        </w:sectPr>
      </w:pPr>
    </w:p>
    <w:p>
      <w:pPr>
        <w:spacing w:after="0" w:line="46"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6" w:lineRule="exact"/>
        <w:rPr>
          <w:sz w:val="20"/>
          <w:szCs w:val="20"/>
          <w:color w:val="auto"/>
        </w:rPr>
      </w:pPr>
    </w:p>
    <w:p>
      <w:pPr>
        <w:sectPr>
          <w:pgSz w:w="11900" w:h="16838" w:orient="portrait"/>
          <w:cols w:equalWidth="0" w:num="4">
            <w:col w:w="1920" w:space="720"/>
            <w:col w:w="1420" w:space="720"/>
            <w:col w:w="3780" w:space="720"/>
            <w:col w:w="2140"/>
          </w:cols>
          <w:pgMar w:left="240" w:top="122" w:right="239" w:bottom="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0"/>
          <w:szCs w:val="20"/>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 at March 31, 2011</w:t>
            </w:r>
          </w:p>
        </w:tc>
      </w:tr>
      <w:tr>
        <w:trPr>
          <w:trHeight w:val="439"/>
        </w:trPr>
        <w:tc>
          <w:tcPr>
            <w:tcW w:w="5420" w:type="dxa"/>
            <w:vAlign w:val="bottom"/>
          </w:tcPr>
          <w:p>
            <w:pPr>
              <w:jc w:val="center"/>
              <w:spacing w:after="0"/>
              <w:rPr>
                <w:sz w:val="20"/>
                <w:szCs w:val="20"/>
                <w:color w:val="auto"/>
              </w:rPr>
            </w:pPr>
            <w:r>
              <w:rPr>
                <w:rFonts w:ascii="Arial" w:cs="Arial" w:eastAsia="Arial" w:hAnsi="Arial"/>
                <w:sz w:val="18"/>
                <w:szCs w:val="18"/>
                <w:color w:val="auto"/>
                <w:w w:val="94"/>
              </w:rPr>
              <w:t>COMMON STOCK, $0.01 PAR VALUE PER SHARE</w:t>
            </w:r>
          </w:p>
        </w:tc>
        <w:tc>
          <w:tcPr>
            <w:tcW w:w="6000" w:type="dxa"/>
            <w:vAlign w:val="bottom"/>
            <w:gridSpan w:val="2"/>
          </w:tcPr>
          <w:p>
            <w:pPr>
              <w:jc w:val="right"/>
              <w:ind w:right="2128"/>
              <w:spacing w:after="0"/>
              <w:rPr>
                <w:sz w:val="20"/>
                <w:szCs w:val="20"/>
                <w:color w:val="auto"/>
              </w:rPr>
            </w:pPr>
            <w:r>
              <w:rPr>
                <w:rFonts w:ascii="Arial" w:cs="Arial" w:eastAsia="Arial" w:hAnsi="Arial"/>
                <w:sz w:val="18"/>
                <w:szCs w:val="18"/>
                <w:color w:val="auto"/>
              </w:rPr>
              <w:t>1,356,940,119</w:t>
            </w:r>
          </w:p>
        </w:tc>
      </w:tr>
      <w:tr>
        <w:trPr>
          <w:trHeight w:val="189"/>
        </w:trPr>
        <w:tc>
          <w:tcPr>
            <w:tcW w:w="5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First Quarter 2011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 w:type="dxa"/>
            <w:vAlign w:val="bottom"/>
            <w:gridSpan w:val="2"/>
            <w:vMerge w:val="restart"/>
          </w:tcPr>
          <w:p>
            <w:pPr>
              <w:spacing w:after="0"/>
              <w:rPr>
                <w:sz w:val="14"/>
                <w:szCs w:val="14"/>
                <w:color w:val="auto"/>
              </w:rPr>
            </w:pPr>
          </w:p>
        </w:tc>
        <w:tc>
          <w:tcPr>
            <w:tcW w:w="9600" w:type="dxa"/>
            <w:vAlign w:val="bottom"/>
            <w:gridSpan w:val="13"/>
            <w:vMerge w:val="restart"/>
          </w:tcPr>
          <w:p>
            <w:pPr>
              <w:ind w:left="3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600" w:type="dxa"/>
            <w:vAlign w:val="bottom"/>
            <w:gridSpan w:val="1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2.</w:t>
              </w:r>
            </w:hyperlink>
          </w:p>
        </w:tc>
        <w:tc>
          <w:tcPr>
            <w:tcW w:w="520" w:type="dxa"/>
            <w:vAlign w:val="bottom"/>
            <w:gridSpan w:val="3"/>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3.</w:t>
              </w:r>
            </w:hyperlink>
          </w:p>
        </w:tc>
        <w:tc>
          <w:tcPr>
            <w:tcW w:w="520" w:type="dxa"/>
            <w:vAlign w:val="bottom"/>
            <w:gridSpan w:val="3"/>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520" w:type="dxa"/>
            <w:vAlign w:val="bottom"/>
            <w:gridSpan w:val="3"/>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w:t>
              </w:r>
            </w:hyperlink>
          </w:p>
        </w:tc>
        <w:tc>
          <w:tcPr>
            <w:tcW w:w="9600" w:type="dxa"/>
            <w:vAlign w:val="bottom"/>
            <w:gridSpan w:val="13"/>
          </w:tcPr>
          <w:p>
            <w:pPr>
              <w:ind w:left="36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1.</w:t>
              </w:r>
            </w:hyperlink>
          </w:p>
        </w:tc>
        <w:tc>
          <w:tcPr>
            <w:tcW w:w="1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600" w:type="dxa"/>
            <w:vAlign w:val="bottom"/>
            <w:gridSpan w:val="13"/>
          </w:tcPr>
          <w:p>
            <w:pPr>
              <w:ind w:left="360"/>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2.</w:t>
              </w:r>
            </w:hyperlink>
          </w:p>
        </w:tc>
        <w:tc>
          <w:tcPr>
            <w:tcW w:w="1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3.</w:t>
              </w:r>
            </w:hyperlink>
          </w:p>
        </w:tc>
        <w:tc>
          <w:tcPr>
            <w:tcW w:w="520" w:type="dxa"/>
            <w:vAlign w:val="bottom"/>
            <w:gridSpan w:val="3"/>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4.</w:t>
              </w:r>
            </w:hyperlink>
          </w:p>
        </w:tc>
        <w:tc>
          <w:tcPr>
            <w:tcW w:w="520" w:type="dxa"/>
            <w:vAlign w:val="bottom"/>
            <w:gridSpan w:val="3"/>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7">
              <w:r>
                <w:rPr>
                  <w:rFonts w:ascii="Arial" w:cs="Arial" w:eastAsia="Arial" w:hAnsi="Arial"/>
                  <w:sz w:val="18"/>
                  <w:szCs w:val="18"/>
                  <w:color w:val="0000EE"/>
                </w:rPr>
                <w:t>[Removed and Reserved]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5.</w:t>
              </w:r>
            </w:hyperlink>
          </w:p>
        </w:tc>
        <w:tc>
          <w:tcPr>
            <w:tcW w:w="520" w:type="dxa"/>
            <w:vAlign w:val="bottom"/>
            <w:gridSpan w:val="3"/>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6.</w:t>
              </w:r>
            </w:hyperlink>
          </w:p>
        </w:tc>
        <w:tc>
          <w:tcPr>
            <w:tcW w:w="520" w:type="dxa"/>
            <w:vAlign w:val="bottom"/>
            <w:gridSpan w:val="3"/>
          </w:tcPr>
          <w:p>
            <w:pPr>
              <w:spacing w:after="0"/>
              <w:rPr>
                <w:sz w:val="24"/>
                <w:szCs w:val="24"/>
                <w:color w:val="auto"/>
              </w:rPr>
            </w:pPr>
          </w:p>
        </w:tc>
        <w:tc>
          <w:tcPr>
            <w:tcW w:w="9600" w:type="dxa"/>
            <w:vAlign w:val="bottom"/>
            <w:gridSpan w:val="13"/>
          </w:tcPr>
          <w:p>
            <w:pPr>
              <w:ind w:left="36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0" w:type="dxa"/>
            <w:vAlign w:val="bottom"/>
            <w:gridSpan w:val="13"/>
          </w:tcPr>
          <w:p>
            <w:pPr>
              <w:ind w:left="360"/>
              <w:spacing w:after="0"/>
              <w:rPr>
                <w:sz w:val="20"/>
                <w:szCs w:val="20"/>
                <w:color w:val="auto"/>
              </w:rPr>
            </w:pPr>
            <w:r>
              <w:rPr>
                <w:rFonts w:ascii="Arial" w:cs="Arial" w:eastAsia="Arial" w:hAnsi="Arial"/>
                <w:sz w:val="18"/>
                <w:szCs w:val="18"/>
                <w:color w:val="auto"/>
              </w:rPr>
              <w:t>Certifications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jc w:val="center"/>
        <w:ind w:left="8560"/>
        <w:spacing w:after="0"/>
        <w:rPr>
          <w:sz w:val="20"/>
          <w:szCs w:val="20"/>
          <w:color w:val="auto"/>
        </w:rPr>
      </w:pPr>
      <w:r>
        <w:rPr>
          <w:rFonts w:ascii="Arial" w:cs="Arial" w:eastAsia="Arial" w:hAnsi="Arial"/>
          <w:sz w:val="14"/>
          <w:szCs w:val="14"/>
          <w:i w:val="1"/>
          <w:iCs w:val="1"/>
          <w:color w:val="auto"/>
        </w:rPr>
        <w:t>(Stated in millions, except per share amounts)</w:t>
      </w:r>
    </w:p>
    <w:p>
      <w:pPr>
        <w:jc w:val="center"/>
        <w:ind w:left="9160"/>
        <w:spacing w:after="0" w:line="221" w:lineRule="auto"/>
        <w:rPr>
          <w:sz w:val="20"/>
          <w:szCs w:val="20"/>
          <w:color w:val="auto"/>
        </w:rPr>
      </w:pPr>
      <w:r>
        <w:rPr>
          <w:rFonts w:ascii="Arial" w:cs="Arial" w:eastAsia="Arial" w:hAnsi="Arial"/>
          <w:sz w:val="14"/>
          <w:szCs w:val="14"/>
          <w:b w:val="1"/>
          <w:bCs w:val="1"/>
          <w:color w:val="auto"/>
        </w:rPr>
        <w:t>Three Months</w:t>
      </w:r>
    </w:p>
    <w:p>
      <w:pPr>
        <w:jc w:val="center"/>
        <w:ind w:left="9160"/>
        <w:spacing w:after="0" w:line="231"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Oilfield Services</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8,122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Intersegment eliminations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8,716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i w:val="1"/>
                <w:iCs w:val="1"/>
                <w:color w:val="auto"/>
              </w:rPr>
              <w:t>Interest &amp; other income, net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Oilfield Services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6,490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Distribution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Intersegment eliminations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Research &amp; engineering</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&amp; administrative</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Merger &amp; integration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Income before taxes</w:t>
            </w:r>
          </w:p>
        </w:tc>
        <w:tc>
          <w:tcPr>
            <w:tcW w:w="2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on income</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Net Income</w:t>
            </w:r>
          </w:p>
        </w:tc>
        <w:tc>
          <w:tcPr>
            <w:tcW w:w="2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(income) attributable to noncontrolling interests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2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Basic</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Assuming dilution</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540" w:type="dxa"/>
            <w:vAlign w:val="bottom"/>
            <w:gridSpan w:val="4"/>
            <w:vMerge w:val="restart"/>
          </w:tcPr>
          <w:p>
            <w:pPr>
              <w:ind w:left="1560"/>
              <w:spacing w:after="0"/>
              <w:rPr>
                <w:sz w:val="20"/>
                <w:szCs w:val="20"/>
                <w:color w:val="auto"/>
              </w:rPr>
            </w:pPr>
            <w:r>
              <w:rPr>
                <w:rFonts w:ascii="Arial" w:cs="Arial" w:eastAsia="Arial" w:hAnsi="Arial"/>
                <w:sz w:val="14"/>
                <w:szCs w:val="14"/>
                <w:b w:val="1"/>
                <w:bCs w:val="1"/>
                <w:color w:val="auto"/>
              </w:rPr>
              <w:t>Mar. 31, 2011</w:t>
            </w: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54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(Unaudited)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2,688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less allowance for doubtful accounts (2011 — $177; 2010 — $185)</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8,891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4,092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1,051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1,198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12,218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13,978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5,079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52,372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51,767</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760" w:type="dxa"/>
            <w:vAlign w:val="bottom"/>
            <w:gridSpan w:val="2"/>
          </w:tcPr>
          <w:p>
            <w:pPr>
              <w:ind w:left="15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6,328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liability for taxes on income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Long-term debt — current portion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1,739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Dividend payable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10,399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6,422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1,702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20,746</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11,983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(3,740)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25,814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400"/>
              <w:spacing w:after="0"/>
              <w:rPr>
                <w:sz w:val="20"/>
                <w:szCs w:val="20"/>
                <w:color w:val="auto"/>
              </w:rPr>
            </w:pPr>
            <w:r>
              <w:rPr>
                <w:rFonts w:ascii="Arial" w:cs="Arial" w:eastAsia="Arial" w:hAnsi="Arial"/>
                <w:sz w:val="18"/>
                <w:szCs w:val="18"/>
                <w:color w:val="auto"/>
              </w:rPr>
              <w:t>Schlumberger stockholders’ equity</w:t>
            </w: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31,414</w:t>
            </w:r>
          </w:p>
        </w:tc>
        <w:tc>
          <w:tcPr>
            <w:tcW w:w="1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31,226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31,626</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52,372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60"/>
              <w:spacing w:after="0"/>
              <w:rPr>
                <w:sz w:val="20"/>
                <w:szCs w:val="20"/>
                <w:color w:val="auto"/>
              </w:rPr>
            </w:pPr>
            <w:r>
              <w:rPr>
                <w:rFonts w:ascii="Arial" w:cs="Arial" w:eastAsia="Arial" w:hAnsi="Arial"/>
                <w:sz w:val="14"/>
                <w:szCs w:val="14"/>
                <w:color w:val="auto"/>
                <w:w w:val="93"/>
              </w:rPr>
              <w:t>Three Months Ended Mar.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Earnings of companies carried at equity, less dividends received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Pension and other postretirement benefits expense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 funding</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5"/>
                <w:szCs w:val="15"/>
                <w:color w:val="auto"/>
              </w:rPr>
              <w:t>(2)</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(Increase) decrease in receivables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(Increase) decrease in inventories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(Increase) decrease in other current assets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Decrease in accounts payable and accrued liabilities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estimated liability for taxes on income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Decrease in other liabilities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 net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752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Multiclient seismic data capitalized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Business acquisitions and investments, net of cash acquired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 of investments, net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Proceeds from employee stock purchase plan</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Stock repurchase program</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2,234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Repayment of long-term debt</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short-term borrowings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increase (decrease) increase in cash before translation effect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Translation effect on cash</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Cash, end of period</w:t>
            </w:r>
          </w:p>
        </w:tc>
        <w:tc>
          <w:tcPr>
            <w:tcW w:w="1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0" w:type="dxa"/>
            <w:vAlign w:val="bottom"/>
            <w:gridSpan w:val="2"/>
          </w:tcPr>
          <w:p>
            <w:pPr>
              <w:spacing w:after="0"/>
              <w:rPr>
                <w:sz w:val="20"/>
                <w:szCs w:val="20"/>
                <w:color w:val="auto"/>
              </w:rPr>
            </w:pPr>
            <w:r>
              <w:rPr>
                <w:rFonts w:ascii="Arial" w:cs="Arial" w:eastAsia="Arial" w:hAnsi="Arial"/>
                <w:sz w:val="15"/>
                <w:szCs w:val="15"/>
                <w:color w:val="auto"/>
                <w:w w:val="97"/>
              </w:rPr>
              <w:t>(1)</w:t>
            </w:r>
          </w:p>
        </w:tc>
        <w:tc>
          <w:tcPr>
            <w:tcW w:w="7320" w:type="dxa"/>
            <w:vAlign w:val="bottom"/>
            <w:gridSpan w:val="2"/>
          </w:tcPr>
          <w:p>
            <w:pPr>
              <w:ind w:left="260"/>
              <w:spacing w:after="0"/>
              <w:rPr>
                <w:sz w:val="20"/>
                <w:szCs w:val="20"/>
                <w:color w:val="auto"/>
              </w:rPr>
            </w:pPr>
            <w:r>
              <w:rPr>
                <w:rFonts w:ascii="Arial" w:cs="Arial" w:eastAsia="Arial" w:hAnsi="Arial"/>
                <w:sz w:val="18"/>
                <w:szCs w:val="18"/>
                <w:color w:val="auto"/>
              </w:rPr>
              <w:t>Includes multiclient seismic data costs.</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gridSpan w:val="2"/>
          </w:tcPr>
          <w:p>
            <w:pPr>
              <w:spacing w:after="0"/>
              <w:rPr>
                <w:sz w:val="20"/>
                <w:szCs w:val="20"/>
                <w:color w:val="auto"/>
              </w:rPr>
            </w:pPr>
            <w:r>
              <w:rPr>
                <w:rFonts w:ascii="Arial" w:cs="Arial" w:eastAsia="Arial" w:hAnsi="Arial"/>
                <w:sz w:val="15"/>
                <w:szCs w:val="15"/>
                <w:color w:val="auto"/>
                <w:w w:val="97"/>
              </w:rPr>
              <w:t>(2)</w:t>
            </w:r>
          </w:p>
        </w:tc>
        <w:tc>
          <w:tcPr>
            <w:tcW w:w="7320" w:type="dxa"/>
            <w:vAlign w:val="bottom"/>
            <w:gridSpan w:val="2"/>
          </w:tcPr>
          <w:p>
            <w:pPr>
              <w:ind w:left="260"/>
              <w:spacing w:after="0"/>
              <w:rPr>
                <w:sz w:val="20"/>
                <w:szCs w:val="20"/>
                <w:color w:val="auto"/>
              </w:rPr>
            </w:pPr>
            <w:r>
              <w:rPr>
                <w:rFonts w:ascii="Arial" w:cs="Arial" w:eastAsia="Arial" w:hAnsi="Arial"/>
                <w:sz w:val="18"/>
                <w:szCs w:val="18"/>
                <w:color w:val="auto"/>
              </w:rPr>
              <w:t>Net of the effect of business acquisitions.</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vMerge w:val="restart"/>
          </w:tcPr>
          <w:p>
            <w:pPr>
              <w:ind w:left="420"/>
              <w:spacing w:after="0"/>
              <w:rPr>
                <w:sz w:val="20"/>
                <w:szCs w:val="20"/>
                <w:color w:val="auto"/>
              </w:rPr>
            </w:pPr>
            <w:r>
              <w:rPr>
                <w:rFonts w:ascii="Arial" w:cs="Arial" w:eastAsia="Arial" w:hAnsi="Arial"/>
                <w:sz w:val="14"/>
                <w:szCs w:val="14"/>
                <w:color w:val="auto"/>
                <w:w w:val="94"/>
              </w:rPr>
              <w:t>Common Stock</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2010 - March 31, 2010</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3"/>
          </w:tcPr>
          <w:p>
            <w:pPr>
              <w:jc w:val="center"/>
              <w:ind w:right="660"/>
              <w:spacing w:after="0" w:line="154" w:lineRule="exact"/>
              <w:rPr>
                <w:sz w:val="20"/>
                <w:szCs w:val="20"/>
                <w:color w:val="auto"/>
              </w:rPr>
            </w:pPr>
            <w:r>
              <w:rPr>
                <w:rFonts w:ascii="Arial" w:cs="Arial" w:eastAsia="Arial" w:hAnsi="Arial"/>
                <w:sz w:val="14"/>
                <w:szCs w:val="14"/>
                <w:color w:val="auto"/>
                <w:w w:val="89"/>
              </w:rPr>
              <w:t>Retained</w:t>
            </w:r>
          </w:p>
        </w:tc>
        <w:tc>
          <w:tcPr>
            <w:tcW w:w="1320" w:type="dxa"/>
            <w:vAlign w:val="bottom"/>
            <w:gridSpan w:val="4"/>
          </w:tcPr>
          <w:p>
            <w:pPr>
              <w:jc w:val="center"/>
              <w:ind w:right="420"/>
              <w:spacing w:after="0" w:line="154" w:lineRule="exact"/>
              <w:rPr>
                <w:sz w:val="20"/>
                <w:szCs w:val="20"/>
                <w:color w:val="auto"/>
              </w:rPr>
            </w:pPr>
            <w:r>
              <w:rPr>
                <w:rFonts w:ascii="Arial" w:cs="Arial" w:eastAsia="Arial" w:hAnsi="Arial"/>
                <w:sz w:val="14"/>
                <w:szCs w:val="14"/>
                <w:color w:val="auto"/>
                <w:w w:val="91"/>
              </w:rPr>
              <w:t>Comprehensive</w:t>
            </w:r>
          </w:p>
        </w:tc>
        <w:tc>
          <w:tcPr>
            <w:tcW w:w="220" w:type="dxa"/>
            <w:vAlign w:val="bottom"/>
          </w:tcPr>
          <w:p>
            <w:pPr>
              <w:spacing w:after="0"/>
              <w:rPr>
                <w:sz w:val="13"/>
                <w:szCs w:val="13"/>
                <w:color w:val="auto"/>
              </w:rPr>
            </w:pPr>
          </w:p>
        </w:tc>
        <w:tc>
          <w:tcPr>
            <w:tcW w:w="1020" w:type="dxa"/>
            <w:vAlign w:val="bottom"/>
            <w:gridSpan w:val="4"/>
          </w:tcPr>
          <w:p>
            <w:pPr>
              <w:spacing w:after="0" w:line="154"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w w:val="87"/>
              </w:rPr>
              <w:t>Issued</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color w:val="auto"/>
                <w:w w:val="87"/>
              </w:rPr>
              <w:t>In Treasury</w:t>
            </w:r>
          </w:p>
        </w:tc>
        <w:tc>
          <w:tcPr>
            <w:tcW w:w="660" w:type="dxa"/>
            <w:vAlign w:val="bottom"/>
          </w:tcPr>
          <w:p>
            <w:pPr>
              <w:spacing w:after="0"/>
              <w:rPr>
                <w:sz w:val="12"/>
                <w:szCs w:val="12"/>
                <w:color w:val="auto"/>
              </w:rPr>
            </w:pPr>
          </w:p>
        </w:tc>
        <w:tc>
          <w:tcPr>
            <w:tcW w:w="1320" w:type="dxa"/>
            <w:vAlign w:val="bottom"/>
            <w:gridSpan w:val="3"/>
          </w:tcPr>
          <w:p>
            <w:pPr>
              <w:jc w:val="center"/>
              <w:ind w:right="660"/>
              <w:spacing w:after="0" w:line="142" w:lineRule="exact"/>
              <w:rPr>
                <w:sz w:val="20"/>
                <w:szCs w:val="20"/>
                <w:color w:val="auto"/>
              </w:rPr>
            </w:pPr>
            <w:r>
              <w:rPr>
                <w:rFonts w:ascii="Arial" w:cs="Arial" w:eastAsia="Arial" w:hAnsi="Arial"/>
                <w:sz w:val="14"/>
                <w:szCs w:val="14"/>
                <w:color w:val="auto"/>
                <w:w w:val="90"/>
              </w:rPr>
              <w:t>Earnings</w:t>
            </w:r>
          </w:p>
        </w:tc>
        <w:tc>
          <w:tcPr>
            <w:tcW w:w="120" w:type="dxa"/>
            <w:vAlign w:val="bottom"/>
          </w:tcPr>
          <w:p>
            <w:pPr>
              <w:spacing w:after="0"/>
              <w:rPr>
                <w:sz w:val="12"/>
                <w:szCs w:val="12"/>
                <w:color w:val="auto"/>
              </w:rPr>
            </w:pPr>
          </w:p>
        </w:tc>
        <w:tc>
          <w:tcPr>
            <w:tcW w:w="1200" w:type="dxa"/>
            <w:vAlign w:val="bottom"/>
            <w:gridSpan w:val="3"/>
          </w:tcPr>
          <w:p>
            <w:pPr>
              <w:jc w:val="center"/>
              <w:ind w:right="560"/>
              <w:spacing w:after="0" w:line="142" w:lineRule="exact"/>
              <w:rPr>
                <w:sz w:val="20"/>
                <w:szCs w:val="20"/>
                <w:color w:val="auto"/>
              </w:rPr>
            </w:pPr>
            <w:r>
              <w:rPr>
                <w:rFonts w:ascii="Arial" w:cs="Arial" w:eastAsia="Arial" w:hAnsi="Arial"/>
                <w:sz w:val="14"/>
                <w:szCs w:val="14"/>
                <w:color w:val="auto"/>
                <w:w w:val="94"/>
              </w:rPr>
              <w:t>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w w:val="96"/>
              </w:rPr>
              <w:t>Interests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(5,002)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$ 22,019</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(2,674)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Currency translation adjustments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fair value of derivatives</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Deferred employee benefits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Shares sold to optionees, less shares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exchanged</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purchase plan</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($0.21 per share)</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color w:val="auto"/>
              </w:rPr>
              <w:t>Balance, March 31, 2010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(5,221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$ 22,440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(2,632)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$ 19,539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vMerge w:val="restart"/>
          </w:tcPr>
          <w:p>
            <w:pPr>
              <w:ind w:left="420"/>
              <w:spacing w:after="0"/>
              <w:rPr>
                <w:sz w:val="20"/>
                <w:szCs w:val="20"/>
                <w:color w:val="auto"/>
              </w:rPr>
            </w:pPr>
            <w:r>
              <w:rPr>
                <w:rFonts w:ascii="Arial" w:cs="Arial" w:eastAsia="Arial" w:hAnsi="Arial"/>
                <w:sz w:val="14"/>
                <w:szCs w:val="14"/>
                <w:color w:val="auto"/>
                <w:w w:val="94"/>
              </w:rPr>
              <w:t>Common Stock</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2010 - March 31, 2010</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3"/>
          </w:tcPr>
          <w:p>
            <w:pPr>
              <w:jc w:val="center"/>
              <w:ind w:right="660"/>
              <w:spacing w:after="0" w:line="154" w:lineRule="exact"/>
              <w:rPr>
                <w:sz w:val="20"/>
                <w:szCs w:val="20"/>
                <w:color w:val="auto"/>
              </w:rPr>
            </w:pPr>
            <w:r>
              <w:rPr>
                <w:rFonts w:ascii="Arial" w:cs="Arial" w:eastAsia="Arial" w:hAnsi="Arial"/>
                <w:sz w:val="14"/>
                <w:szCs w:val="14"/>
                <w:color w:val="auto"/>
                <w:w w:val="89"/>
              </w:rPr>
              <w:t>Retained</w:t>
            </w:r>
          </w:p>
        </w:tc>
        <w:tc>
          <w:tcPr>
            <w:tcW w:w="1320" w:type="dxa"/>
            <w:vAlign w:val="bottom"/>
            <w:gridSpan w:val="4"/>
          </w:tcPr>
          <w:p>
            <w:pPr>
              <w:jc w:val="center"/>
              <w:ind w:right="420"/>
              <w:spacing w:after="0" w:line="154" w:lineRule="exact"/>
              <w:rPr>
                <w:sz w:val="20"/>
                <w:szCs w:val="20"/>
                <w:color w:val="auto"/>
              </w:rPr>
            </w:pPr>
            <w:r>
              <w:rPr>
                <w:rFonts w:ascii="Arial" w:cs="Arial" w:eastAsia="Arial" w:hAnsi="Arial"/>
                <w:sz w:val="14"/>
                <w:szCs w:val="14"/>
                <w:color w:val="auto"/>
                <w:w w:val="91"/>
              </w:rPr>
              <w:t>Comprehensive</w:t>
            </w:r>
          </w:p>
        </w:tc>
        <w:tc>
          <w:tcPr>
            <w:tcW w:w="220" w:type="dxa"/>
            <w:vAlign w:val="bottom"/>
          </w:tcPr>
          <w:p>
            <w:pPr>
              <w:spacing w:after="0"/>
              <w:rPr>
                <w:sz w:val="13"/>
                <w:szCs w:val="13"/>
                <w:color w:val="auto"/>
              </w:rPr>
            </w:pPr>
          </w:p>
        </w:tc>
        <w:tc>
          <w:tcPr>
            <w:tcW w:w="1020" w:type="dxa"/>
            <w:vAlign w:val="bottom"/>
            <w:gridSpan w:val="4"/>
          </w:tcPr>
          <w:p>
            <w:pPr>
              <w:spacing w:after="0" w:line="154"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2"/>
              </w:rPr>
              <w:t>Issued</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color w:val="auto"/>
                <w:w w:val="84"/>
              </w:rPr>
              <w:t>In Treasury</w:t>
            </w:r>
          </w:p>
        </w:tc>
        <w:tc>
          <w:tcPr>
            <w:tcW w:w="660" w:type="dxa"/>
            <w:vAlign w:val="bottom"/>
          </w:tcPr>
          <w:p>
            <w:pPr>
              <w:spacing w:after="0"/>
              <w:rPr>
                <w:sz w:val="12"/>
                <w:szCs w:val="12"/>
                <w:color w:val="auto"/>
              </w:rPr>
            </w:pPr>
          </w:p>
        </w:tc>
        <w:tc>
          <w:tcPr>
            <w:tcW w:w="1320" w:type="dxa"/>
            <w:vAlign w:val="bottom"/>
            <w:gridSpan w:val="3"/>
          </w:tcPr>
          <w:p>
            <w:pPr>
              <w:jc w:val="center"/>
              <w:ind w:right="660"/>
              <w:spacing w:after="0" w:line="142" w:lineRule="exact"/>
              <w:rPr>
                <w:sz w:val="20"/>
                <w:szCs w:val="20"/>
                <w:color w:val="auto"/>
              </w:rPr>
            </w:pPr>
            <w:r>
              <w:rPr>
                <w:rFonts w:ascii="Arial" w:cs="Arial" w:eastAsia="Arial" w:hAnsi="Arial"/>
                <w:sz w:val="14"/>
                <w:szCs w:val="14"/>
                <w:color w:val="auto"/>
                <w:w w:val="90"/>
              </w:rPr>
              <w:t>Earnings</w:t>
            </w:r>
          </w:p>
        </w:tc>
        <w:tc>
          <w:tcPr>
            <w:tcW w:w="120" w:type="dxa"/>
            <w:vAlign w:val="bottom"/>
          </w:tcPr>
          <w:p>
            <w:pPr>
              <w:spacing w:after="0"/>
              <w:rPr>
                <w:sz w:val="12"/>
                <w:szCs w:val="12"/>
                <w:color w:val="auto"/>
              </w:rPr>
            </w:pPr>
          </w:p>
        </w:tc>
        <w:tc>
          <w:tcPr>
            <w:tcW w:w="1200" w:type="dxa"/>
            <w:vAlign w:val="bottom"/>
            <w:gridSpan w:val="3"/>
          </w:tcPr>
          <w:p>
            <w:pPr>
              <w:jc w:val="center"/>
              <w:ind w:right="560"/>
              <w:spacing w:after="0" w:line="142" w:lineRule="exact"/>
              <w:rPr>
                <w:sz w:val="20"/>
                <w:szCs w:val="20"/>
                <w:color w:val="auto"/>
              </w:rPr>
            </w:pPr>
            <w:r>
              <w:rPr>
                <w:rFonts w:ascii="Arial" w:cs="Arial" w:eastAsia="Arial" w:hAnsi="Arial"/>
                <w:sz w:val="14"/>
                <w:szCs w:val="14"/>
                <w:color w:val="auto"/>
                <w:w w:val="94"/>
              </w:rPr>
              <w:t>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w w:val="96"/>
              </w:rPr>
              <w:t>Interests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11,920</w:t>
            </w:r>
          </w:p>
        </w:tc>
        <w:tc>
          <w:tcPr>
            <w:tcW w:w="7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(3,136)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$ 25,210</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(2,768)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Currency translation adjustments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fair value of derivatives</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Deferred employee benefits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Shares sold to optionees, less shares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exchanged</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154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purchase plan</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Dividends declared ($0.25 per share)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11,983</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(3,740)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$ 25,814</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(2,643)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$ 31,626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9"/>
          </w:tcPr>
          <w:p>
            <w:pPr>
              <w:ind w:left="20"/>
              <w:spacing w:after="0"/>
              <w:rPr>
                <w:sz w:val="20"/>
                <w:szCs w:val="20"/>
                <w:color w:val="auto"/>
              </w:rPr>
            </w:pPr>
            <w:r>
              <w:rPr>
                <w:rFonts w:ascii="Arial" w:cs="Arial" w:eastAsia="Arial" w:hAnsi="Arial"/>
                <w:sz w:val="18"/>
                <w:szCs w:val="18"/>
                <w:b w:val="1"/>
                <w:bCs w:val="1"/>
                <w:color w:val="auto"/>
              </w:rPr>
              <w:t>SHARES OF COMMON STOCK</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820"/>
              <w:spacing w:after="0"/>
              <w:rPr>
                <w:sz w:val="20"/>
                <w:szCs w:val="20"/>
                <w:color w:val="auto"/>
              </w:rPr>
            </w:pPr>
            <w:r>
              <w:rPr>
                <w:rFonts w:ascii="Arial" w:cs="Arial" w:eastAsia="Arial" w:hAnsi="Arial"/>
                <w:sz w:val="14"/>
                <w:szCs w:val="14"/>
                <w:color w:val="auto"/>
                <w:w w:val="87"/>
              </w:rPr>
              <w:t>Issued</w:t>
            </w:r>
          </w:p>
        </w:tc>
        <w:tc>
          <w:tcPr>
            <w:tcW w:w="1240" w:type="dxa"/>
            <w:vAlign w:val="bottom"/>
            <w:gridSpan w:val="5"/>
          </w:tcPr>
          <w:p>
            <w:pPr>
              <w:jc w:val="right"/>
              <w:ind w:right="580"/>
              <w:spacing w:after="0"/>
              <w:rPr>
                <w:sz w:val="20"/>
                <w:szCs w:val="20"/>
                <w:color w:val="auto"/>
              </w:rPr>
            </w:pPr>
            <w:r>
              <w:rPr>
                <w:rFonts w:ascii="Arial" w:cs="Arial" w:eastAsia="Arial" w:hAnsi="Arial"/>
                <w:sz w:val="14"/>
                <w:szCs w:val="14"/>
                <w:color w:val="auto"/>
                <w:w w:val="90"/>
              </w:rPr>
              <w:t>In Treasury</w:t>
            </w: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1,434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Shares sold to optionees, less shares exchanged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Shares issued under employee stock purchase plan</w:t>
            </w: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1,434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13"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 month period ended March 31, 2011 are not necessarily indicative of the results that may be expected for the full year ending December 31, 2011. The December 31, 2010 balance sheet information has been derived from the audited 2010 financial statements. For further information, refer to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and notes thereto, included in the Schlumberger Annual Report on Form 10-K for the year ended December 31, 2010,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Exchange Commission on February 4, 2011.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the prior year have been reclassified to conform to the current year presentation.</w:t>
      </w:r>
    </w:p>
    <w:p>
      <w:pPr>
        <w:spacing w:after="0" w:line="22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first quarters of 2011 and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21" w:lineRule="exact"/>
        <w:rPr>
          <w:sz w:val="20"/>
          <w:szCs w:val="20"/>
          <w:color w:val="auto"/>
        </w:rPr>
      </w:pPr>
    </w:p>
    <w:p>
      <w:pPr>
        <w:ind w:left="660" w:right="48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Schlumberger recorded $34 million of pretax merger and integration-related charges ($28 million after-tax) in connection with the merger with Smith International, Inc. (“Smith”) and the acquisition of Geoservices.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w:t>
      </w:r>
    </w:p>
    <w:p>
      <w:pPr>
        <w:spacing w:after="0" w:line="121" w:lineRule="exact"/>
        <w:rPr>
          <w:sz w:val="20"/>
          <w:szCs w:val="20"/>
          <w:color w:val="auto"/>
        </w:rPr>
      </w:pPr>
    </w:p>
    <w:p>
      <w:pPr>
        <w:ind w:left="660" w:right="6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Schlumberger incurred $35 million of merger-related costs in connection with the Smith and Geoservices transactions. These costs primarily consisted of legal and other advisory fees.</w:t>
      </w:r>
    </w:p>
    <w:p>
      <w:pPr>
        <w:spacing w:after="0" w:line="75" w:lineRule="exact"/>
        <w:rPr>
          <w:rFonts w:ascii="Arial" w:cs="Arial" w:eastAsia="Arial" w:hAnsi="Arial"/>
          <w:sz w:val="18"/>
          <w:szCs w:val="18"/>
          <w:b w:val="1"/>
          <w:bCs w:val="1"/>
          <w:color w:val="auto"/>
        </w:rPr>
      </w:pPr>
    </w:p>
    <w:p>
      <w:pPr>
        <w:ind w:left="660" w:right="22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During March 2010, the Patient Protection and Affordable Care Act (“PPACA”) was signed into law in the United States. Among other things, the PPACA eliminated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w:t>
      </w:r>
    </w:p>
    <w:p>
      <w:pPr>
        <w:spacing w:after="0" w:line="9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these charges: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i w:val="1"/>
                <w:iCs w:val="1"/>
                <w:color w:val="auto"/>
                <w:w w:val="93"/>
              </w:rPr>
              <w:t>(Stated in millions)</w:t>
            </w:r>
          </w:p>
        </w:tc>
        <w:tc>
          <w:tcPr>
            <w:tcW w:w="58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Consolidated Statement</w:t>
            </w:r>
          </w:p>
        </w:tc>
      </w:tr>
      <w:tr>
        <w:trPr>
          <w:trHeight w:val="167"/>
        </w:trPr>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8"/>
              </w:rPr>
              <w:t>Pretax</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Net</w:t>
            </w:r>
          </w:p>
        </w:tc>
        <w:tc>
          <w:tcPr>
            <w:tcW w:w="58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of Income Classification</w:t>
            </w:r>
          </w:p>
        </w:tc>
        <w:tc>
          <w:tcPr>
            <w:tcW w:w="20" w:type="dxa"/>
            <w:vAlign w:val="bottom"/>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4"/>
              </w:rPr>
              <w:t>Merger &amp; integration</w:t>
            </w:r>
          </w:p>
        </w:tc>
        <w:tc>
          <w:tcPr>
            <w:tcW w:w="20" w:type="dxa"/>
            <w:vAlign w:val="bottom"/>
          </w:tcPr>
          <w:p>
            <w:pPr>
              <w:spacing w:after="0"/>
              <w:rPr>
                <w:sz w:val="18"/>
                <w:szCs w:val="18"/>
                <w:color w:val="auto"/>
              </w:rPr>
            </w:pP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color w:val="auto"/>
              </w:rPr>
              <w:t>Impact of elimination of tax deduction related to Medicare Part 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80" w:type="dxa"/>
            <w:vAlign w:val="bottom"/>
          </w:tcPr>
          <w:p>
            <w:pPr>
              <w:ind w:left="200"/>
              <w:spacing w:after="0"/>
              <w:rPr>
                <w:sz w:val="20"/>
                <w:szCs w:val="20"/>
                <w:color w:val="auto"/>
              </w:rPr>
            </w:pPr>
            <w:r>
              <w:rPr>
                <w:rFonts w:ascii="Arial" w:cs="Arial" w:eastAsia="Arial" w:hAnsi="Arial"/>
                <w:sz w:val="18"/>
                <w:szCs w:val="18"/>
                <w:color w:val="auto"/>
              </w:rPr>
              <w:t>subsidy</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i w:val="1"/>
                <w:iCs w:val="1"/>
                <w:color w:val="auto"/>
              </w:rPr>
              <w:t>Taxes on income</w:t>
            </w:r>
          </w:p>
        </w:tc>
      </w:tr>
      <w:tr>
        <w:trPr>
          <w:trHeight w:val="27"/>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color w:val="auto"/>
              </w:rPr>
              <w:t>2010</w:t>
            </w: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320" w:type="dxa"/>
            <w:vAlign w:val="bottom"/>
          </w:tcPr>
          <w:p>
            <w:pPr>
              <w:spacing w:after="0"/>
              <w:rPr>
                <w:sz w:val="10"/>
                <w:szCs w:val="10"/>
                <w:color w:val="auto"/>
              </w:rPr>
            </w:pPr>
          </w:p>
        </w:tc>
        <w:tc>
          <w:tcPr>
            <w:tcW w:w="11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Average</w:t>
            </w:r>
          </w:p>
        </w:tc>
        <w:tc>
          <w:tcPr>
            <w:tcW w:w="320" w:type="dxa"/>
            <w:vAlign w:val="bottom"/>
          </w:tcPr>
          <w:p>
            <w:pPr>
              <w:spacing w:after="0"/>
              <w:rPr>
                <w:sz w:val="10"/>
                <w:szCs w:val="10"/>
                <w:color w:val="auto"/>
              </w:rPr>
            </w:pPr>
          </w:p>
        </w:tc>
        <w:tc>
          <w:tcPr>
            <w:tcW w:w="132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6"/>
              </w:rPr>
              <w:t>Earnings</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color w:val="auto"/>
                <w:w w:val="94"/>
              </w:rPr>
              <w:t>Average</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4"/>
              </w:rPr>
              <w:t>Schlumberger</w:t>
            </w:r>
          </w:p>
        </w:tc>
        <w:tc>
          <w:tcPr>
            <w:tcW w:w="6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Shares</w:t>
            </w:r>
          </w:p>
        </w:tc>
        <w:tc>
          <w:tcPr>
            <w:tcW w:w="34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Net Income</w:t>
            </w: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2"/>
              </w:rPr>
              <w:t>per Share</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Net Income</w:t>
            </w:r>
          </w:p>
        </w:tc>
        <w:tc>
          <w:tcPr>
            <w:tcW w:w="6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Outstanding</w:t>
            </w:r>
          </w:p>
        </w:tc>
        <w:tc>
          <w:tcPr>
            <w:tcW w:w="3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944</w:t>
            </w:r>
          </w:p>
        </w:tc>
        <w:tc>
          <w:tcPr>
            <w:tcW w:w="300" w:type="dxa"/>
            <w:vAlign w:val="bottom"/>
          </w:tcPr>
          <w:p>
            <w:pPr>
              <w:spacing w:after="0"/>
              <w:rPr>
                <w:sz w:val="18"/>
                <w:szCs w:val="18"/>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1,360</w:t>
            </w:r>
          </w:p>
        </w:tc>
        <w:tc>
          <w:tcPr>
            <w:tcW w:w="5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0.69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1,195</w:t>
            </w: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34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1,375</w:t>
            </w:r>
          </w:p>
        </w:tc>
        <w:tc>
          <w:tcPr>
            <w:tcW w:w="340" w:type="dxa"/>
            <w:vAlign w:val="bottom"/>
          </w:tcPr>
          <w:p>
            <w:pPr>
              <w:spacing w:after="0"/>
              <w:rPr>
                <w:sz w:val="19"/>
                <w:szCs w:val="19"/>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0.69</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340" w:type="dxa"/>
            <w:vAlign w:val="bottom"/>
          </w:tcPr>
          <w:p>
            <w:pPr>
              <w:spacing w:after="0"/>
              <w:rPr>
                <w:sz w:val="19"/>
                <w:szCs w:val="19"/>
                <w:color w:val="auto"/>
              </w:rPr>
            </w:pP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gridSpan w:val="3"/>
          </w:tcPr>
          <w:p>
            <w:pPr>
              <w:ind w:left="460"/>
              <w:spacing w:after="0"/>
              <w:rPr>
                <w:sz w:val="20"/>
                <w:szCs w:val="20"/>
                <w:color w:val="auto"/>
              </w:rPr>
            </w:pPr>
            <w:r>
              <w:rPr>
                <w:rFonts w:ascii="Arial" w:cs="Arial" w:eastAsia="Arial" w:hAnsi="Arial"/>
                <w:sz w:val="14"/>
                <w:szCs w:val="14"/>
                <w:i w:val="1"/>
                <w:iCs w:val="1"/>
                <w:color w:val="auto"/>
                <w:w w:val="93"/>
              </w:rPr>
              <w:t>(Stated in millions)</w:t>
            </w:r>
          </w:p>
        </w:tc>
      </w:tr>
      <w:tr>
        <w:trPr>
          <w:trHeight w:val="171"/>
        </w:trPr>
        <w:tc>
          <w:tcPr>
            <w:tcW w:w="9860" w:type="dxa"/>
            <w:vAlign w:val="bottom"/>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2010</w:t>
            </w:r>
          </w:p>
        </w:tc>
      </w:tr>
      <w:tr>
        <w:trPr>
          <w:trHeight w:val="426"/>
        </w:trPr>
        <w:tc>
          <w:tcPr>
            <w:tcW w:w="9860" w:type="dxa"/>
            <w:vAlign w:val="bottom"/>
          </w:tcPr>
          <w:p>
            <w:pPr>
              <w:spacing w:after="0"/>
              <w:rPr>
                <w:sz w:val="20"/>
                <w:szCs w:val="20"/>
                <w:color w:val="auto"/>
              </w:rPr>
            </w:pPr>
            <w:r>
              <w:rPr>
                <w:rFonts w:ascii="Arial" w:cs="Arial" w:eastAsia="Arial" w:hAnsi="Arial"/>
                <w:sz w:val="18"/>
                <w:szCs w:val="18"/>
                <w:color w:val="auto"/>
              </w:rPr>
              <w:t>First Quarter</w:t>
            </w:r>
          </w:p>
        </w:tc>
        <w:tc>
          <w:tcPr>
            <w:tcW w:w="760" w:type="dxa"/>
            <w:vAlign w:val="bottom"/>
          </w:tcPr>
          <w:p>
            <w:pPr>
              <w:jc w:val="right"/>
              <w:ind w:right="262"/>
              <w:spacing w:after="0"/>
              <w:rPr>
                <w:sz w:val="20"/>
                <w:szCs w:val="20"/>
                <w:color w:val="auto"/>
              </w:rPr>
            </w:pPr>
            <w:r>
              <w:rPr>
                <w:rFonts w:ascii="Arial" w:cs="Arial" w:eastAsia="Arial" w:hAnsi="Arial"/>
                <w:sz w:val="18"/>
                <w:szCs w:val="18"/>
                <w:b w:val="1"/>
                <w:bCs w:val="1"/>
                <w:color w:val="auto"/>
              </w:rPr>
              <w:t>1</w:t>
            </w: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13</w:t>
            </w:r>
          </w:p>
        </w:tc>
      </w:tr>
    </w:tbl>
    <w:p>
      <w:pPr>
        <w:spacing w:after="0" w:line="19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August 27, 2010, Schlumberger acquired all of the outstanding shares of Smith, a leading supplier of premium products and services to the oil industry.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issued approximately 176 million shares of its common stock which were valued at $9.8 billion at the time of closing, to effect this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Smith reported revenue of approximately $2.1 billion during the first quarter of 2010.</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April 23, 2010, Schlumberger completed the acquisition of Geoservices, a privately owned oilfield services company specializing in mud logging, slickline and production surveillance operations for $915 million in cash.</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quarter of 2011, Schlumberger made certain acquisitions and minority interest investments, none of which were significant on an individual basis, for cash payments, net of cash acquired, of $74 million.</w:t>
      </w:r>
    </w:p>
    <w:p>
      <w:pPr>
        <w:spacing w:after="0" w:line="16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Mar. 31,</w:t>
            </w: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Work in process</w:t>
            </w:r>
          </w:p>
        </w:tc>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320" w:type="dxa"/>
            <w:vAlign w:val="bottom"/>
            <w:vMerge w:val="restart"/>
          </w:tcPr>
          <w:p>
            <w:pPr>
              <w:jc w:val="right"/>
              <w:ind w:right="337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Mar. 31,</w:t>
            </w:r>
          </w:p>
        </w:tc>
        <w:tc>
          <w:tcPr>
            <w:tcW w:w="1360" w:type="dxa"/>
            <w:vAlign w:val="bottom"/>
            <w:gridSpan w:val="7"/>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ind w:left="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2010</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27,330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15,112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14,608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12,218</w:t>
            </w:r>
          </w:p>
        </w:tc>
        <w:tc>
          <w:tcPr>
            <w:tcW w:w="13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$ 12,071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4"/>
            <w:vMerge w:val="restart"/>
          </w:tcPr>
          <w:p>
            <w:pPr>
              <w:spacing w:after="0"/>
              <w:rPr>
                <w:sz w:val="20"/>
                <w:szCs w:val="20"/>
                <w:color w:val="auto"/>
              </w:rPr>
            </w:pPr>
            <w:r>
              <w:rPr>
                <w:rFonts w:ascii="Arial" w:cs="Arial" w:eastAsia="Arial" w:hAnsi="Arial"/>
                <w:sz w:val="18"/>
                <w:szCs w:val="18"/>
                <w:color w:val="auto"/>
              </w:rPr>
              <w:t>Depreciation expense was $661 million and $547 million in the first quarter of 2011 and 2010, respectively.</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20" w:type="dxa"/>
            <w:vAlign w:val="bottom"/>
            <w:gridSpan w:val="4"/>
          </w:tcPr>
          <w:p>
            <w:pPr>
              <w:spacing w:after="0"/>
              <w:rPr>
                <w:sz w:val="20"/>
                <w:szCs w:val="20"/>
                <w:color w:val="auto"/>
              </w:rPr>
            </w:pPr>
            <w:r>
              <w:rPr>
                <w:rFonts w:ascii="Arial" w:cs="Arial" w:eastAsia="Arial" w:hAnsi="Arial"/>
                <w:sz w:val="18"/>
                <w:szCs w:val="18"/>
                <w:b w:val="1"/>
                <w:bCs w:val="1"/>
                <w:color w:val="auto"/>
              </w:rPr>
              <w:t>7. Multiclient Seismic Data</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020" w:type="dxa"/>
            <w:vAlign w:val="bottom"/>
            <w:gridSpan w:val="4"/>
          </w:tcPr>
          <w:p>
            <w:pPr>
              <w:spacing w:after="0"/>
              <w:rPr>
                <w:sz w:val="20"/>
                <w:szCs w:val="20"/>
                <w:color w:val="auto"/>
              </w:rPr>
            </w:pPr>
            <w:r>
              <w:rPr>
                <w:rFonts w:ascii="Arial" w:cs="Arial" w:eastAsia="Arial" w:hAnsi="Arial"/>
                <w:sz w:val="18"/>
                <w:szCs w:val="18"/>
                <w:color w:val="auto"/>
                <w:w w:val="93"/>
              </w:rPr>
              <w:t>The change in the carrying amount of multiclient seismic data for the three months ended March 31, 2011 was as follows: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6"/>
          </w:tcPr>
          <w:p>
            <w:pPr>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Capitalized in period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4"/>
          </w:tcPr>
          <w:p>
            <w:pPr>
              <w:spacing w:after="0"/>
              <w:rPr>
                <w:sz w:val="20"/>
                <w:szCs w:val="20"/>
                <w:color w:val="auto"/>
              </w:rPr>
            </w:pPr>
            <w:r>
              <w:rPr>
                <w:rFonts w:ascii="Arial" w:cs="Arial" w:eastAsia="Arial" w:hAnsi="Arial"/>
                <w:sz w:val="18"/>
                <w:szCs w:val="18"/>
                <w:color w:val="auto"/>
              </w:rPr>
              <w:t>Balance at March 31, 2011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connection with the change in reportable segments as discussed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Schlumberger reallocated the goodwill that existed as of December 31, 2010 to the new reporting units on a relative fair value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three months ended March 31,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color w:val="auto"/>
              </w:rPr>
              <w:t>Reservoir</w:t>
            </w:r>
          </w:p>
        </w:tc>
        <w:tc>
          <w:tcPr>
            <w:tcW w:w="340" w:type="dxa"/>
            <w:vAlign w:val="bottom"/>
          </w:tcPr>
          <w:p>
            <w:pPr>
              <w:spacing w:after="0"/>
              <w:rPr>
                <w:sz w:val="15"/>
                <w:szCs w:val="15"/>
                <w:color w:val="auto"/>
              </w:rPr>
            </w:pPr>
          </w:p>
        </w:tc>
        <w:tc>
          <w:tcPr>
            <w:tcW w:w="1320" w:type="dxa"/>
            <w:vAlign w:val="bottom"/>
            <w:gridSpan w:val="3"/>
            <w:vMerge w:val="restart"/>
          </w:tcPr>
          <w:p>
            <w:pPr>
              <w:jc w:val="center"/>
              <w:ind w:right="660"/>
              <w:spacing w:after="0"/>
              <w:rPr>
                <w:sz w:val="20"/>
                <w:szCs w:val="20"/>
                <w:color w:val="auto"/>
              </w:rPr>
            </w:pPr>
            <w:r>
              <w:rPr>
                <w:rFonts w:ascii="Arial" w:cs="Arial" w:eastAsia="Arial" w:hAnsi="Arial"/>
                <w:sz w:val="14"/>
                <w:szCs w:val="14"/>
                <w:color w:val="auto"/>
                <w:w w:val="90"/>
              </w:rPr>
              <w:t>Reservoir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15"/>
        </w:trPr>
        <w:tc>
          <w:tcPr>
            <w:tcW w:w="5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w w:val="92"/>
              </w:rPr>
              <w:t>Characterization</w:t>
            </w:r>
          </w:p>
        </w:tc>
        <w:tc>
          <w:tcPr>
            <w:tcW w:w="3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2"/>
              </w:rPr>
              <w:t>Production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Drilling</w:t>
            </w:r>
          </w:p>
        </w:tc>
        <w:tc>
          <w:tcPr>
            <w:tcW w:w="6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Distribution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13,952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Adjustments relating to Smith acquisition</w:t>
            </w:r>
          </w:p>
        </w:tc>
        <w:tc>
          <w:tcPr>
            <w:tcW w:w="14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changes in exchange rates and other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Balance at March 31, 2011</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8,143</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Intangible assets principally comprise technology/technical know-how, tradenames and customer relationships. The gross book value, accumulated amortization and net book value of intangible assets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Mar. 31, 2011</w:t>
            </w:r>
          </w:p>
        </w:tc>
        <w:tc>
          <w:tcPr>
            <w:tcW w:w="2780" w:type="dxa"/>
            <w:vAlign w:val="bottom"/>
            <w:gridSpan w:val="3"/>
          </w:tcPr>
          <w:p>
            <w:pPr>
              <w:jc w:val="right"/>
              <w:ind w:right="80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Stated in millions</w:t>
            </w:r>
            <w:r>
              <w:rPr>
                <w:rFonts w:ascii="Arial" w:cs="Arial" w:eastAsia="Arial" w:hAnsi="Arial"/>
                <w:sz w:val="14"/>
                <w:szCs w:val="14"/>
                <w:color w:val="auto"/>
              </w:rPr>
              <w:t>)</w:t>
            </w:r>
          </w:p>
        </w:tc>
        <w:tc>
          <w:tcPr>
            <w:tcW w:w="1500" w:type="dxa"/>
            <w:vAlign w:val="bottom"/>
            <w:vMerge w:val="restart"/>
          </w:tcPr>
          <w:p>
            <w:pPr>
              <w:jc w:val="right"/>
              <w:ind w:right="277"/>
              <w:spacing w:after="0"/>
              <w:rPr>
                <w:sz w:val="20"/>
                <w:szCs w:val="20"/>
                <w:color w:val="auto"/>
              </w:rPr>
            </w:pPr>
            <w:r>
              <w:rPr>
                <w:rFonts w:ascii="Arial" w:cs="Arial" w:eastAsia="Arial" w:hAnsi="Arial"/>
                <w:sz w:val="14"/>
                <w:szCs w:val="14"/>
                <w:color w:val="auto"/>
              </w:rPr>
              <w:t>Dec. 31, 2010</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220" w:type="dxa"/>
            <w:vAlign w:val="bottom"/>
          </w:tcPr>
          <w:p>
            <w:pPr>
              <w:jc w:val="right"/>
              <w:ind w:right="416"/>
              <w:spacing w:after="0" w:line="119" w:lineRule="exact"/>
              <w:rPr>
                <w:sz w:val="20"/>
                <w:szCs w:val="20"/>
                <w:color w:val="auto"/>
              </w:rPr>
            </w:pPr>
            <w:r>
              <w:rPr>
                <w:rFonts w:ascii="Arial" w:cs="Arial" w:eastAsia="Arial" w:hAnsi="Arial"/>
                <w:sz w:val="13"/>
                <w:szCs w:val="13"/>
                <w:b w:val="1"/>
                <w:bCs w:val="1"/>
                <w:color w:val="auto"/>
              </w:rPr>
              <w:t>Gross</w:t>
            </w:r>
          </w:p>
        </w:tc>
        <w:tc>
          <w:tcPr>
            <w:tcW w:w="1540" w:type="dxa"/>
            <w:vAlign w:val="bottom"/>
          </w:tcPr>
          <w:p>
            <w:pPr>
              <w:jc w:val="right"/>
              <w:ind w:right="277"/>
              <w:spacing w:after="0" w:line="119" w:lineRule="exact"/>
              <w:rPr>
                <w:sz w:val="20"/>
                <w:szCs w:val="20"/>
                <w:color w:val="auto"/>
              </w:rPr>
            </w:pPr>
            <w:r>
              <w:rPr>
                <w:rFonts w:ascii="Arial" w:cs="Arial" w:eastAsia="Arial" w:hAnsi="Arial"/>
                <w:sz w:val="13"/>
                <w:szCs w:val="13"/>
                <w:b w:val="1"/>
                <w:bCs w:val="1"/>
                <w:color w:val="auto"/>
              </w:rPr>
              <w:t>Accumulated</w:t>
            </w:r>
          </w:p>
        </w:tc>
        <w:tc>
          <w:tcPr>
            <w:tcW w:w="116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Net Book</w:t>
            </w:r>
          </w:p>
        </w:tc>
        <w:tc>
          <w:tcPr>
            <w:tcW w:w="420" w:type="dxa"/>
            <w:vAlign w:val="bottom"/>
          </w:tcPr>
          <w:p>
            <w:pPr>
              <w:spacing w:after="0"/>
              <w:rPr>
                <w:sz w:val="10"/>
                <w:szCs w:val="10"/>
                <w:color w:val="auto"/>
              </w:rPr>
            </w:pPr>
          </w:p>
        </w:tc>
        <w:tc>
          <w:tcPr>
            <w:tcW w:w="1200" w:type="dxa"/>
            <w:vAlign w:val="bottom"/>
          </w:tcPr>
          <w:p>
            <w:pPr>
              <w:jc w:val="right"/>
              <w:ind w:right="424"/>
              <w:spacing w:after="0" w:line="119" w:lineRule="exact"/>
              <w:rPr>
                <w:sz w:val="20"/>
                <w:szCs w:val="20"/>
                <w:color w:val="auto"/>
              </w:rPr>
            </w:pPr>
            <w:r>
              <w:rPr>
                <w:rFonts w:ascii="Arial" w:cs="Arial" w:eastAsia="Arial" w:hAnsi="Arial"/>
                <w:sz w:val="13"/>
                <w:szCs w:val="13"/>
                <w:color w:val="auto"/>
              </w:rPr>
              <w:t>Gross</w:t>
            </w:r>
          </w:p>
        </w:tc>
        <w:tc>
          <w:tcPr>
            <w:tcW w:w="1500" w:type="dxa"/>
            <w:vAlign w:val="bottom"/>
          </w:tcPr>
          <w:p>
            <w:pPr>
              <w:jc w:val="right"/>
              <w:ind w:right="297"/>
              <w:spacing w:after="0" w:line="119" w:lineRule="exact"/>
              <w:rPr>
                <w:sz w:val="20"/>
                <w:szCs w:val="20"/>
                <w:color w:val="auto"/>
              </w:rPr>
            </w:pPr>
            <w:r>
              <w:rPr>
                <w:rFonts w:ascii="Arial" w:cs="Arial" w:eastAsia="Arial" w:hAnsi="Arial"/>
                <w:sz w:val="13"/>
                <w:szCs w:val="13"/>
                <w:color w:val="auto"/>
              </w:rPr>
              <w:t>Accumulated</w:t>
            </w:r>
          </w:p>
        </w:tc>
        <w:tc>
          <w:tcPr>
            <w:tcW w:w="1180" w:type="dxa"/>
            <w:vAlign w:val="bottom"/>
          </w:tcPr>
          <w:p>
            <w:pPr>
              <w:jc w:val="right"/>
              <w:ind w:right="156"/>
              <w:spacing w:after="0" w:line="119" w:lineRule="exact"/>
              <w:rPr>
                <w:sz w:val="20"/>
                <w:szCs w:val="20"/>
                <w:color w:val="auto"/>
              </w:rPr>
            </w:pPr>
            <w:r>
              <w:rPr>
                <w:rFonts w:ascii="Arial" w:cs="Arial" w:eastAsia="Arial" w:hAnsi="Arial"/>
                <w:sz w:val="13"/>
                <w:szCs w:val="13"/>
                <w:color w:val="auto"/>
              </w:rPr>
              <w:t>Net Book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Book Value</w:t>
            </w:r>
          </w:p>
        </w:tc>
        <w:tc>
          <w:tcPr>
            <w:tcW w:w="15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11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5"/>
                <w:szCs w:val="15"/>
                <w:color w:val="auto"/>
              </w:rPr>
            </w:pPr>
          </w:p>
        </w:tc>
        <w:tc>
          <w:tcPr>
            <w:tcW w:w="12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Book Value</w:t>
            </w:r>
          </w:p>
        </w:tc>
        <w:tc>
          <w:tcPr>
            <w:tcW w:w="15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Amortization</w:t>
            </w:r>
          </w:p>
        </w:tc>
        <w:tc>
          <w:tcPr>
            <w:tcW w:w="11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Technology/Technical Know-How</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$1,847</w:t>
            </w:r>
          </w:p>
        </w:tc>
        <w:tc>
          <w:tcPr>
            <w:tcW w:w="1540" w:type="dxa"/>
            <w:vAlign w:val="bottom"/>
            <w:shd w:val="clear" w:color="auto" w:fill="CCEEFF"/>
          </w:tcPr>
          <w:p>
            <w:pPr>
              <w:jc w:val="right"/>
              <w:ind w:right="557"/>
              <w:spacing w:after="0"/>
              <w:rPr>
                <w:sz w:val="20"/>
                <w:szCs w:val="20"/>
                <w:color w:val="auto"/>
              </w:rPr>
            </w:pPr>
            <w:r>
              <w:rPr>
                <w:rFonts w:ascii="Arial" w:cs="Arial" w:eastAsia="Arial" w:hAnsi="Arial"/>
                <w:sz w:val="18"/>
                <w:szCs w:val="18"/>
                <w:b w:val="1"/>
                <w:bCs w:val="1"/>
                <w:color w:val="auto"/>
              </w:rPr>
              <w:t>$250</w:t>
            </w:r>
          </w:p>
        </w:tc>
        <w:tc>
          <w:tcPr>
            <w:tcW w:w="1160" w:type="dxa"/>
            <w:vAlign w:val="bottom"/>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$1,597</w:t>
            </w:r>
          </w:p>
        </w:tc>
        <w:tc>
          <w:tcPr>
            <w:tcW w:w="162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$1,846</w:t>
            </w:r>
          </w:p>
        </w:tc>
        <w:tc>
          <w:tcPr>
            <w:tcW w:w="150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Tradenames</w:t>
            </w:r>
          </w:p>
        </w:tc>
        <w:tc>
          <w:tcPr>
            <w:tcW w:w="1220" w:type="dxa"/>
            <w:vAlign w:val="bottom"/>
          </w:tcPr>
          <w:p>
            <w:pPr>
              <w:jc w:val="right"/>
              <w:ind w:right="396"/>
              <w:spacing w:after="0"/>
              <w:rPr>
                <w:sz w:val="20"/>
                <w:szCs w:val="20"/>
                <w:color w:val="auto"/>
              </w:rPr>
            </w:pPr>
            <w:r>
              <w:rPr>
                <w:rFonts w:ascii="Arial" w:cs="Arial" w:eastAsia="Arial" w:hAnsi="Arial"/>
                <w:sz w:val="18"/>
                <w:szCs w:val="18"/>
                <w:b w:val="1"/>
                <w:bCs w:val="1"/>
                <w:color w:val="auto"/>
              </w:rPr>
              <w:t>1,678</w:t>
            </w:r>
          </w:p>
        </w:tc>
        <w:tc>
          <w:tcPr>
            <w:tcW w:w="1540" w:type="dxa"/>
            <w:vAlign w:val="bottom"/>
          </w:tcPr>
          <w:p>
            <w:pPr>
              <w:jc w:val="right"/>
              <w:ind w:right="557"/>
              <w:spacing w:after="0"/>
              <w:rPr>
                <w:sz w:val="20"/>
                <w:szCs w:val="20"/>
                <w:color w:val="auto"/>
              </w:rPr>
            </w:pPr>
            <w:r>
              <w:rPr>
                <w:rFonts w:ascii="Arial" w:cs="Arial" w:eastAsia="Arial" w:hAnsi="Arial"/>
                <w:sz w:val="18"/>
                <w:szCs w:val="18"/>
                <w:b w:val="1"/>
                <w:bCs w:val="1"/>
                <w:color w:val="auto"/>
              </w:rPr>
              <w:t>79</w:t>
            </w:r>
          </w:p>
        </w:tc>
        <w:tc>
          <w:tcPr>
            <w:tcW w:w="1160" w:type="dxa"/>
            <w:vAlign w:val="bottom"/>
          </w:tcPr>
          <w:p>
            <w:pPr>
              <w:jc w:val="right"/>
              <w:ind w:right="237"/>
              <w:spacing w:after="0"/>
              <w:rPr>
                <w:sz w:val="20"/>
                <w:szCs w:val="20"/>
                <w:color w:val="auto"/>
              </w:rPr>
            </w:pPr>
            <w:r>
              <w:rPr>
                <w:rFonts w:ascii="Arial" w:cs="Arial" w:eastAsia="Arial" w:hAnsi="Arial"/>
                <w:sz w:val="18"/>
                <w:szCs w:val="18"/>
                <w:b w:val="1"/>
                <w:bCs w:val="1"/>
                <w:color w:val="auto"/>
              </w:rPr>
              <w:t>1,599</w:t>
            </w:r>
          </w:p>
        </w:tc>
        <w:tc>
          <w:tcPr>
            <w:tcW w:w="1620" w:type="dxa"/>
            <w:vAlign w:val="bottom"/>
            <w:gridSpan w:val="2"/>
          </w:tcPr>
          <w:p>
            <w:pPr>
              <w:jc w:val="right"/>
              <w:ind w:right="404"/>
              <w:spacing w:after="0"/>
              <w:rPr>
                <w:sz w:val="20"/>
                <w:szCs w:val="20"/>
                <w:color w:val="auto"/>
              </w:rPr>
            </w:pPr>
            <w:r>
              <w:rPr>
                <w:rFonts w:ascii="Arial" w:cs="Arial" w:eastAsia="Arial" w:hAnsi="Arial"/>
                <w:sz w:val="18"/>
                <w:szCs w:val="18"/>
                <w:color w:val="auto"/>
              </w:rPr>
              <w:t>1,678</w:t>
            </w:r>
          </w:p>
        </w:tc>
        <w:tc>
          <w:tcPr>
            <w:tcW w:w="1500" w:type="dxa"/>
            <w:vAlign w:val="bottom"/>
          </w:tcPr>
          <w:p>
            <w:pPr>
              <w:jc w:val="right"/>
              <w:ind w:right="537"/>
              <w:spacing w:after="0"/>
              <w:rPr>
                <w:sz w:val="20"/>
                <w:szCs w:val="20"/>
                <w:color w:val="auto"/>
              </w:rPr>
            </w:pPr>
            <w:r>
              <w:rPr>
                <w:rFonts w:ascii="Arial" w:cs="Arial" w:eastAsia="Arial" w:hAnsi="Arial"/>
                <w:sz w:val="18"/>
                <w:szCs w:val="18"/>
                <w:color w:val="auto"/>
              </w:rPr>
              <w:t>61</w:t>
            </w:r>
          </w:p>
        </w:tc>
        <w:tc>
          <w:tcPr>
            <w:tcW w:w="1180" w:type="dxa"/>
            <w:vAlign w:val="bottom"/>
          </w:tcPr>
          <w:p>
            <w:pPr>
              <w:jc w:val="right"/>
              <w:ind w:right="236"/>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1,971</w:t>
            </w:r>
          </w:p>
        </w:tc>
        <w:tc>
          <w:tcPr>
            <w:tcW w:w="1540" w:type="dxa"/>
            <w:vAlign w:val="bottom"/>
            <w:shd w:val="clear" w:color="auto" w:fill="CCEEFF"/>
          </w:tcPr>
          <w:p>
            <w:pPr>
              <w:jc w:val="right"/>
              <w:ind w:right="557"/>
              <w:spacing w:after="0"/>
              <w:rPr>
                <w:sz w:val="20"/>
                <w:szCs w:val="20"/>
                <w:color w:val="auto"/>
              </w:rPr>
            </w:pPr>
            <w:r>
              <w:rPr>
                <w:rFonts w:ascii="Arial" w:cs="Arial" w:eastAsia="Arial" w:hAnsi="Arial"/>
                <w:sz w:val="18"/>
                <w:szCs w:val="18"/>
                <w:b w:val="1"/>
                <w:bCs w:val="1"/>
                <w:color w:val="auto"/>
              </w:rPr>
              <w:t>157</w:t>
            </w:r>
          </w:p>
        </w:tc>
        <w:tc>
          <w:tcPr>
            <w:tcW w:w="1160" w:type="dxa"/>
            <w:vAlign w:val="bottom"/>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1,814</w:t>
            </w:r>
          </w:p>
        </w:tc>
        <w:tc>
          <w:tcPr>
            <w:tcW w:w="162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1,963</w:t>
            </w:r>
          </w:p>
        </w:tc>
        <w:tc>
          <w:tcPr>
            <w:tcW w:w="150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129</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366</w:t>
            </w: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b w:val="1"/>
                <w:bCs w:val="1"/>
                <w:color w:val="auto"/>
              </w:rPr>
              <w:t>297</w:t>
            </w: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69</w:t>
            </w:r>
          </w:p>
        </w:tc>
        <w:tc>
          <w:tcPr>
            <w:tcW w:w="420" w:type="dxa"/>
            <w:vAlign w:val="bottom"/>
          </w:tcPr>
          <w:p>
            <w:pPr>
              <w:spacing w:after="0"/>
              <w:rPr>
                <w:sz w:val="19"/>
                <w:szCs w:val="19"/>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8"/>
                <w:szCs w:val="18"/>
                <w:color w:val="auto"/>
              </w:rPr>
              <w:t>378</w:t>
            </w:r>
          </w:p>
        </w:tc>
        <w:tc>
          <w:tcPr>
            <w:tcW w:w="150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rPr>
              <w:t>298</w:t>
            </w: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$5,862</w:t>
            </w:r>
          </w:p>
        </w:tc>
        <w:tc>
          <w:tcPr>
            <w:tcW w:w="1540" w:type="dxa"/>
            <w:vAlign w:val="bottom"/>
            <w:shd w:val="clear" w:color="auto" w:fill="CCEEFF"/>
          </w:tcPr>
          <w:p>
            <w:pPr>
              <w:jc w:val="right"/>
              <w:ind w:right="557"/>
              <w:spacing w:after="0"/>
              <w:rPr>
                <w:sz w:val="20"/>
                <w:szCs w:val="20"/>
                <w:color w:val="auto"/>
              </w:rPr>
            </w:pPr>
            <w:r>
              <w:rPr>
                <w:rFonts w:ascii="Arial" w:cs="Arial" w:eastAsia="Arial" w:hAnsi="Arial"/>
                <w:sz w:val="18"/>
                <w:szCs w:val="18"/>
                <w:b w:val="1"/>
                <w:bCs w:val="1"/>
                <w:color w:val="auto"/>
              </w:rPr>
              <w:t>$783</w:t>
            </w:r>
          </w:p>
        </w:tc>
        <w:tc>
          <w:tcPr>
            <w:tcW w:w="1160" w:type="dxa"/>
            <w:vAlign w:val="bottom"/>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$5,079</w:t>
            </w:r>
          </w:p>
        </w:tc>
        <w:tc>
          <w:tcPr>
            <w:tcW w:w="162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$5,865</w:t>
            </w:r>
          </w:p>
        </w:tc>
        <w:tc>
          <w:tcPr>
            <w:tcW w:w="150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$703</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$84 million during the first quarter of 2011 and $28 million during the same period of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21 years.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Based on the net book value of intangible assets at March 31, 2011, amortization charged to income for the subsequent five years is estimated to be: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remainder of 2011 — $240 million; 2012 - $311 million; 2013 — $295 million; 2014 — $290 million; 2015 — $275 million and 2016 — $260 million.</w:t>
      </w:r>
    </w:p>
    <w:p>
      <w:pPr>
        <w:spacing w:after="0" w:line="218"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multinational company, Schlumberger conducts its business in approximately 80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are reclassified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into earnings in the same period or periods that the hedged item is recognized in earnings. The ineffective portion of changes in the fair value of hedging instruments, if any, is recorded directly to earnings.</w:t>
      </w:r>
    </w:p>
    <w:p>
      <w:pPr>
        <w:spacing w:after="0" w:line="8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At March 31, 2011, Schlumberger recognized a cumulative net $10 million gain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2011, contracts were outstanding for the US dollar equivalent of $7.5 billion in various foreign currencies.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2011, $27 million of commodity forward contracts were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7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During the third quarter of 2009, Schlumberger entered into an interest rate swap for a notional amount of $450 million in order to hedge changes in the fair value of Schlumberger’s $450 million 3.00% Notes due 2013. Under the terms of this swap, Schlumberger receives interest at a fixed rate of 3.0% annually and pays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gains and losses recognized 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March 31, 2011, Schlumberger had fixed rate debt aggregating $5.5 billion and variable rate debt aggregating $3.1 billion, after taking into account the effects of the interest rate swaps.</w:t>
      </w:r>
    </w:p>
    <w:p>
      <w:pPr>
        <w:spacing w:after="0" w:line="6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$3.1 billion at March 31, 2011, and were comprised primarily of money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4"/>
          </w:tcPr>
          <w:p>
            <w:pPr>
              <w:jc w:val="right"/>
              <w:ind w:right="520"/>
              <w:spacing w:after="0"/>
              <w:rPr>
                <w:sz w:val="20"/>
                <w:szCs w:val="20"/>
                <w:color w:val="auto"/>
              </w:rPr>
            </w:pPr>
            <w:r>
              <w:rPr>
                <w:rFonts w:ascii="Arial" w:cs="Arial" w:eastAsia="Arial" w:hAnsi="Arial"/>
                <w:sz w:val="14"/>
                <w:szCs w:val="14"/>
                <w:i w:val="1"/>
                <w:iCs w:val="1"/>
                <w:color w:val="auto"/>
              </w:rPr>
              <w:t>(Stated in millions)</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5"/>
              </w:rPr>
              <w:t>Fair Value of Derivatives</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720" w:type="dxa"/>
            <w:vAlign w:val="bottom"/>
            <w:tcBorders>
              <w:top w:val="single" w:sz="8" w:color="auto"/>
            </w:tcBorders>
            <w:gridSpan w:val="4"/>
          </w:tcPr>
          <w:p>
            <w:pPr>
              <w:ind w:left="60"/>
              <w:spacing w:after="0" w:line="119" w:lineRule="exact"/>
              <w:rPr>
                <w:sz w:val="20"/>
                <w:szCs w:val="20"/>
                <w:color w:val="auto"/>
              </w:rPr>
            </w:pPr>
            <w:r>
              <w:rPr>
                <w:rFonts w:ascii="Arial" w:cs="Arial" w:eastAsia="Arial" w:hAnsi="Arial"/>
                <w:sz w:val="13"/>
                <w:szCs w:val="13"/>
                <w:b w:val="1"/>
                <w:bCs w:val="1"/>
                <w:color w:val="auto"/>
              </w:rPr>
              <w:t>Mar. 31,</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color w:val="auto"/>
              </w:rPr>
              <w:t>Dec. 31,</w:t>
            </w:r>
          </w:p>
        </w:tc>
        <w:tc>
          <w:tcPr>
            <w:tcW w:w="520" w:type="dxa"/>
            <w:vAlign w:val="bottom"/>
          </w:tcPr>
          <w:p>
            <w:pPr>
              <w:spacing w:after="0"/>
              <w:rPr>
                <w:sz w:val="10"/>
                <w:szCs w:val="10"/>
                <w:color w:val="auto"/>
              </w:rPr>
            </w:pPr>
          </w:p>
        </w:tc>
        <w:tc>
          <w:tcPr>
            <w:tcW w:w="294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6"/>
              </w:rPr>
              <w:t>2010</w:t>
            </w:r>
          </w:p>
        </w:tc>
        <w:tc>
          <w:tcPr>
            <w:tcW w:w="520" w:type="dxa"/>
            <w:vAlign w:val="bottom"/>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Derivative designated as hedges: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Derivative not designated as hedges: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160</w:t>
            </w:r>
          </w:p>
        </w:tc>
        <w:tc>
          <w:tcPr>
            <w:tcW w:w="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Derivative designated as hedges: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Derivative not designated as hedges: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107</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effect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of derivative instruments designated as fair value hedges and those not designated as hedges was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580"/>
              <w:spacing w:after="0"/>
              <w:rPr>
                <w:sz w:val="20"/>
                <w:szCs w:val="20"/>
                <w:color w:val="auto"/>
              </w:rPr>
            </w:pPr>
            <w:r>
              <w:rPr>
                <w:rFonts w:ascii="Arial" w:cs="Arial" w:eastAsia="Arial" w:hAnsi="Arial"/>
                <w:sz w:val="14"/>
                <w:szCs w:val="14"/>
                <w:i w:val="1"/>
                <w:iCs w:val="1"/>
                <w:color w:val="auto"/>
                <w:w w:val="98"/>
              </w:rPr>
              <w:t>(Stated in millions)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7"/>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Gain (Loss) Recognized</w:t>
            </w: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w w:val="88"/>
              </w:rPr>
              <w:t>in Income</w:t>
            </w:r>
          </w:p>
        </w:tc>
        <w:tc>
          <w:tcPr>
            <w:tcW w:w="5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First Quarter</w:t>
            </w:r>
          </w:p>
        </w:tc>
        <w:tc>
          <w:tcPr>
            <w:tcW w:w="5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w w:val="96"/>
              </w:rPr>
              <w:t>2010</w:t>
            </w:r>
          </w:p>
        </w:tc>
        <w:tc>
          <w:tcPr>
            <w:tcW w:w="580" w:type="dxa"/>
            <w:vAlign w:val="bottom"/>
          </w:tcPr>
          <w:p>
            <w:pPr>
              <w:spacing w:after="0"/>
              <w:rPr>
                <w:sz w:val="12"/>
                <w:szCs w:val="12"/>
                <w:color w:val="auto"/>
              </w:rPr>
            </w:pPr>
          </w:p>
        </w:tc>
        <w:tc>
          <w:tcPr>
            <w:tcW w:w="2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fair value hedges: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2560" w:type="dxa"/>
            <w:vAlign w:val="bottom"/>
          </w:tcPr>
          <w:p>
            <w:pPr>
              <w:spacing w:after="0"/>
              <w:rPr>
                <w:sz w:val="20"/>
                <w:szCs w:val="20"/>
                <w:color w:val="auto"/>
              </w:rPr>
            </w:pPr>
            <w:r>
              <w:rPr>
                <w:rFonts w:ascii="Arial" w:cs="Arial" w:eastAsia="Arial" w:hAnsi="Arial"/>
                <w:sz w:val="18"/>
                <w:szCs w:val="18"/>
                <w:i w:val="1"/>
                <w:iCs w:val="1"/>
                <w:color w:val="auto"/>
                <w:w w:val="89"/>
              </w:rPr>
              <w:t>Cost of revenue — Oilfield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2560" w:type="dxa"/>
            <w:vAlign w:val="bottom"/>
          </w:tcPr>
          <w:p>
            <w:pPr>
              <w:spacing w:after="0"/>
              <w:rPr>
                <w:sz w:val="20"/>
                <w:szCs w:val="20"/>
                <w:color w:val="auto"/>
              </w:rPr>
            </w:pPr>
            <w:r>
              <w:rPr>
                <w:rFonts w:ascii="Arial" w:cs="Arial" w:eastAsia="Arial" w:hAnsi="Arial"/>
                <w:sz w:val="18"/>
                <w:szCs w:val="18"/>
                <w:i w:val="1"/>
                <w:iCs w:val="1"/>
                <w:color w:val="auto"/>
                <w:w w:val="89"/>
              </w:rPr>
              <w:t>Cost of revenue — Oilfield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contracts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9"/>
              </w:rPr>
              <w:t>Cost of revenue — Oilfield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i w:val="1"/>
                <w:iCs w:val="1"/>
                <w:color w:val="auto"/>
              </w:rPr>
              <w:t>(Stated in millions)</w:t>
            </w: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Gain (Loss) Reclassified</w:t>
            </w: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6"/>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from Accumulated OCI</w:t>
            </w: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94"/>
              </w:rPr>
              <w:t>into Income</w:t>
            </w:r>
          </w:p>
        </w:tc>
        <w:tc>
          <w:tcPr>
            <w:tcW w:w="5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center"/>
              <w:ind w:left="302"/>
              <w:spacing w:after="0" w:line="142" w:lineRule="exact"/>
              <w:rPr>
                <w:sz w:val="20"/>
                <w:szCs w:val="20"/>
                <w:color w:val="auto"/>
              </w:rPr>
            </w:pPr>
            <w:r>
              <w:rPr>
                <w:rFonts w:ascii="Arial" w:cs="Arial" w:eastAsia="Arial" w:hAnsi="Arial"/>
                <w:sz w:val="14"/>
                <w:szCs w:val="14"/>
                <w:b w:val="1"/>
                <w:bCs w:val="1"/>
                <w:color w:val="auto"/>
                <w:w w:val="99"/>
              </w:rPr>
              <w:t>First Quarter</w:t>
            </w:r>
          </w:p>
        </w:tc>
        <w:tc>
          <w:tcPr>
            <w:tcW w:w="5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58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color w:val="auto"/>
                <w:w w:val="96"/>
              </w:rPr>
              <w:t>2010</w:t>
            </w:r>
          </w:p>
        </w:tc>
        <w:tc>
          <w:tcPr>
            <w:tcW w:w="580" w:type="dxa"/>
            <w:vAlign w:val="bottom"/>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w:t>
            </w:r>
          </w:p>
        </w:tc>
        <w:tc>
          <w:tcPr>
            <w:tcW w:w="2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9"/>
              </w:rPr>
              <w:t>Cost of revenue — Oilfield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560" w:type="dxa"/>
            <w:vAlign w:val="bottom"/>
          </w:tcPr>
          <w:p>
            <w:pPr>
              <w:spacing w:after="0"/>
              <w:rPr>
                <w:sz w:val="20"/>
                <w:szCs w:val="20"/>
                <w:color w:val="auto"/>
              </w:rPr>
            </w:pPr>
            <w:r>
              <w:rPr>
                <w:rFonts w:ascii="Arial" w:cs="Arial" w:eastAsia="Arial" w:hAnsi="Arial"/>
                <w:sz w:val="18"/>
                <w:szCs w:val="18"/>
                <w:i w:val="1"/>
                <w:iCs w:val="1"/>
                <w:color w:val="auto"/>
              </w:rPr>
              <w:t>Research &amp; engineering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w:t>
            </w:r>
          </w:p>
        </w:tc>
        <w:tc>
          <w:tcPr>
            <w:tcW w:w="2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i w:val="1"/>
                <w:iCs w:val="1"/>
                <w:color w:val="auto"/>
              </w:rPr>
              <w:t>(Stated in millions)</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4"/>
          </w:tcPr>
          <w:p>
            <w:pPr>
              <w:jc w:val="center"/>
              <w:ind w:left="302"/>
              <w:spacing w:after="0" w:line="149" w:lineRule="exact"/>
              <w:rPr>
                <w:sz w:val="20"/>
                <w:szCs w:val="20"/>
                <w:color w:val="auto"/>
              </w:rPr>
            </w:pPr>
            <w:r>
              <w:rPr>
                <w:rFonts w:ascii="Arial" w:cs="Arial" w:eastAsia="Arial" w:hAnsi="Arial"/>
                <w:sz w:val="14"/>
                <w:szCs w:val="14"/>
                <w:b w:val="1"/>
                <w:bCs w:val="1"/>
                <w:color w:val="auto"/>
                <w:w w:val="93"/>
              </w:rPr>
              <w:t>Gain (Loss)</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3"/>
              </w:rPr>
              <w:t>Recognized in OCI</w:t>
            </w: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4"/>
          </w:tcPr>
          <w:p>
            <w:pPr>
              <w:jc w:val="center"/>
              <w:ind w:left="302"/>
              <w:spacing w:after="0" w:line="142" w:lineRule="exact"/>
              <w:rPr>
                <w:sz w:val="20"/>
                <w:szCs w:val="20"/>
                <w:color w:val="auto"/>
              </w:rPr>
            </w:pPr>
            <w:r>
              <w:rPr>
                <w:rFonts w:ascii="Arial" w:cs="Arial" w:eastAsia="Arial" w:hAnsi="Arial"/>
                <w:sz w:val="14"/>
                <w:szCs w:val="14"/>
                <w:b w:val="1"/>
                <w:bCs w:val="1"/>
                <w:color w:val="auto"/>
                <w:w w:val="99"/>
              </w:rPr>
              <w:t>First Quarter</w:t>
            </w:r>
          </w:p>
        </w:tc>
        <w:tc>
          <w:tcPr>
            <w:tcW w:w="500" w:type="dxa"/>
            <w:vAlign w:val="bottom"/>
            <w:tcBorders>
              <w:top w:val="single" w:sz="8" w:color="auto"/>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96"/>
              </w:rPr>
              <w:t>2010</w:t>
            </w:r>
          </w:p>
        </w:tc>
        <w:tc>
          <w:tcPr>
            <w:tcW w:w="5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378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(158)</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60" w:type="dxa"/>
            <w:vAlign w:val="bottom"/>
            <w:vMerge w:val="restart"/>
          </w:tcPr>
          <w:p>
            <w:pPr>
              <w:jc w:val="right"/>
              <w:ind w:right="39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 31,</w:t>
            </w: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4.50%</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Notes due 2014</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2.75%</w:t>
            </w:r>
          </w:p>
        </w:tc>
        <w:tc>
          <w:tcPr>
            <w:tcW w:w="8780" w:type="dxa"/>
            <w:vAlign w:val="bottom"/>
          </w:tcPr>
          <w:p>
            <w:pPr>
              <w:ind w:left="20"/>
              <w:spacing w:after="0"/>
              <w:rPr>
                <w:sz w:val="20"/>
                <w:szCs w:val="20"/>
                <w:color w:val="auto"/>
              </w:rPr>
            </w:pPr>
            <w:r>
              <w:rPr>
                <w:rFonts w:ascii="Arial" w:cs="Arial" w:eastAsia="Arial" w:hAnsi="Arial"/>
                <w:sz w:val="18"/>
                <w:szCs w:val="18"/>
                <w:color w:val="auto"/>
              </w:rPr>
              <w:t>Guaranteed Notes due 2015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4.20%</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Notes due 2021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5.25%</w:t>
            </w:r>
          </w:p>
        </w:tc>
        <w:tc>
          <w:tcPr>
            <w:tcW w:w="8780" w:type="dxa"/>
            <w:vAlign w:val="bottom"/>
          </w:tcPr>
          <w:p>
            <w:pPr>
              <w:ind w:left="20"/>
              <w:spacing w:after="0"/>
              <w:rPr>
                <w:sz w:val="20"/>
                <w:szCs w:val="20"/>
                <w:color w:val="auto"/>
              </w:rPr>
            </w:pPr>
            <w:r>
              <w:rPr>
                <w:rFonts w:ascii="Arial" w:cs="Arial" w:eastAsia="Arial" w:hAnsi="Arial"/>
                <w:sz w:val="18"/>
                <w:szCs w:val="18"/>
                <w:color w:val="auto"/>
              </w:rPr>
              <w:t>Guaranteed Notes due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703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2.65%</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Notes due 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3.00%</w:t>
            </w:r>
          </w:p>
        </w:tc>
        <w:tc>
          <w:tcPr>
            <w:tcW w:w="8780" w:type="dxa"/>
            <w:vAlign w:val="bottom"/>
          </w:tcPr>
          <w:p>
            <w:pPr>
              <w:ind w:left="20"/>
              <w:spacing w:after="0"/>
              <w:rPr>
                <w:sz w:val="20"/>
                <w:szCs w:val="20"/>
                <w:color w:val="auto"/>
              </w:rPr>
            </w:pPr>
            <w:r>
              <w:rPr>
                <w:rFonts w:ascii="Arial" w:cs="Arial" w:eastAsia="Arial" w:hAnsi="Arial"/>
                <w:sz w:val="18"/>
                <w:szCs w:val="18"/>
                <w:color w:val="auto"/>
              </w:rPr>
              <w:t>Guaranteed Notes due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9.75%</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8.625% Senior Notes due 2014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6.00%</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variable rate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 — hedging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During the first quarter of 2011, Schlumberger repurchased all of the outstanding 9.75% Senior Notes due 2019, the 8.625% Senior Notes due 2014 and the 6.00% Senior Notes due 2016 for approximately $1.26 billion. These transactions did not result in any significant gains or losses.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2011, Schlumberger issued $1.1 billion of 4.20% Guaranteed Notes due 2021.</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the first quarter of 2011, Schlumberger issued $500 million of 2.65% Guaranteed Notes due 2016. Schlumberger entered into agreements to swap these dollar notes for euros on the date of issue until maturity, effectively making this a euro denominated debt on which Schlumberger will pay interest in euros at a rate of 2.39%.</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March 31, 2011 and December 31, 2010 was $6.5 billion and $5.6 billion, respectively, and was estimated based on quoted market prices.</w:t>
      </w:r>
    </w:p>
    <w:p>
      <w:pPr>
        <w:spacing w:after="0" w:line="166"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before taxes </w:t>
      </w:r>
      <w:r>
        <w:rPr>
          <w:rFonts w:ascii="Arial" w:cs="Arial" w:eastAsia="Arial" w:hAnsi="Arial"/>
          <w:sz w:val="18"/>
          <w:szCs w:val="18"/>
          <w:color w:val="auto"/>
        </w:rPr>
        <w:t>which was subject to US and non-US income taxes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First Quarter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Outside United States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873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first quarter of 2011, Schlumberger recorded pretax charges of $34 million, consisting of net charges in the US of $23 million and $11 million outside of the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2010, Schlumberger recorded net pretax charges of $35 million outside of the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charges are included in the table above and are more fully described in Note 2 — </w:t>
      </w:r>
      <w:r>
        <w:rPr>
          <w:rFonts w:ascii="Arial" w:cs="Arial" w:eastAsia="Arial" w:hAnsi="Arial"/>
          <w:sz w:val="18"/>
          <w:szCs w:val="18"/>
          <w:i w:val="1"/>
          <w:iCs w:val="1"/>
          <w:color w:val="auto"/>
        </w:rPr>
        <w:t>Charges.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Mar. 31,</w:t>
            </w: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5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Intangible assets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net</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above deferred tax balances at March 31, 2011 and December 31, 2010 were net of valuation allowances relating to net operating losses in certain countries of $277 million and $263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First Quarter</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United States — Federal</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155</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 State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Outside United States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235</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 Federal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United States — State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Outside United States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20" w:type="dxa"/>
            <w:vAlign w:val="bottom"/>
            <w:gridSpan w:val="2"/>
          </w:tcPr>
          <w:p>
            <w:pPr>
              <w:spacing w:after="0"/>
              <w:rPr>
                <w:sz w:val="20"/>
                <w:szCs w:val="20"/>
                <w:color w:val="auto"/>
              </w:rPr>
            </w:pPr>
            <w:r>
              <w:rPr>
                <w:rFonts w:ascii="Arial" w:cs="Arial" w:eastAsia="Arial" w:hAnsi="Arial"/>
                <w:sz w:val="18"/>
                <w:szCs w:val="18"/>
                <w:color w:val="auto"/>
              </w:rPr>
              <w:t>Consolidated taxes on income</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295</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color w:val="auto"/>
              </w:rPr>
              <w:t>First Quarter</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940" w:type="dxa"/>
            <w:vAlign w:val="bottom"/>
            <w:tcBorders>
              <w:bottom w:val="single" w:sz="8" w:color="auto"/>
            </w:tcBorders>
            <w:gridSpan w:val="4"/>
          </w:tcPr>
          <w:p>
            <w:pPr>
              <w:jc w:val="right"/>
              <w:ind w:right="26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w w:val="96"/>
              </w:rPr>
              <w:t>2010</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US state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w w:val="87"/>
              </w:rPr>
              <w:t>(11)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Charges (See Note 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governmental authorities and is currently unable to predict the outcome of this matter.</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Smith received an administrative subpoena with respect to its historical business practices in certain countries that are subject to United States trade and economic sanctions. Schlumberger is cooperating with the governmental authorities and is currently unable to predict the outcome of these matters.</w:t>
      </w:r>
    </w:p>
    <w:p>
      <w:pPr>
        <w:spacing w:after="0" w:line="6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On April 20, 2010, a fire and explosion occurred onboard the semisubmersible drilling rig </w:t>
      </w:r>
      <w:r>
        <w:rPr>
          <w:rFonts w:ascii="Arial" w:cs="Arial" w:eastAsia="Arial" w:hAnsi="Arial"/>
          <w:sz w:val="17"/>
          <w:szCs w:val="17"/>
          <w:i w:val="1"/>
          <w:iCs w:val="1"/>
          <w:color w:val="auto"/>
        </w:rPr>
        <w:t>Deepwater Horizon</w:t>
      </w:r>
      <w:r>
        <w:rPr>
          <w:rFonts w:ascii="Arial" w:cs="Arial" w:eastAsia="Arial" w:hAnsi="Arial"/>
          <w:sz w:val="17"/>
          <w:szCs w:val="17"/>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7"/>
          <w:szCs w:val="17"/>
          <w:i w:val="1"/>
          <w:iCs w:val="1"/>
          <w:color w:val="auto"/>
        </w:rPr>
        <w:t>Deepwater Horizon</w:t>
      </w:r>
      <w:r>
        <w:rPr>
          <w:rFonts w:ascii="Arial" w:cs="Arial" w:eastAsia="Arial" w:hAnsi="Arial"/>
          <w:sz w:val="17"/>
          <w:szCs w:val="17"/>
          <w:color w:val="auto"/>
        </w:rPr>
        <w:t xml:space="preserve"> incident, and additional legal actions may be filed in the future. Based on information currently known, the amount of any potential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loss attributable to M-I SWACO with respect to potential liabilities related to the incident would not be material to Schlumberger’s consolidated financial position.</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and, as such, that any liability that might ensue would not be material in relation to Schlumberger’s consolidated financial position. However, litigation is inherently uncertain and it is not possible to predict the ultimate disposition of these proceedings.</w:t>
      </w:r>
    </w:p>
    <w:p>
      <w:pPr>
        <w:spacing w:after="0" w:line="183"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Schlumberger previously reported its results on the basis of five business segments — Schlumberger Oilfield Services, WesternGeco, M-I SWACO, Smith Oilfield and Distribution and by geographical areas within Schlumberger Oilfield Services. As a result of the recent acquisitions of Smith and Geoservices, Schlumberger has reached a point where its coverage of the various activities comprising exploration and production services is so broad that Schlumberger has changed the primary way in which it allocates resources and assesses performance. Consequently, effective with the first quarter of 2011, Schlumberger changed its primary reporting to product group segments (the “Groups”).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as follows:</w:t>
      </w:r>
    </w:p>
    <w:p>
      <w:pPr>
        <w:spacing w:after="0" w:line="117" w:lineRule="exact"/>
        <w:rPr>
          <w:sz w:val="20"/>
          <w:szCs w:val="20"/>
          <w:color w:val="auto"/>
        </w:rPr>
      </w:pPr>
    </w:p>
    <w:p>
      <w:pPr>
        <w:ind w:left="660" w:right="660" w:hanging="436"/>
        <w:spacing w:after="0" w:line="342"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Reservoir Characterization Group </w:t>
      </w:r>
      <w:r>
        <w:rPr>
          <w:rFonts w:ascii="Arial" w:cs="Arial" w:eastAsia="Arial" w:hAnsi="Arial"/>
          <w:sz w:val="16"/>
          <w:szCs w:val="16"/>
          <w:color w:val="auto"/>
        </w:rPr>
        <w:t>— This group consists of the principal technologies involved in the finding and defining of hydrocarbon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deposits. These include WesternGeco, Wireline, Testing Services, Schlumberger Information Services and Data &amp; Consulting Services.</w:t>
      </w:r>
    </w:p>
    <w:p>
      <w:pPr>
        <w:spacing w:after="0" w:line="29" w:lineRule="exact"/>
        <w:rPr>
          <w:rFonts w:ascii="Arial" w:cs="Arial" w:eastAsia="Arial" w:hAnsi="Arial"/>
          <w:sz w:val="16"/>
          <w:szCs w:val="16"/>
          <w:b w:val="1"/>
          <w:bCs w:val="1"/>
          <w:color w:val="auto"/>
        </w:rPr>
      </w:pPr>
    </w:p>
    <w:p>
      <w:pPr>
        <w:ind w:left="660" w:right="380" w:hanging="436"/>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Drilling Group </w:t>
      </w:r>
      <w:r>
        <w:rPr>
          <w:rFonts w:ascii="Arial" w:cs="Arial" w:eastAsia="Arial" w:hAnsi="Arial"/>
          <w:sz w:val="18"/>
          <w:szCs w:val="18"/>
          <w:color w:val="auto"/>
        </w:rPr>
        <w:t>— Consists of the principal technologies involved in the drilling and positioning of oil and gas wells and is comprised of Bits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Technologies, M-I SWACO, Geoservices, Drilling and Measurements, Pathfinder, Drilling Tools and Remedial Services, Dynamic Pressure Management and Integrated Project Management well construction projects.</w:t>
      </w:r>
    </w:p>
    <w:p>
      <w:pPr>
        <w:spacing w:after="0" w:line="86" w:lineRule="exact"/>
        <w:rPr>
          <w:rFonts w:ascii="Arial" w:cs="Arial" w:eastAsia="Arial" w:hAnsi="Arial"/>
          <w:sz w:val="18"/>
          <w:szCs w:val="18"/>
          <w:b w:val="1"/>
          <w:bCs w:val="1"/>
          <w:color w:val="auto"/>
        </w:rPr>
      </w:pPr>
    </w:p>
    <w:p>
      <w:pPr>
        <w:ind w:left="660" w:hanging="436"/>
        <w:spacing w:after="0" w:line="342"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Reservoir Production Group </w:t>
      </w:r>
      <w:r>
        <w:rPr>
          <w:rFonts w:ascii="Arial" w:cs="Arial" w:eastAsia="Arial" w:hAnsi="Arial"/>
          <w:sz w:val="16"/>
          <w:szCs w:val="16"/>
          <w:color w:val="auto"/>
        </w:rPr>
        <w:t>— Consists of the principal technologies involved in the lifetime production of oil and gas reservoirs and includes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Completions and Artificial Lift, together with the Subsea and Water and Carbon Services activities and the production activities of IPM.</w:t>
      </w:r>
    </w:p>
    <w:p>
      <w:pPr>
        <w:spacing w:after="0" w:line="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Groups are collectively referred to as “Oilfield Services”. Additionally, Schlumberger also reports the Distribution business, acquired in the Smith transaction, as a separate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 prior period segment disclosures have been recast to reflect the new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7"/>
            <w:vMerge w:val="restart"/>
          </w:tcPr>
          <w:p>
            <w:pPr>
              <w:jc w:val="right"/>
              <w:ind w:right="1140"/>
              <w:spacing w:after="0"/>
              <w:rPr>
                <w:sz w:val="20"/>
                <w:szCs w:val="20"/>
                <w:color w:val="auto"/>
              </w:rPr>
            </w:pPr>
            <w:r>
              <w:rPr>
                <w:rFonts w:ascii="Arial" w:cs="Arial" w:eastAsia="Arial" w:hAnsi="Arial"/>
                <w:sz w:val="14"/>
                <w:szCs w:val="14"/>
                <w:b w:val="1"/>
                <w:bCs w:val="1"/>
                <w:color w:val="auto"/>
              </w:rPr>
              <w:t>First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color w:val="auto"/>
              </w:rPr>
              <w:t>First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2,193</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467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2,716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528</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5"/>
                <w:szCs w:val="15"/>
                <w:b w:val="1"/>
                <w:bCs w:val="1"/>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(71)</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18"/>
                <w:szCs w:val="18"/>
                <w:color w:val="auto"/>
              </w:rPr>
              <w:t>(see Note 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Excludes interest income included in the segment results ($ — million in 2011; $4 million in 2010).</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Excludes interest expense included in the segment results ($2 million in 2011; $1 million in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First Quarter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353"/>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2"/>
                <w:szCs w:val="12"/>
                <w:color w:val="auto"/>
              </w:rPr>
            </w:pPr>
          </w:p>
        </w:tc>
        <w:tc>
          <w:tcPr>
            <w:tcW w:w="50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US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b w:val="1"/>
                <w:bCs w:val="1"/>
                <w:color w:val="auto"/>
                <w:w w:val="79"/>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87"/>
              </w:rPr>
              <w:t>(43)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2011, Schlumberger made contributions to its US and international defined benefit pension plans of $49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First Quarter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480" w:type="dxa"/>
            <w:vAlign w:val="bottom"/>
            <w:gridSpan w:val="2"/>
            <w:shd w:val="clear" w:color="auto" w:fill="CCEEFF"/>
          </w:tcPr>
          <w:p>
            <w:pPr>
              <w:jc w:val="right"/>
              <w:ind w:right="339"/>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April 5, 2011 Schlumberger completed the divestiture of its Global Connectivity Services business for $397.5 million in cash.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2011 Compared to Fourth Quarter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restart"/>
          </w:tcPr>
          <w:p>
            <w:pPr>
              <w:jc w:val="right"/>
              <w:ind w:right="1140"/>
              <w:spacing w:after="0"/>
              <w:rPr>
                <w:sz w:val="20"/>
                <w:szCs w:val="20"/>
                <w:color w:val="auto"/>
              </w:rPr>
            </w:pPr>
            <w:r>
              <w:rPr>
                <w:rFonts w:ascii="Arial" w:cs="Arial" w:eastAsia="Arial" w:hAnsi="Arial"/>
                <w:sz w:val="14"/>
                <w:szCs w:val="14"/>
                <w:b w:val="1"/>
                <w:bCs w:val="1"/>
                <w:color w:val="auto"/>
              </w:rPr>
              <w:t>First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color w:val="auto"/>
              </w:rPr>
              <w:t>Fourth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2,193</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2,490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467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2,716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528</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2,782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Eliminations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(71)</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40" w:type="dxa"/>
            <w:vAlign w:val="bottom"/>
            <w:gridSpan w:val="4"/>
          </w:tcPr>
          <w:p>
            <w:pPr>
              <w:jc w:val="right"/>
              <w:ind w:right="247"/>
              <w:spacing w:after="0"/>
              <w:rPr>
                <w:sz w:val="20"/>
                <w:szCs w:val="20"/>
                <w:color w:val="auto"/>
              </w:rPr>
            </w:pPr>
            <w:r>
              <w:rPr>
                <w:rFonts w:ascii="Arial" w:cs="Arial" w:eastAsia="Arial" w:hAnsi="Arial"/>
                <w:sz w:val="18"/>
                <w:szCs w:val="18"/>
                <w:b w:val="1"/>
                <w:bCs w:val="1"/>
                <w:color w:val="auto"/>
              </w:rPr>
              <w:t>Geographic Areas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vMerge w:val="restart"/>
          </w:tcPr>
          <w:p>
            <w:pPr>
              <w:jc w:val="right"/>
              <w:ind w:right="1140"/>
              <w:spacing w:after="0"/>
              <w:rPr>
                <w:sz w:val="20"/>
                <w:szCs w:val="20"/>
                <w:color w:val="auto"/>
              </w:rPr>
            </w:pPr>
            <w:r>
              <w:rPr>
                <w:rFonts w:ascii="Arial" w:cs="Arial" w:eastAsia="Arial" w:hAnsi="Arial"/>
                <w:sz w:val="14"/>
                <w:szCs w:val="14"/>
                <w:b w:val="1"/>
                <w:bCs w:val="1"/>
                <w:color w:val="auto"/>
              </w:rPr>
              <w:t>First Quarter 2011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color w:val="auto"/>
              </w:rPr>
              <w:t>Fourth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2,589</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2,190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273</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405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8,716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1,477</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(34)</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8,716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described in detail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interest on postretirement medical benefits, stock-based compensation costs and amortization expense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recorded as a result of the merger with Smith International Inc. (“Smith”).</w:t>
      </w:r>
    </w:p>
    <w:p>
      <w:pPr>
        <w:spacing w:after="0" w:line="6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Sequentially, Oilfield Services revenue of $8.12 billion decreased 4% while pretax segment operating income of $1.46 billion was down 14% sequentially.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Distribution revenue of $601 million increased 4% sequentially. Pretax segment operating income of $22 million improved 7% sequentially.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First-quarter revenue of $8.12 billion decreased 4% sequentially. The impacts of extraordinary geopolitical events in North Africa and the Middle East as well as severe weather in the US and Australia during the quarter affected all three Product Groups and accounted for approximately half of the sequential decrease in total Oilfield Services revenue.</w:t>
      </w:r>
    </w:p>
    <w:p>
      <w:pPr>
        <w:spacing w:after="0" w:line="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Excluding the impact of these geopolitical and weather events, sequential revenue performance varied by Group. Reservoir Characterization revenue decreased primarily on lower WesternGeco multiclient and Schlumberger Information Solutions (“SIS”) software sales following their fourth-quarter 2010 seasonal highs as well as on lower Testing Services activity, but these effects were partially offset by higher Wireline activity, particularly in North America. Drilling revenue increased on higher Integrated Project Management (“IPM”) Well Construction activity in the Middle East &amp; Asia, Latin America and Europe/CIS/Africa Areas, which was partially offset by a decrease in M-I SWACO revenue following the high product sales of the fourth quarter, and by lower Drilling &amp; Measurements revenue through a less favorable activity mix and lower pricing in Europe/CIS/Africa. Reservoir Production revenue increased sequentially on higher pricing and activity in North America, although this was partially offset by the absence of the IPM gain share payout in North America and the absence of the Artificial Lift and Completions Systems equipment sales seen in the fourth quarter.</w:t>
      </w:r>
    </w:p>
    <w:p>
      <w:pPr>
        <w:spacing w:after="0" w:line="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a geographical basis, Europe/CIS/Africa revenue decreased sequentially primarily due to disruptions resulting from the political unrest in North Africa, a less favorable revenue mix coupled with lower software sales in the North Sea GeoMarket, and seasonally lower activity in Russia. Middle East &amp; Asia revenue was lower as increasing IPM activity in Iraq and shale gas activity in India were insufficient to offset the impact of geopolitical events in the Middle East, seasonally lower software and equipment sales, and weather-related slowdowns in Australia. In North America, higher pricing for Well Services technologies, stronger winter season activity in Canada, and increased demand for M-I SWACO services fully offset lower WesternGeco multiclient sales, the non-recurrence of the IPM gain share payout, and the impact of weather-related slowdowns on land in the US. In Latin America, increased WesternGeco and M-I SWACO activity in the Brazil GeoMarket balanced lower offshore activity and reduced software sales in the Mexico/Central America GeoMarket.</w:t>
      </w:r>
    </w:p>
    <w:p>
      <w:pPr>
        <w:spacing w:after="0" w:line="5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First-quarter pretax operating income of $1.46 billion decreased 14% sequentially. Pretax operating margin decreased 206 basis points (bps) sequentially to 17.9% primarily due to the reduced software and equipment sales as well as the lower WesternGeco multiclient sales; the non-recurrence of the IPM gain share payout; the impact of the geopolitical events in North Africa and the Middle East; and the weather-related slowdowns in the US and Australia.</w:t>
      </w:r>
    </w:p>
    <w:p>
      <w:pPr>
        <w:spacing w:after="0" w:line="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absence of oil production from Libya, combined with continued recovery in demand, has reduced the world’s spare capacity significantly. The call on both fuel oil and natural gas will increase as Japan recovers. The exploration and production industry has begun to respond and, absent a further leg to the recession, will have to substantially increase investment to maintain a comfortable supply cushion in an era of political uncertainty. We anticipate that high oil prices will continue to support additional drilling in the liquid-rich plays in North America. The upturn in deepwater activity more generally is becoming increasingly visible, and the rate of permitting in the US Gulf of Mexico is accelerating. Middle East activity is increasing substantially, led by Saudi Arabia and Iraq.</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These activities will progressively mobilize over the next six months and the projected increases will reach levels where resources will become constrained.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ready for this scenario with new technology, equipment and people.</w:t>
      </w:r>
    </w:p>
    <w:p>
      <w:pPr>
        <w:spacing w:after="0" w:line="10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With respect to Libya, Schlumberger does not expect any return of activity in the short-term due to the ongoing political disturbances. The carrying value of Schlumberger’s assets in Libya was approximately $340 million as of March 31, 2011. This consists primarily of accounts receivable, inventories and fixed assets. Schlumberger’s ability to recover these assets will ultimately depend on how the current situation evolves.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First-quarter revenue of $2.19 billion was 12% lower versus the fourth quarter of 2010. Pretax operating income of $460 million was 32% lower sequentially.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Sequentially, Group revenue was severely impacted by disruptions from the geopolitical events in North Africa and the Middle East. WesternGeco revenue decreased following the fourth-quarter surge in multiclient sales in the US Gulf of Mexico and through lower Land activity as a consequence of the geopolitical events while Marine revenue increased due to a more favorable revenue mix. SIS revenue fell sharply from seasonally lower software sales across all geographic Areas. Testing revenue decreased on reduced equipment sales and activity, especially in Latin America; on completion of projects in the Australia/Papua New Guinea and East Asia GeoMarkets; on the winter seasonal slowdown in Russia; and on the geopolitical events. Wireline revenue was flat sequentially as strong winter activity in Canada was offset by the impact of the geopolitical events and weather slowdowns in Australia.</w:t>
      </w:r>
    </w:p>
    <w:p>
      <w:pPr>
        <w:spacing w:after="0" w:line="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Pretax operating margin decreased 606 bps sequentially to 21% primarily due to the seasonally lower multiclient and software sales, the impact of the geopolitical events, the poor weather conditions in Australia, and the lower Testing activity in Latin America and Asia.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First-quarter revenue of $3.20 billion decreased 1% compared to the fourth quarter of 2010. Pretax operating income of $467 million was flat sequentially.</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Sequentially, the decrease in Group revenue was primarily due to disruptions resulting from geopolitical events in North Africa and the Middle East. Excluding the impact of these disruptions, Group revenue increased sequentially but varied by Technology. IPM Well Construction revenue increased on strong activity growth in Iraq, Mexico and Russia. Drilling &amp; Measurements revenue declined from lower activity and pricing in Europe and Africa and the completion of offshore exploration projects in Australia/Papua New Guinea—although these effects were mitigated by the return of some deepwater work in the US Gulf of Mexico and by an increase in activity in Latin America and Russia. Following strong product sales in the fourth quarter of 2010 and despite continued strong activity in North America, M-I SWACO revenue decreased as a result of the weather-related slowdowns in Australia as well as a result of delayed projects in the Europe/CIS/Africa Area.</w:t>
      </w:r>
    </w:p>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Sequentially, pretax operating margin was essentially flat at 14.6% as the contribution from the increased IPM Well Construction activity was offset by the impact of activity declines for M-I SWACO and reduced pricing for Drilling &amp; Measurements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First-quarter revenue of $2.72 billion decreased 2% versus the fourth quarter of 2010. Pretax operating income of $528 million was 9% lower sequentially.</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Sequentially, the decrease in Group revenue was largely due to the impact of geopolitical events in North Africa and the Middle East as well as to the severe weather in the US and Australia. Excluding these impacts, Group revenue increased as higher pricing and strong demand for Well Services technologies in North America more than offset the non-recurring prior quarter’s IPM gain share payout in North America and the seasonally lower Artificial Lift and Completions equipment sales.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First-quarter pretax operating margin decreased 145 bps to 19.4%, primarily due to the non-repetition of the IPM gain share payout, the lower Artificial Lift and Completions equipment sales, and the impact of geopolitical events and weather.</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First-quarter revenue of $601 million increased 4% as compared to the fourth quarter of 2010. Pretax operating income of $22 million increased 8% sequentially.</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sequential revenue growth was primarily driven by increased project-based customer spending in the Industrial and Refining sector. Pretax margin was essentially flat at 3.7%.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2011 Compared to First Quarter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restart"/>
          </w:tcPr>
          <w:p>
            <w:pPr>
              <w:jc w:val="right"/>
              <w:ind w:right="1140"/>
              <w:spacing w:after="0"/>
              <w:rPr>
                <w:sz w:val="20"/>
                <w:szCs w:val="20"/>
                <w:color w:val="auto"/>
              </w:rPr>
            </w:pPr>
            <w:r>
              <w:rPr>
                <w:rFonts w:ascii="Arial" w:cs="Arial" w:eastAsia="Arial" w:hAnsi="Arial"/>
                <w:sz w:val="14"/>
                <w:szCs w:val="14"/>
                <w:b w:val="1"/>
                <w:bCs w:val="1"/>
                <w:color w:val="auto"/>
              </w:rPr>
              <w:t>First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color w:val="auto"/>
              </w:rPr>
              <w:t>First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2,193</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467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2,716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528</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Eliminations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(71)</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40" w:type="dxa"/>
            <w:vAlign w:val="bottom"/>
            <w:gridSpan w:val="4"/>
          </w:tcPr>
          <w:p>
            <w:pPr>
              <w:jc w:val="right"/>
              <w:ind w:right="247"/>
              <w:spacing w:after="0"/>
              <w:rPr>
                <w:sz w:val="20"/>
                <w:szCs w:val="20"/>
                <w:color w:val="auto"/>
              </w:rPr>
            </w:pPr>
            <w:r>
              <w:rPr>
                <w:rFonts w:ascii="Arial" w:cs="Arial" w:eastAsia="Arial" w:hAnsi="Arial"/>
                <w:sz w:val="18"/>
                <w:szCs w:val="18"/>
                <w:b w:val="1"/>
                <w:bCs w:val="1"/>
                <w:color w:val="auto"/>
              </w:rPr>
              <w:t>Geographic Areas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vMerge w:val="restart"/>
          </w:tcPr>
          <w:p>
            <w:pPr>
              <w:jc w:val="right"/>
              <w:ind w:right="1140"/>
              <w:spacing w:after="0"/>
              <w:rPr>
                <w:sz w:val="20"/>
                <w:szCs w:val="20"/>
                <w:color w:val="auto"/>
              </w:rPr>
            </w:pPr>
            <w:r>
              <w:rPr>
                <w:rFonts w:ascii="Arial" w:cs="Arial" w:eastAsia="Arial" w:hAnsi="Arial"/>
                <w:sz w:val="14"/>
                <w:szCs w:val="14"/>
                <w:b w:val="1"/>
                <w:bCs w:val="1"/>
                <w:color w:val="auto"/>
              </w:rPr>
              <w:t>First Quarter 2011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color w:val="auto"/>
              </w:rPr>
              <w:t>First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2,589</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2,190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273</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1,688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405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8,716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1,477</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(34)</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8,716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First-quarter 2011 revenue of $8.12 billion was 45% higher than the same period last year largely due to the acquisitions of Smith and Geoservices as well as the significantly improved activity and pricing for Well Services technologies in North America. These increases, however, were partially offset by the impact of extraordinary geopolitical events in North Africa and the Middle East, severe weather in the US and Australia and significantly lower deepwater drilling activity in the US Gulf of Mexico.</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 Product Group basis, Drilling revenue increased significantly primarily due to the acquisitions of Smith and Geoservices. Reservoir Production revenue increased mostly from a combination of higher activity and pricing for Well Services technologies in North America. These increases were partially offset by lower Reservoir Characterization revenue due to the impact of the geopolitical events, weather-related slowdowns and the significantly lower deepwater activity in the US Gulf of Mexico.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 Geographical basis, all Areas, particularly North America, grew appreciably from the acquisitions of Smith and Geoservices. Excluding the impact of these acquisitions, revenue performance varied by Area. North America revenue increased due to significant increase in activity and pricing improvements in US Land. These increases however were partially offset by lower revenue in the US Gulf of Mexico. Latin America revenue slightly decreased due to the decrease in IPM projects in Mexico more than offsetting the increase in activity throughout the Area. Europe/CIS/Africa revenue slightly declined as the improved drilling activity in Russia was offset by North Africa geopolitical unrest. Middle East &amp; Asia revenue grew with strong activity in Iraq and India which was partially offset by the impact of the severe weather in Australia and the geopolitical unrest in the region.</w:t>
      </w:r>
    </w:p>
    <w:p>
      <w:pPr>
        <w:spacing w:after="0" w:line="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First-quarter 2011 pretax operating margin declined only 59 bps to 17.9% as a strong contribution from the increased activity and pricing for Well Services technologies in North America nearly offset the impacts of the Smith and Geoservices acquisitions, geopolitical events in North Africa and the Middle East, the lower deepwater activity in the US Gulf of Mexico, and the weather-related slowdowns in Australia and the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First-quarter 2011 revenue of $2.19 billion was 2% lower than the same period last year primarily due to the impact of the geopolitical events in North Africa and the Middle East that affected Wireline, Testing Services and WesternGeco. Excluding the impact of the geopolitical events, Group revenue increased. By technology, Wireline revenue increased on stronger activity and pricing on land in the US although this was partially offset by significantly lower deepwater activity in the US Gulf of Mexico and by the impact of severe weather in Australia. WesternGeco revenue was higher primarily due to the addition of new vessels to the Marine fleet. SIS revenue increased on stronger software sales. Testing Services revenue was slightly lower as reduced equipment sales and pricing were nearly offset by increased service activity.</w:t>
      </w:r>
    </w:p>
    <w:p>
      <w:pPr>
        <w:spacing w:after="0" w:line="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Year-on-year, pretax operating margin decreased 430 bps to 21.0% primarily due to lower activity in the US Gulf of Mexico, the impact of the geopolitical events in North Africa and the Middle East, and the weather-related slowdowns in Australia.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First-quarter 2011 revenue of $3.20 billion was 120% higher than the previous year primarily due to the acquisitions of Smith and Geoservices. However, these additions were partially offset by lower Drilling &amp; Measurements revenue as the result of the cessation of deepwater activity in the Gulf of Mexico as well as from a less favorable activity mix and lower pricing, particularly in Europe/CIS/Africa and Middle East and Asia. IPM Well Construction revenue also decreased as significantly lower activity in Mexico was only partially offset by the ramp up of new projects in Iraq.</w:t>
      </w:r>
    </w:p>
    <w:p>
      <w:pPr>
        <w:spacing w:after="0" w:line="6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Year-on-year, pretax operating margin decreased 423 bps to 14.6% primarily due to the combined impact of the reduced activity in the US Gulf of Mexico and the generally lower pricing for Drilling &amp; Measurements services as well as to the impact of the Smith and Geoservices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First-quarter 2011 revenue of $2.72 billion increased 44% year-on-year, particularly in North America, due to a combination of capacity additions, higher pricing and better assets utilization for Well Services Technologies. The addition of certain Smith businesses also contributed to the Group’s growth. Artificial Lift increased on a combination of improved pricing and increased activity. These increases were partially offset by the impact of geopolitical events in North Africa and the Middle East and severe weather in the US and Australia.</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Year-on-year, pretax operating margin improved 11 percentage points to 19.4% mainly due to the significant increase in activity, pricing and equipment utilization for Well Services technologies in North America partially offset by the impact of the geopolitical events in North Africa and the Middle East and the weather-related slowdowns in the US and Australia.</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net </w:t>
      </w:r>
      <w:r>
        <w:rPr>
          <w:rFonts w:ascii="Arial" w:cs="Arial" w:eastAsia="Arial" w:hAnsi="Arial"/>
          <w:sz w:val="18"/>
          <w:szCs w:val="18"/>
          <w:color w:val="auto"/>
        </w:rPr>
        <w:t>consisted of the following for the first quarters 2011 and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First Quarter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34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3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10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decrease in equity in net earnings of affiliated companies is primarily attributable to the loss of equity earnings from the M-I SWACO joint venture as Schlumberger now owns 100% of this venture following its merger with Smith on August 27,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first quarter ended March 31, 2011 and 2010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6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3810</wp:posOffset>
            </wp:positionV>
            <wp:extent cx="917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ind w:left="10280"/>
        <w:spacing w:after="0"/>
        <w:tabs>
          <w:tab w:leader="none" w:pos="1104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-3175</wp:posOffset>
            </wp:positionV>
            <wp:extent cx="9175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Research &amp; engineering</w:t>
            </w:r>
          </w:p>
        </w:tc>
        <w:tc>
          <w:tcPr>
            <w:tcW w:w="4800" w:type="dxa"/>
            <w:vAlign w:val="bottom"/>
          </w:tcPr>
          <w:p>
            <w:pPr>
              <w:jc w:val="right"/>
              <w:ind w:right="90"/>
              <w:spacing w:after="0"/>
              <w:rPr>
                <w:sz w:val="20"/>
                <w:szCs w:val="20"/>
                <w:color w:val="auto"/>
              </w:rPr>
            </w:pPr>
            <w:r>
              <w:rPr>
                <w:rFonts w:ascii="Arial" w:cs="Arial" w:eastAsia="Arial" w:hAnsi="Arial"/>
                <w:sz w:val="18"/>
                <w:szCs w:val="18"/>
                <w:b w:val="1"/>
                <w:bCs w:val="1"/>
                <w:color w:val="auto"/>
              </w:rPr>
              <w:t>2.9%</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4"/>
        </w:trPr>
        <w:tc>
          <w:tcPr>
            <w:tcW w:w="608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4800" w:type="dxa"/>
            <w:vAlign w:val="bottom"/>
          </w:tcPr>
          <w:p>
            <w:pPr>
              <w:jc w:val="right"/>
              <w:ind w:right="90"/>
              <w:spacing w:after="0"/>
              <w:rPr>
                <w:sz w:val="20"/>
                <w:szCs w:val="20"/>
                <w:color w:val="auto"/>
              </w:rPr>
            </w:pPr>
            <w:r>
              <w:rPr>
                <w:rFonts w:ascii="Arial" w:cs="Arial" w:eastAsia="Arial" w:hAnsi="Arial"/>
                <w:sz w:val="18"/>
                <w:szCs w:val="18"/>
                <w:b w:val="1"/>
                <w:bCs w:val="1"/>
                <w:color w:val="auto"/>
              </w:rPr>
              <w:t>1.1%</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Although </w:t>
      </w:r>
      <w:r>
        <w:rPr>
          <w:rFonts w:ascii="Arial" w:cs="Arial" w:eastAsia="Arial" w:hAnsi="Arial"/>
          <w:sz w:val="18"/>
          <w:szCs w:val="18"/>
          <w:i w:val="1"/>
          <w:iCs w:val="1"/>
          <w:color w:val="auto"/>
        </w:rPr>
        <w:t>Research &amp; engineering</w:t>
      </w:r>
      <w:r>
        <w:rPr>
          <w:rFonts w:ascii="Arial" w:cs="Arial" w:eastAsia="Arial" w:hAnsi="Arial"/>
          <w:sz w:val="18"/>
          <w:szCs w:val="18"/>
          <w:color w:val="auto"/>
        </w:rPr>
        <w:t xml:space="preserve"> decreased as a percentage of revenue, it increased in absolute dollars by $42 million.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The effective tax rate for the first quarter of 2011 was 23.6% compared to 24.1% for the same period in 2010. The charges described in Note 2 to the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negatively impacted the effective tax rate in the first quarter of 2010 by approximately 5 percentage points. Excluding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these charges, the effective tax rate increased as compared to the same period last year. The increase was primarily attributable to the higher proportion of pretax earnings in North America in the first quarter of 2011 as compared to the first quarter of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Schlumberger recorded charges during the first three months of 2011 and 2010. These charges,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Schlumberger recorded $34 million of pretax merger and integration related charges ($28 million after-tax) in connection with the merger with Smith and the acquisition of Geoservices.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Schlumberger also recorded $35 million of pretax charges ($75 million after-tax) during the first quarter of 2010. The following is a summary of the first quarter 2010 charges: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4"/>
                <w:szCs w:val="14"/>
                <w:i w:val="1"/>
                <w:iCs w:val="1"/>
                <w:color w:val="auto"/>
                <w:w w:val="97"/>
              </w:rPr>
              <w:t>(Stated in millions)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Pretax</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color w:val="auto"/>
              </w:rPr>
              <w:t>Tax</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820"/>
              <w:spacing w:after="0"/>
              <w:rPr>
                <w:sz w:val="20"/>
                <w:szCs w:val="20"/>
                <w:color w:val="auto"/>
              </w:rPr>
            </w:pPr>
            <w:r>
              <w:rPr>
                <w:rFonts w:ascii="Arial" w:cs="Arial" w:eastAsia="Arial" w:hAnsi="Arial"/>
                <w:sz w:val="14"/>
                <w:szCs w:val="14"/>
                <w:color w:val="auto"/>
              </w:rPr>
              <w:t>Net</w:t>
            </w:r>
          </w:p>
        </w:tc>
        <w:tc>
          <w:tcPr>
            <w:tcW w:w="1980" w:type="dxa"/>
            <w:vAlign w:val="bottom"/>
            <w:gridSpan w:val="2"/>
          </w:tcPr>
          <w:p>
            <w:pPr>
              <w:spacing w:after="0"/>
              <w:rPr>
                <w:sz w:val="20"/>
                <w:szCs w:val="20"/>
                <w:color w:val="auto"/>
              </w:rPr>
            </w:pPr>
            <w:r>
              <w:rPr>
                <w:rFonts w:ascii="Arial" w:cs="Arial" w:eastAsia="Arial" w:hAnsi="Arial"/>
                <w:sz w:val="14"/>
                <w:szCs w:val="14"/>
                <w:color w:val="auto"/>
                <w:w w:val="97"/>
              </w:rPr>
              <w:t>Income Statement 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Impact of elimination of tax deduction related to Medicare Part 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subsidy</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Mar. 31,</w:t>
            </w: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3"/>
              </w:rPr>
              <w:t>Mar.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Pension and other postretirement benefits expense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Pension and other postretirement benefits funding</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Excess of equity income over dividends received</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Increase in working capital</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Capital expenditure</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Multiclient seismic data capitalized</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Stock repurchase program</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plans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Business acquisitions and minority interest investments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Conversion of debentures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200"/>
              <w:spacing w:after="0"/>
              <w:rPr>
                <w:sz w:val="20"/>
                <w:szCs w:val="20"/>
                <w:color w:val="auto"/>
              </w:rPr>
            </w:pPr>
            <w:r>
              <w:rPr>
                <w:rFonts w:ascii="Arial" w:cs="Arial" w:eastAsia="Arial" w:hAnsi="Arial"/>
                <w:sz w:val="18"/>
                <w:szCs w:val="18"/>
                <w:color w:val="auto"/>
              </w:rPr>
              <w:t>Translation effect on Net Debt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980" w:type="dxa"/>
            <w:vAlign w:val="bottom"/>
            <w:gridSpan w:val="6"/>
          </w:tcPr>
          <w:p>
            <w:pPr>
              <w:spacing w:after="0"/>
              <w:rPr>
                <w:sz w:val="20"/>
                <w:szCs w:val="20"/>
                <w:color w:val="auto"/>
              </w:rPr>
            </w:pPr>
            <w:r>
              <w:rPr>
                <w:rFonts w:ascii="Arial" w:cs="Arial" w:eastAsia="Arial" w:hAnsi="Arial"/>
                <w:sz w:val="18"/>
                <w:szCs w:val="18"/>
                <w:color w:val="auto"/>
              </w:rPr>
              <w:t>Net Debt, end of period</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gridSpan w:val="2"/>
          </w:tcPr>
          <w:p>
            <w:pPr>
              <w:spacing w:after="0"/>
              <w:rPr>
                <w:sz w:val="20"/>
                <w:szCs w:val="20"/>
                <w:color w:val="auto"/>
              </w:rPr>
            </w:pPr>
            <w:r>
              <w:rPr>
                <w:rFonts w:ascii="Arial" w:cs="Arial" w:eastAsia="Arial" w:hAnsi="Arial"/>
                <w:sz w:val="15"/>
                <w:szCs w:val="15"/>
                <w:color w:val="auto"/>
              </w:rPr>
              <w:t>(1)</w:t>
            </w:r>
          </w:p>
        </w:tc>
        <w:tc>
          <w:tcPr>
            <w:tcW w:w="7560" w:type="dxa"/>
            <w:vAlign w:val="bottom"/>
            <w:gridSpan w:val="4"/>
          </w:tcPr>
          <w:p>
            <w:pPr>
              <w:jc w:val="right"/>
              <w:ind w:right="4700"/>
              <w:spacing w:after="0"/>
              <w:rPr>
                <w:sz w:val="20"/>
                <w:szCs w:val="20"/>
                <w:color w:val="auto"/>
              </w:rPr>
            </w:pPr>
            <w:r>
              <w:rPr>
                <w:rFonts w:ascii="Arial" w:cs="Arial" w:eastAsia="Arial" w:hAnsi="Arial"/>
                <w:sz w:val="18"/>
                <w:szCs w:val="18"/>
                <w:color w:val="auto"/>
                <w:w w:val="91"/>
              </w:rPr>
              <w:t>Includes multiclient seismic data costs.</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Mar.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89"/>
              </w:rPr>
              <w:t>Mar. 31,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7980" w:type="dxa"/>
            <w:vAlign w:val="bottom"/>
            <w:gridSpan w:val="6"/>
          </w:tcPr>
          <w:p>
            <w:pPr>
              <w:spacing w:after="0"/>
              <w:rPr>
                <w:sz w:val="20"/>
                <w:szCs w:val="20"/>
                <w:color w:val="auto"/>
              </w:rPr>
            </w:pPr>
            <w:r>
              <w:rPr>
                <w:rFonts w:ascii="Arial" w:cs="Arial" w:eastAsia="Arial" w:hAnsi="Arial"/>
                <w:sz w:val="14"/>
                <w:szCs w:val="14"/>
                <w:color w:val="auto"/>
              </w:rPr>
              <w:t>Components of Net Debt</w:t>
            </w: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0"/>
              </w:rPr>
              <w:t>Cash</w:t>
            </w:r>
          </w:p>
        </w:tc>
        <w:tc>
          <w:tcPr>
            <w:tcW w:w="7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spacing w:after="0"/>
              <w:rPr>
                <w:sz w:val="20"/>
                <w:szCs w:val="20"/>
                <w:color w:val="auto"/>
              </w:rPr>
            </w:pPr>
            <w:r>
              <w:rPr>
                <w:rFonts w:ascii="Arial" w:cs="Arial" w:eastAsia="Arial" w:hAnsi="Arial"/>
                <w:sz w:val="18"/>
                <w:szCs w:val="18"/>
                <w:color w:val="auto"/>
              </w:rPr>
              <w:t>Short-term investments</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2,688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3,563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(6,422)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(4,052)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(3,990)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2011 and 2010 included:</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On January 10, 2011, Schlumberger issued $1.1 billion of 4.200% Senior Notes due 2021 and $500 million of 2.650% Senior Notes due 2016.</w:t>
      </w:r>
    </w:p>
    <w:p>
      <w:pPr>
        <w:spacing w:after="0" w:line="142" w:lineRule="exact"/>
        <w:rPr>
          <w:rFonts w:ascii="Arial" w:cs="Arial" w:eastAsia="Arial" w:hAnsi="Arial"/>
          <w:sz w:val="17"/>
          <w:szCs w:val="17"/>
          <w:b w:val="1"/>
          <w:bCs w:val="1"/>
          <w:color w:val="auto"/>
        </w:rPr>
      </w:pPr>
    </w:p>
    <w:p>
      <w:pPr>
        <w:ind w:left="660" w:right="12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2011, Schlumberger repurchased all of its outstanding 9.75% Senior Notes due 2019, 8.625% Senior Notes due 2014 and 6.00% Senior Notes due 2016 for approximately $1.26 billion.</w:t>
      </w:r>
    </w:p>
    <w:p>
      <w:pPr>
        <w:spacing w:after="0" w:line="75" w:lineRule="exact"/>
        <w:rPr>
          <w:rFonts w:ascii="Arial" w:cs="Arial" w:eastAsia="Arial" w:hAnsi="Arial"/>
          <w:sz w:val="18"/>
          <w:szCs w:val="18"/>
          <w:b w:val="1"/>
          <w:bCs w:val="1"/>
          <w:color w:val="auto"/>
        </w:rPr>
      </w:pPr>
    </w:p>
    <w:p>
      <w:pPr>
        <w:ind w:left="660" w:right="420" w:hanging="436"/>
        <w:spacing w:after="0" w:line="342"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On April 17, 2008, the Schlumberger Board of Directors approved an $8 billion share repurchase program for shares of Schlumberger common stock, to be acquired in the open market before December 31, 2011, of which $4.0 billion had been repurchased as of March 31, 2011.</w:t>
      </w:r>
    </w:p>
    <w:p>
      <w:pPr>
        <w:spacing w:after="0" w:line="1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 summarizes the activity, during the three months ended March 31, under the April 17, 2008 share repurchase program: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i w:val="1"/>
                <w:iCs w:val="1"/>
                <w:color w:val="auto"/>
                <w:w w:val="93"/>
              </w:rPr>
              <w:t>(Stated in thousands except per share amounts)</w:t>
            </w:r>
          </w:p>
        </w:tc>
      </w:tr>
      <w:tr>
        <w:trPr>
          <w:trHeight w:val="149"/>
        </w:trPr>
        <w:tc>
          <w:tcPr>
            <w:tcW w:w="6900" w:type="dxa"/>
            <w:vAlign w:val="bottom"/>
          </w:tcPr>
          <w:p>
            <w:pPr>
              <w:spacing w:after="0"/>
              <w:rPr>
                <w:sz w:val="12"/>
                <w:szCs w:val="12"/>
                <w:color w:val="auto"/>
              </w:rPr>
            </w:pPr>
          </w:p>
        </w:tc>
        <w:tc>
          <w:tcPr>
            <w:tcW w:w="1220" w:type="dxa"/>
            <w:vAlign w:val="bottom"/>
          </w:tcPr>
          <w:p>
            <w:pPr>
              <w:jc w:val="right"/>
              <w:ind w:right="241"/>
              <w:spacing w:after="0" w:line="149" w:lineRule="exact"/>
              <w:rPr>
                <w:sz w:val="20"/>
                <w:szCs w:val="20"/>
                <w:color w:val="auto"/>
              </w:rPr>
            </w:pPr>
            <w:r>
              <w:rPr>
                <w:rFonts w:ascii="Arial" w:cs="Arial" w:eastAsia="Arial" w:hAnsi="Arial"/>
                <w:sz w:val="14"/>
                <w:szCs w:val="14"/>
                <w:color w:val="auto"/>
              </w:rPr>
              <w:t>Total cost</w:t>
            </w:r>
          </w:p>
        </w:tc>
        <w:tc>
          <w:tcPr>
            <w:tcW w:w="5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Average price</w:t>
            </w:r>
          </w:p>
        </w:tc>
      </w:tr>
      <w:tr>
        <w:trPr>
          <w:trHeight w:val="149"/>
        </w:trPr>
        <w:tc>
          <w:tcPr>
            <w:tcW w:w="6900" w:type="dxa"/>
            <w:vAlign w:val="bottom"/>
          </w:tcPr>
          <w:p>
            <w:pPr>
              <w:spacing w:after="0"/>
              <w:rPr>
                <w:sz w:val="12"/>
                <w:szCs w:val="12"/>
                <w:color w:val="auto"/>
              </w:rPr>
            </w:pPr>
          </w:p>
        </w:tc>
        <w:tc>
          <w:tcPr>
            <w:tcW w:w="122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of shares</w:t>
            </w:r>
          </w:p>
        </w:tc>
        <w:tc>
          <w:tcPr>
            <w:tcW w:w="5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paid per</w:t>
            </w:r>
          </w:p>
        </w:tc>
      </w:tr>
      <w:tr>
        <w:trPr>
          <w:trHeight w:val="167"/>
        </w:trPr>
        <w:tc>
          <w:tcPr>
            <w:tcW w:w="6900" w:type="dxa"/>
            <w:vAlign w:val="bottom"/>
          </w:tcPr>
          <w:p>
            <w:pPr>
              <w:spacing w:after="0"/>
              <w:rPr>
                <w:sz w:val="14"/>
                <w:szCs w:val="14"/>
                <w:color w:val="auto"/>
              </w:rPr>
            </w:pPr>
          </w:p>
        </w:tc>
        <w:tc>
          <w:tcPr>
            <w:tcW w:w="12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purchased</w:t>
            </w:r>
          </w:p>
        </w:tc>
        <w:tc>
          <w:tcPr>
            <w:tcW w:w="5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purchased</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w:t>
            </w:r>
          </w:p>
        </w:tc>
      </w:tr>
      <w:tr>
        <w:trPr>
          <w:trHeight w:val="411"/>
        </w:trPr>
        <w:tc>
          <w:tcPr>
            <w:tcW w:w="6900" w:type="dxa"/>
            <w:vAlign w:val="bottom"/>
          </w:tcPr>
          <w:p>
            <w:pPr>
              <w:spacing w:after="0"/>
              <w:rPr>
                <w:sz w:val="20"/>
                <w:szCs w:val="20"/>
                <w:color w:val="auto"/>
              </w:rPr>
            </w:pPr>
            <w:r>
              <w:rPr>
                <w:rFonts w:ascii="Arial" w:cs="Arial" w:eastAsia="Arial" w:hAnsi="Arial"/>
                <w:sz w:val="18"/>
                <w:szCs w:val="18"/>
                <w:color w:val="auto"/>
              </w:rPr>
              <w:t>First quarter 2011</w:t>
            </w:r>
          </w:p>
        </w:tc>
        <w:tc>
          <w:tcPr>
            <w:tcW w:w="1220" w:type="dxa"/>
            <w:vAlign w:val="bottom"/>
          </w:tcPr>
          <w:p>
            <w:pPr>
              <w:jc w:val="right"/>
              <w:ind w:right="221"/>
              <w:spacing w:after="0"/>
              <w:rPr>
                <w:sz w:val="20"/>
                <w:szCs w:val="20"/>
                <w:color w:val="auto"/>
              </w:rPr>
            </w:pPr>
            <w:r>
              <w:rPr>
                <w:rFonts w:ascii="Arial" w:cs="Arial" w:eastAsia="Arial" w:hAnsi="Arial"/>
                <w:sz w:val="18"/>
                <w:szCs w:val="18"/>
                <w:color w:val="auto"/>
              </w:rPr>
              <w:t>$844,192</w:t>
            </w:r>
          </w:p>
        </w:tc>
        <w:tc>
          <w:tcPr>
            <w:tcW w:w="1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9,683.2</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$87.18</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First quarter 2010</w:t>
            </w:r>
          </w:p>
        </w:tc>
        <w:tc>
          <w:tcPr>
            <w:tcW w:w="1220" w:type="dxa"/>
            <w:vAlign w:val="bottom"/>
          </w:tcPr>
          <w:p>
            <w:pPr>
              <w:jc w:val="right"/>
              <w:ind w:right="221"/>
              <w:spacing w:after="0"/>
              <w:rPr>
                <w:sz w:val="20"/>
                <w:szCs w:val="20"/>
                <w:color w:val="auto"/>
              </w:rPr>
            </w:pPr>
            <w:r>
              <w:rPr>
                <w:rFonts w:ascii="Arial" w:cs="Arial" w:eastAsia="Arial" w:hAnsi="Arial"/>
                <w:sz w:val="18"/>
                <w:szCs w:val="18"/>
                <w:color w:val="auto"/>
              </w:rPr>
              <w:t>$337,262</w:t>
            </w:r>
          </w:p>
        </w:tc>
        <w:tc>
          <w:tcPr>
            <w:tcW w:w="1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5,292.8</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$63.72</w:t>
            </w:r>
          </w:p>
        </w:tc>
      </w:tr>
    </w:tbl>
    <w:p>
      <w:pPr>
        <w:spacing w:after="0" w:line="94" w:lineRule="exact"/>
        <w:rPr>
          <w:sz w:val="20"/>
          <w:szCs w:val="20"/>
          <w:color w:val="auto"/>
        </w:rPr>
      </w:pPr>
    </w:p>
    <w:p>
      <w:pPr>
        <w:ind w:left="660" w:right="36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2011 Schlumberger made contributions of $49 million to its defined benefit pension plans as compared to $64 million during the same period last year.</w:t>
      </w:r>
    </w:p>
    <w:p>
      <w:pPr>
        <w:spacing w:after="0" w:line="75" w:lineRule="exact"/>
        <w:rPr>
          <w:rFonts w:ascii="Arial" w:cs="Arial" w:eastAsia="Arial" w:hAnsi="Arial"/>
          <w:sz w:val="18"/>
          <w:szCs w:val="18"/>
          <w:b w:val="1"/>
          <w:bCs w:val="1"/>
          <w:color w:val="auto"/>
        </w:rPr>
      </w:pPr>
    </w:p>
    <w:p>
      <w:pPr>
        <w:ind w:left="660" w:right="220" w:hanging="436"/>
        <w:spacing w:after="0" w:line="342" w:lineRule="auto"/>
        <w:tabs>
          <w:tab w:leader="none" w:pos="66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Cash flow provided by operations was $0.8 billion in the first quarter of 2011 compared to $1.0 billion in the first quarter of 2010 reflecting an increase in working capital requirements, primarily accounts receivable following the strong collections experienced in the fourth quarter of 2010.</w:t>
      </w:r>
    </w:p>
    <w:p>
      <w:pPr>
        <w:spacing w:after="0" w:line="29" w:lineRule="exact"/>
        <w:rPr>
          <w:rFonts w:ascii="Arial" w:cs="Arial" w:eastAsia="Arial" w:hAnsi="Arial"/>
          <w:sz w:val="16"/>
          <w:szCs w:val="16"/>
          <w:b w:val="1"/>
          <w:bCs w:val="1"/>
          <w:color w:val="auto"/>
        </w:rPr>
      </w:pPr>
    </w:p>
    <w:p>
      <w:pPr>
        <w:ind w:left="660" w:right="14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Capital expenditures were $0.8 billion in the first quarter of 2011 compared to $0.4 billion during the first quarter of 2010. Capital expenditures for the full year of 2011 are expected to approach $4.0 billion as compared to $2.9 billion in 2010.</w:t>
      </w:r>
    </w:p>
    <w:p>
      <w:pPr>
        <w:spacing w:after="0" w:line="75"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2010, approximately $22 million of the 2.125% Series B Convertible Debentures due June 1, 2023 were converted by holders into 565,000 shares of Schlumberger common stock.</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2011 Schlumberger had $4.2 billion of cash and short-term investments on hand. Schlumberger had separate committed debt facility agreements aggregating $5.9 billion with commercial banks, of which $3.7 billion was available and unused as of March 31, 2011. This included $3.1 billion of unused committed facilities which support commercial paper borrowings in the United States and Europe.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Schlumberger believes that these amounts are sufficient to meet future business requirements for at least the next twelve months.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Schlumberger’s total outstanding debt at March 31, 2011 was $8.6 billion and included $1.8 billion of commercial paper borrowings. The total outstanding debt increased $0.5 billion compared to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operating margins; improvements in operating procedures and technology; capital expenditures by Schlumberger and the oil and gas industry; the business strategies of Schlumberger’s customers; future global political and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geopolitical and business conditions in key regions of the world; pricing erosion; weather and seasonal factors;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lifted drilling moratorium in the Gulf of Mexico; the inability of technology to meet new challenges in exploration; and other risks and uncertainties detailed in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2010. Schlumberger’s exposure to market risk has not changed materially since December 31,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Mark of Schlumberger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March 31, 2011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3"/>
              </w:rPr>
              <w:t>(Stated in thousands, except per share amounts)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Total number of</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Maximum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Total number</w:t>
            </w: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w:t>
            </w:r>
          </w:p>
        </w:tc>
        <w:tc>
          <w:tcPr>
            <w:tcW w:w="300" w:type="dxa"/>
            <w:vAlign w:val="bottom"/>
          </w:tcPr>
          <w:p>
            <w:pPr>
              <w:spacing w:after="0"/>
              <w:rPr>
                <w:sz w:val="12"/>
                <w:szCs w:val="12"/>
                <w:color w:val="auto"/>
              </w:rPr>
            </w:pPr>
          </w:p>
        </w:tc>
        <w:tc>
          <w:tcPr>
            <w:tcW w:w="17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8"/>
              </w:rPr>
              <w:t>shares purchased</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w w:val="96"/>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of shares</w:t>
            </w: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paid per</w:t>
            </w:r>
          </w:p>
        </w:tc>
        <w:tc>
          <w:tcPr>
            <w:tcW w:w="300" w:type="dxa"/>
            <w:vAlign w:val="bottom"/>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as part of publicly</w:t>
            </w:r>
          </w:p>
        </w:tc>
        <w:tc>
          <w:tcPr>
            <w:tcW w:w="12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 purchased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color w:val="auto"/>
                <w:w w:val="88"/>
              </w:rPr>
              <w:t>purchased</w:t>
            </w:r>
          </w:p>
        </w:tc>
        <w:tc>
          <w:tcPr>
            <w:tcW w:w="1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rPr>
              <w:t>share</w:t>
            </w:r>
          </w:p>
        </w:tc>
        <w:tc>
          <w:tcPr>
            <w:tcW w:w="204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announced program</w:t>
            </w: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under the program</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2011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83.54</w:t>
            </w: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3,114.4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February 1 through February 28, 2011</w:t>
            </w:r>
          </w:p>
        </w:tc>
        <w:tc>
          <w:tcPr>
            <w:tcW w:w="760" w:type="dxa"/>
            <w:vAlign w:val="bottom"/>
          </w:tcPr>
          <w:p>
            <w:pPr>
              <w:jc w:val="right"/>
              <w:spacing w:after="0"/>
              <w:rPr>
                <w:sz w:val="20"/>
                <w:szCs w:val="20"/>
                <w:color w:val="auto"/>
              </w:rPr>
            </w:pPr>
            <w:r>
              <w:rPr>
                <w:rFonts w:ascii="Arial" w:cs="Arial" w:eastAsia="Arial" w:hAnsi="Arial"/>
                <w:sz w:val="18"/>
                <w:szCs w:val="18"/>
                <w:color w:val="auto"/>
              </w:rPr>
              <w:t>2,556.1</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90.31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2,556.1</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88.</w:t>
            </w:r>
            <w:r>
              <w:rPr>
                <w:rFonts w:ascii="Arial" w:cs="Arial" w:eastAsia="Arial" w:hAnsi="Arial"/>
                <w:sz w:val="18"/>
                <w:szCs w:val="18"/>
                <w:u w:val="single" w:color="auto"/>
                <w:color w:val="auto"/>
              </w:rPr>
              <w:t>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4,012.7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4,004,752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9,683.2</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4"/>
              </w:rPr>
              <w:t>87.</w:t>
            </w:r>
            <w:r>
              <w:rPr>
                <w:rFonts w:ascii="Arial" w:cs="Arial" w:eastAsia="Arial" w:hAnsi="Arial"/>
                <w:sz w:val="18"/>
                <w:szCs w:val="18"/>
                <w:u w:val="single" w:color="auto"/>
                <w:color w:val="auto"/>
                <w:w w:val="84"/>
              </w:rPr>
              <w:t>18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9,683.2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 to Schlumberger’s Current Report on Form 8-K filed on April 7, 2011).</w:t>
      </w:r>
    </w:p>
    <w:p>
      <w:pPr>
        <w:spacing w:after="0" w:line="62"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62" w:lineRule="exact"/>
        <w:rPr>
          <w:sz w:val="20"/>
          <w:szCs w:val="20"/>
          <w:color w:val="auto"/>
        </w:rPr>
      </w:pPr>
    </w:p>
    <w:p>
      <w:pPr>
        <w:ind w:left="240" w:right="380" w:hanging="4"/>
        <w:spacing w:after="0" w:line="277"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20" w:hanging="4"/>
        <w:spacing w:after="0" w:line="277"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62" w:lineRule="exact"/>
        <w:rPr>
          <w:sz w:val="20"/>
          <w:szCs w:val="20"/>
          <w:color w:val="auto"/>
        </w:rPr>
      </w:pPr>
    </w:p>
    <w:p>
      <w:pPr>
        <w:ind w:left="240" w:right="60" w:hanging="4"/>
        <w:spacing w:after="0" w:line="277" w:lineRule="auto"/>
        <w:tabs>
          <w:tab w:leader="none" w:pos="4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ind w:left="240" w:hanging="4"/>
        <w:spacing w:after="0" w:line="277" w:lineRule="auto"/>
        <w:tabs>
          <w:tab w:leader="none" w:pos="4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jc w:val="both"/>
        <w:ind w:left="240" w:right="60" w:hanging="4"/>
        <w:spacing w:after="0" w:line="286" w:lineRule="auto"/>
        <w:tabs>
          <w:tab w:leader="none" w:pos="465" w:val="left"/>
        </w:tabs>
        <w:numPr>
          <w:ilvl w:val="1"/>
          <w:numId w:val="25"/>
        </w:numPr>
        <w:rPr>
          <w:rFonts w:ascii="Arial" w:cs="Arial" w:eastAsia="Arial" w:hAnsi="Arial"/>
          <w:sz w:val="17"/>
          <w:szCs w:val="17"/>
          <w:color w:val="auto"/>
        </w:rPr>
      </w:pPr>
      <w:r>
        <w:rPr>
          <w:rFonts w:ascii="Arial" w:cs="Arial" w:eastAsia="Arial" w:hAnsi="Arial"/>
          <w:sz w:val="17"/>
          <w:szCs w:val="17"/>
          <w:color w:val="auto"/>
        </w:rPr>
        <w:t>Exhibit 101 — The following materials from Schlumberger Limited’s Quarterly Report on Form 10-Q for the quarter ended March 31, 2011, formatted in XBRL (Extensible Business Reporting Language): (i) Consolidated Statement of Income; (ii) Consolidated Balance Sheet; (iii) Consolidated Statement of Cash Flows; (iv) Consolidated Statement of Equity, and (v) Notes to Consolidated Financial Statements.</w:t>
      </w:r>
    </w:p>
    <w:p>
      <w:pPr>
        <w:spacing w:after="0" w:line="32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w:t>
      </w:r>
      <w:r>
        <w:rPr>
          <w:rFonts w:ascii="Arial" w:cs="Arial" w:eastAsia="Arial" w:hAnsi="Arial"/>
          <w:sz w:val="16"/>
          <w:szCs w:val="16"/>
          <w:color w:val="auto"/>
        </w:rPr>
        <w:t>Filed with this Form 10-Q.</w:t>
      </w:r>
    </w:p>
    <w:p>
      <w:pPr>
        <w:spacing w:after="0" w:line="99" w:lineRule="exact"/>
        <w:rPr>
          <w:rFonts w:ascii="Arial" w:cs="Arial" w:eastAsia="Arial" w:hAnsi="Arial"/>
          <w:sz w:val="17"/>
          <w:szCs w:val="17"/>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April 27, 2011</w:t>
      </w:r>
      <w:r>
        <w:rPr>
          <w:sz w:val="20"/>
          <w:szCs w:val="20"/>
          <w:color w:val="auto"/>
        </w:rPr>
        <w:tab/>
      </w:r>
      <w:r>
        <w:rPr>
          <w:rFonts w:ascii="Arial" w:cs="Arial" w:eastAsia="Arial" w:hAnsi="Arial"/>
          <w:sz w:val="16"/>
          <w:szCs w:val="16"/>
          <w:color w:val="auto"/>
        </w:rPr>
        <w:t>/s/ Howard Guild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Accounting Officer and Duly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Authorized Signatory</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19"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17"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April 27, 2011</w:t>
      </w:r>
      <w:r>
        <w:rPr>
          <w:sz w:val="20"/>
          <w:szCs w:val="20"/>
          <w:color w:val="auto"/>
        </w:rPr>
        <w:tab/>
      </w:r>
      <w:r>
        <w:rPr>
          <w:rFonts w:ascii="Arial" w:cs="Arial" w:eastAsia="Arial" w:hAnsi="Arial"/>
          <w:sz w:val="16"/>
          <w:szCs w:val="16"/>
          <w:color w:val="auto"/>
        </w:rPr>
        <w:t>/s/ Andrew Gould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April 27, 2011</w:t>
      </w:r>
      <w:r>
        <w:rPr>
          <w:sz w:val="20"/>
          <w:szCs w:val="20"/>
          <w:color w:val="auto"/>
        </w:rPr>
        <w:tab/>
      </w:r>
      <w:r>
        <w:rPr>
          <w:rFonts w:ascii="Arial" w:cs="Arial" w:eastAsia="Arial" w:hAnsi="Arial"/>
          <w:sz w:val="16"/>
          <w:szCs w:val="16"/>
          <w:color w:val="auto"/>
        </w:rPr>
        <w:t>/s/ Simon Ayat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5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March 31, 2011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57" w:lineRule="exact"/>
        <w:rPr>
          <w:sz w:val="20"/>
          <w:szCs w:val="20"/>
          <w:color w:val="auto"/>
        </w:rPr>
      </w:pPr>
    </w:p>
    <w:p>
      <w:pPr>
        <w:ind w:left="480" w:hanging="247"/>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80" w:hanging="247"/>
        <w:spacing w:after="0"/>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April 27, 2011</w:t>
      </w:r>
      <w:r>
        <w:rPr>
          <w:sz w:val="20"/>
          <w:szCs w:val="20"/>
          <w:color w:val="auto"/>
        </w:rPr>
        <w:tab/>
      </w:r>
      <w:r>
        <w:rPr>
          <w:rFonts w:ascii="Arial" w:cs="Arial" w:eastAsia="Arial" w:hAnsi="Arial"/>
          <w:sz w:val="16"/>
          <w:szCs w:val="16"/>
          <w:color w:val="auto"/>
        </w:rPr>
        <w:t>/s/ Andrew Gould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5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March 31, 2011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480" w:hanging="247"/>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80" w:hanging="247"/>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April 27, 2011</w:t>
      </w:r>
      <w:r>
        <w:rPr>
          <w:sz w:val="20"/>
          <w:szCs w:val="20"/>
          <w:color w:val="auto"/>
        </w:rPr>
        <w:tab/>
      </w:r>
      <w:r>
        <w:rPr>
          <w:rFonts w:ascii="Arial" w:cs="Arial" w:eastAsia="Arial" w:hAnsi="Arial"/>
          <w:sz w:val="16"/>
          <w:szCs w:val="16"/>
          <w:color w:val="auto"/>
        </w:rPr>
        <w:t>/s/ Simon Ayat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1"/>
    </w:lvl>
  </w:abstractNum>
  <w:abstractNum w:abstractNumId="12">
    <w:nsid w:val="333AB105"/>
    <w:multiLevelType w:val="hybridMultilevel"/>
    <w:lvl w:ilvl="0">
      <w:lvlJc w:val="left"/>
      <w:lvlText w:val="%1."/>
      <w:numFmt w:val="decimal"/>
      <w:start w:val="12"/>
    </w:lvl>
  </w:abstractNum>
  <w:abstractNum w:abstractNumId="13">
    <w:nsid w:val="721DA317"/>
    <w:multiLevelType w:val="hybridMultilevel"/>
    <w:lvl w:ilvl="0">
      <w:lvlJc w:val="left"/>
      <w:lvlText w:val="%1."/>
      <w:numFmt w:val="decimal"/>
      <w:start w:val="13"/>
    </w:lvl>
  </w:abstractNum>
  <w:abstractNum w:abstractNumId="14">
    <w:nsid w:val="2443A858"/>
    <w:multiLevelType w:val="hybridMultilevel"/>
    <w:lvl w:ilvl="0">
      <w:lvlJc w:val="left"/>
      <w:lvlText w:val="%1."/>
      <w:numFmt w:val="decimal"/>
      <w:start w:val="14"/>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5"/>
    </w:lvl>
  </w:abstractNum>
  <w:abstractNum w:abstractNumId="18">
    <w:nsid w:val="8EDBDAB"/>
    <w:multiLevelType w:val="hybridMultilevel"/>
    <w:lvl w:ilvl="0">
      <w:lvlJc w:val="left"/>
      <w:lvlText w:val="%1."/>
      <w:numFmt w:val="decimal"/>
      <w:start w:val="16"/>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
      <w:numFmt w:val="bullet"/>
      <w:start w:val="1"/>
    </w:lvl>
    <w:lvl w:ilvl="1">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2019-12-10T03:50:16Z</dcterms:created>
  <dcterms:modified xsi:type="dcterms:W3CDTF">2019-12-10T03:50:16Z</dcterms:modified>
</cp:coreProperties>
</file>