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060" w:right="1920" w:hanging="3606"/>
        <w:spacing w:after="0" w:line="329" w:lineRule="auto"/>
        <w:tabs>
          <w:tab w:leader="none" w:pos="90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ind w:left="900" w:hanging="446"/>
        <w:spacing w:after="0" w:line="233" w:lineRule="auto"/>
        <w:tabs>
          <w:tab w:leader="none" w:pos="90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76"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71120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-22860</wp:posOffset>
            </wp:positionV>
            <wp:extent cx="8172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1-4601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8"/>
              </w:rPr>
              <w:t>Netherlands Antilles</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52-0684746</w:t>
            </w:r>
          </w:p>
        </w:tc>
      </w:tr>
      <w:tr>
        <w:trPr>
          <w:trHeight w:val="216"/>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9"/>
              </w:rPr>
              <w:t>(State or other jurisdiction of</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91"/>
              </w:rPr>
              <w:t>(IRS Employer Identification No.)</w:t>
            </w:r>
          </w:p>
        </w:tc>
      </w:tr>
      <w:tr>
        <w:trPr>
          <w:trHeight w:val="228"/>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incorporation or organization)</w:t>
            </w:r>
          </w:p>
        </w:tc>
        <w:tc>
          <w:tcPr>
            <w:tcW w:w="4040" w:type="dxa"/>
            <w:vAlign w:val="bottom"/>
          </w:tcPr>
          <w:p>
            <w:pPr>
              <w:spacing w:after="0"/>
              <w:rPr>
                <w:sz w:val="19"/>
                <w:szCs w:val="19"/>
                <w:color w:val="auto"/>
              </w:rPr>
            </w:pPr>
          </w:p>
        </w:tc>
      </w:tr>
      <w:tr>
        <w:trPr>
          <w:trHeight w:val="285"/>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9"/>
              </w:rPr>
              <w:t>42, rue Saint-Dominique</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75007</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8"/>
              </w:rPr>
              <w:t>Paris, France</w:t>
            </w:r>
          </w:p>
        </w:tc>
        <w:tc>
          <w:tcPr>
            <w:tcW w:w="4040" w:type="dxa"/>
            <w:vAlign w:val="bottom"/>
          </w:tcPr>
          <w:p>
            <w:pPr>
              <w:spacing w:after="0"/>
              <w:rPr>
                <w:sz w:val="19"/>
                <w:szCs w:val="19"/>
                <w:color w:val="auto"/>
              </w:rPr>
            </w:pPr>
          </w:p>
        </w:tc>
      </w:tr>
      <w:tr>
        <w:trPr>
          <w:trHeight w:val="285"/>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8"/>
              </w:rPr>
              <w:t>5599 San Felipe, 17</w:t>
            </w:r>
            <w:r>
              <w:rPr>
                <w:rFonts w:ascii="Arial" w:cs="Arial" w:eastAsia="Arial" w:hAnsi="Arial"/>
                <w:sz w:val="11"/>
                <w:szCs w:val="11"/>
                <w:b w:val="1"/>
                <w:bCs w:val="1"/>
                <w:color w:val="auto"/>
                <w:w w:val="88"/>
              </w:rPr>
              <w:t>th</w:t>
            </w:r>
            <w:r>
              <w:rPr>
                <w:rFonts w:ascii="Arial" w:cs="Arial" w:eastAsia="Arial" w:hAnsi="Arial"/>
                <w:sz w:val="18"/>
                <w:szCs w:val="18"/>
                <w:b w:val="1"/>
                <w:bCs w:val="1"/>
                <w:color w:val="auto"/>
                <w:w w:val="88"/>
              </w:rPr>
              <w:t xml:space="preserve"> Floor</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77056</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7"/>
              </w:rPr>
              <w:t>Houston, Texas, United States of America</w:t>
            </w:r>
          </w:p>
        </w:tc>
        <w:tc>
          <w:tcPr>
            <w:tcW w:w="4040" w:type="dxa"/>
            <w:vAlign w:val="bottom"/>
          </w:tcPr>
          <w:p>
            <w:pPr>
              <w:spacing w:after="0"/>
              <w:rPr>
                <w:sz w:val="19"/>
                <w:szCs w:val="19"/>
                <w:color w:val="auto"/>
              </w:rPr>
            </w:pPr>
          </w:p>
        </w:tc>
      </w:tr>
      <w:tr>
        <w:trPr>
          <w:trHeight w:val="285"/>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Parkstraat 83, The Hague,</w:t>
            </w:r>
          </w:p>
        </w:tc>
        <w:tc>
          <w:tcPr>
            <w:tcW w:w="4040" w:type="dxa"/>
            <w:vAlign w:val="bottom"/>
          </w:tcPr>
          <w:p>
            <w:pPr>
              <w:spacing w:after="0"/>
              <w:rPr>
                <w:sz w:val="24"/>
                <w:szCs w:val="24"/>
                <w:color w:val="auto"/>
              </w:rPr>
            </w:pPr>
          </w:p>
        </w:tc>
      </w:tr>
      <w:tr>
        <w:trPr>
          <w:trHeight w:val="230"/>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The Netherlands</w:t>
            </w:r>
          </w:p>
        </w:tc>
        <w:tc>
          <w:tcPr>
            <w:tcW w:w="4040" w:type="dxa"/>
            <w:vAlign w:val="bottom"/>
          </w:tcPr>
          <w:p>
            <w:pPr>
              <w:jc w:val="center"/>
              <w:ind w:left="1412"/>
              <w:spacing w:after="0"/>
              <w:rPr>
                <w:sz w:val="20"/>
                <w:szCs w:val="20"/>
                <w:color w:val="auto"/>
              </w:rPr>
            </w:pPr>
            <w:r>
              <w:rPr>
                <w:rFonts w:ascii="Arial" w:cs="Arial" w:eastAsia="Arial" w:hAnsi="Arial"/>
                <w:sz w:val="18"/>
                <w:szCs w:val="18"/>
                <w:b w:val="1"/>
                <w:bCs w:val="1"/>
                <w:color w:val="auto"/>
                <w:w w:val="89"/>
              </w:rPr>
              <w:t>2514 JG</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5"/>
              </w:rPr>
              <w:t>(Addresses of principal executive offices)</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8"/>
              </w:rPr>
              <w:t>(Zip Codes)</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 the United States, including area code, is: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513-2000</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2" w:lineRule="exact"/>
        <w:rPr>
          <w:sz w:val="24"/>
          <w:szCs w:val="24"/>
          <w:color w:val="auto"/>
        </w:rPr>
      </w:pPr>
    </w:p>
    <w:tbl>
      <w:tblPr>
        <w:tblLayout w:type="fixed"/>
        <w:tblInd w:w="138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4320" w:type="dxa"/>
            <w:vAlign w:val="bottom"/>
            <w:gridSpan w:val="2"/>
          </w:tcPr>
          <w:p>
            <w:pPr>
              <w:jc w:val="center"/>
              <w:ind w:right="2980"/>
              <w:spacing w:after="0"/>
              <w:rPr>
                <w:sz w:val="20"/>
                <w:szCs w:val="20"/>
                <w:color w:val="auto"/>
              </w:rPr>
            </w:pPr>
            <w:r>
              <w:rPr>
                <w:rFonts w:ascii="Arial" w:cs="Arial" w:eastAsia="Arial" w:hAnsi="Arial"/>
                <w:sz w:val="14"/>
                <w:szCs w:val="14"/>
                <w:b w:val="1"/>
                <w:bCs w:val="1"/>
                <w:color w:val="auto"/>
                <w:w w:val="84"/>
              </w:rPr>
              <w:t>Title of each class</w:t>
            </w:r>
          </w:p>
        </w:tc>
        <w:tc>
          <w:tcPr>
            <w:tcW w:w="3300" w:type="dxa"/>
            <w:vAlign w:val="bottom"/>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95"/>
        </w:trPr>
        <w:tc>
          <w:tcPr>
            <w:tcW w:w="82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980" w:type="dxa"/>
            <w:vAlign w:val="bottom"/>
          </w:tcPr>
          <w:p>
            <w:pPr>
              <w:spacing w:after="0"/>
              <w:rPr>
                <w:sz w:val="8"/>
                <w:szCs w:val="8"/>
                <w:color w:val="auto"/>
              </w:rPr>
            </w:pPr>
          </w:p>
        </w:tc>
        <w:tc>
          <w:tcPr>
            <w:tcW w:w="3300" w:type="dxa"/>
            <w:vAlign w:val="bottom"/>
            <w:tcBorders>
              <w:bottom w:val="single" w:sz="8" w:color="808080"/>
            </w:tcBorders>
          </w:tcPr>
          <w:p>
            <w:pPr>
              <w:spacing w:after="0"/>
              <w:rPr>
                <w:sz w:val="8"/>
                <w:szCs w:val="8"/>
                <w:color w:val="auto"/>
              </w:rPr>
            </w:pPr>
          </w:p>
        </w:tc>
      </w:tr>
      <w:tr>
        <w:trPr>
          <w:trHeight w:val="309"/>
        </w:trPr>
        <w:tc>
          <w:tcPr>
            <w:tcW w:w="5140" w:type="dxa"/>
            <w:vAlign w:val="bottom"/>
            <w:gridSpan w:val="3"/>
          </w:tcPr>
          <w:p>
            <w:pPr>
              <w:jc w:val="center"/>
              <w:ind w:right="2180"/>
              <w:spacing w:after="0"/>
              <w:rPr>
                <w:sz w:val="20"/>
                <w:szCs w:val="20"/>
                <w:color w:val="auto"/>
              </w:rPr>
            </w:pPr>
            <w:r>
              <w:rPr>
                <w:rFonts w:ascii="Arial" w:cs="Arial" w:eastAsia="Arial" w:hAnsi="Arial"/>
                <w:sz w:val="18"/>
                <w:szCs w:val="18"/>
                <w:color w:val="auto"/>
                <w:w w:val="87"/>
              </w:rPr>
              <w:t>Common Stock, par value $0.01 per share</w:t>
            </w:r>
          </w:p>
        </w:tc>
        <w:tc>
          <w:tcPr>
            <w:tcW w:w="330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216"/>
        </w:trPr>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Euronext Paris</w:t>
            </w:r>
          </w:p>
        </w:tc>
      </w:tr>
      <w:tr>
        <w:trPr>
          <w:trHeight w:val="216"/>
        </w:trPr>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The London Stock Exchange</w:t>
            </w:r>
          </w:p>
        </w:tc>
      </w:tr>
      <w:tr>
        <w:trPr>
          <w:trHeight w:val="222"/>
        </w:trPr>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SIX Swiss Exchange Ltd.</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 w:lineRule="exact"/>
        <w:rPr>
          <w:sz w:val="24"/>
          <w:szCs w:val="24"/>
          <w:color w:val="auto"/>
        </w:rPr>
      </w:pPr>
    </w:p>
    <w:p>
      <w:pPr>
        <w:ind w:right="1900"/>
        <w:spacing w:after="0" w:line="31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right="180"/>
        <w:spacing w:after="0" w:line="23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9"/>
          <w:szCs w:val="29"/>
          <w:color w:val="auto"/>
          <w:vertAlign w:val="superscript"/>
        </w:rPr>
        <w:t>☐</w:t>
      </w:r>
    </w:p>
    <w:p>
      <w:pPr>
        <w:spacing w:after="0" w:line="3"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9"/>
          <w:szCs w:val="29"/>
          <w:color w:val="auto"/>
          <w:vertAlign w:val="superscript"/>
        </w:rPr>
        <w:t>☐</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w:t>
      </w:r>
    </w:p>
    <w:p>
      <w:pPr>
        <w:spacing w:after="0" w:line="24" w:lineRule="exact"/>
        <w:rPr>
          <w:sz w:val="24"/>
          <w:szCs w:val="24"/>
          <w:color w:val="auto"/>
        </w:rPr>
      </w:pPr>
    </w:p>
    <w:p>
      <w:pPr>
        <w:ind w:right="160"/>
        <w:spacing w:after="0" w:line="254" w:lineRule="exact"/>
        <w:rPr>
          <w:sz w:val="20"/>
          <w:szCs w:val="20"/>
          <w:color w:val="auto"/>
        </w:rPr>
      </w:pPr>
      <w:r>
        <w:rPr>
          <w:rFonts w:ascii="Arial" w:cs="Arial" w:eastAsia="Arial" w:hAnsi="Arial"/>
          <w:sz w:val="18"/>
          <w:szCs w:val="18"/>
          <w:color w:val="auto"/>
        </w:rPr>
        <w:t xml:space="preserve">the registrant’s knowledge, in definitive proxy or information statements incorporated by reference in Part III of this Form 10-K or any amendment to this Form 10-K. </w:t>
      </w:r>
      <w:r>
        <w:rPr>
          <w:rFonts w:ascii="MS PGothic" w:cs="MS PGothic" w:eastAsia="MS PGothic" w:hAnsi="MS PGothic"/>
          <w:sz w:val="29"/>
          <w:szCs w:val="29"/>
          <w:color w:val="auto"/>
          <w:vertAlign w:val="superscript"/>
        </w:rPr>
        <w:t>☐</w:t>
      </w:r>
    </w:p>
    <w:p>
      <w:pPr>
        <w:spacing w:after="0" w:line="1" w:lineRule="exact"/>
        <w:rPr>
          <w:sz w:val="24"/>
          <w:szCs w:val="24"/>
          <w:color w:val="auto"/>
        </w:rPr>
      </w:pPr>
    </w:p>
    <w:p>
      <w:pPr>
        <w:ind w:right="400"/>
        <w:spacing w:after="0" w:line="28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left="20"/>
        <w:spacing w:after="0" w:line="31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Non-accelerated filer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Smaller reporting company </w:t>
      </w:r>
      <w:r>
        <w:rPr>
          <w:rFonts w:ascii="MS PGothic" w:cs="MS PGothic" w:eastAsia="MS PGothic" w:hAnsi="MS PGothic"/>
          <w:sz w:val="29"/>
          <w:szCs w:val="29"/>
          <w:color w:val="auto"/>
          <w:vertAlign w:val="superscript"/>
        </w:rPr>
        <w:t>☐</w:t>
      </w:r>
    </w:p>
    <w:p>
      <w:pPr>
        <w:ind w:left="2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As of June 30, 2009, the aggregate market value of the common stock of the registrant held by non-affiliates of the registrant was approximately $64.7 billion.</w:t>
      </w:r>
    </w:p>
    <w:p>
      <w:pPr>
        <w:spacing w:after="0" w:line="86" w:lineRule="exact"/>
        <w:rPr>
          <w:sz w:val="24"/>
          <w:szCs w:val="24"/>
          <w:color w:val="auto"/>
        </w:rPr>
      </w:pPr>
    </w:p>
    <w:p>
      <w:pPr>
        <w:ind w:left="20"/>
        <w:spacing w:after="0"/>
        <w:rPr>
          <w:sz w:val="20"/>
          <w:szCs w:val="20"/>
          <w:color w:val="auto"/>
        </w:rPr>
      </w:pPr>
      <w:r>
        <w:rPr>
          <w:rFonts w:ascii="Arial" w:cs="Arial" w:eastAsia="Arial" w:hAnsi="Arial"/>
          <w:sz w:val="18"/>
          <w:szCs w:val="18"/>
          <w:color w:val="auto"/>
        </w:rPr>
        <w:t>As of January 31, 2010, the number of shares of common stock outstanding was 1,196,589,089.</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Portions of the following document have been incorporated herein by reference into Part III of this Form 10-K to the extent described therein: the definitive proxy statement relating to Schlumberger’s 2010 Annual General Meeting of Stockholders (“2010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40" w:type="dxa"/>
            <w:vAlign w:val="bottom"/>
            <w:gridSpan w:val="12"/>
          </w:tcPr>
          <w:p>
            <w:pPr>
              <w:jc w:val="center"/>
              <w:ind w:right="3620"/>
              <w:spacing w:after="0"/>
              <w:rPr>
                <w:sz w:val="20"/>
                <w:szCs w:val="20"/>
                <w:color w:val="auto"/>
              </w:rPr>
            </w:pPr>
            <w:r>
              <w:rPr>
                <w:rFonts w:ascii="Arial" w:cs="Arial" w:eastAsia="Arial" w:hAnsi="Arial"/>
                <w:sz w:val="18"/>
                <w:szCs w:val="18"/>
                <w:color w:val="auto"/>
                <w:w w:val="95"/>
              </w:rPr>
              <w:t>SCHLUMBERGER LIMITED</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60" w:type="dxa"/>
            <w:vAlign w:val="bottom"/>
            <w:gridSpan w:val="10"/>
          </w:tcPr>
          <w:p>
            <w:pPr>
              <w:jc w:val="center"/>
              <w:ind w:right="4680"/>
              <w:spacing w:after="0"/>
              <w:rPr>
                <w:sz w:val="20"/>
                <w:szCs w:val="20"/>
                <w:color w:val="auto"/>
              </w:rPr>
            </w:pPr>
            <w:r>
              <w:rPr>
                <w:rFonts w:ascii="Arial" w:cs="Arial" w:eastAsia="Arial" w:hAnsi="Arial"/>
                <w:sz w:val="18"/>
                <w:szCs w:val="18"/>
                <w:color w:val="auto"/>
                <w:w w:val="87"/>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60" w:type="dxa"/>
            <w:vAlign w:val="bottom"/>
            <w:gridSpan w:val="10"/>
          </w:tcPr>
          <w:p>
            <w:pPr>
              <w:jc w:val="center"/>
              <w:ind w:right="4680"/>
              <w:spacing w:after="0"/>
              <w:rPr>
                <w:sz w:val="20"/>
                <w:szCs w:val="20"/>
                <w:color w:val="auto"/>
              </w:rPr>
            </w:pPr>
            <w:r>
              <w:rPr>
                <w:rFonts w:ascii="Arial" w:cs="Arial" w:eastAsia="Arial" w:hAnsi="Arial"/>
                <w:sz w:val="24"/>
                <w:szCs w:val="24"/>
                <w:b w:val="1"/>
                <w:bCs w:val="1"/>
                <w:color w:val="auto"/>
                <w:w w:val="97"/>
              </w:rPr>
              <w:t>Form 10-K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320" w:type="dxa"/>
            <w:vAlign w:val="bottom"/>
            <w:gridSpan w:val="4"/>
            <w:vMerge w:val="restart"/>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vMerge w:val="continue"/>
          </w:tcPr>
          <w:p>
            <w:pPr>
              <w:spacing w:after="0"/>
              <w:rPr>
                <w:sz w:val="24"/>
                <w:szCs w:val="24"/>
                <w:color w:val="auto"/>
              </w:rPr>
            </w:pPr>
          </w:p>
        </w:tc>
        <w:tc>
          <w:tcPr>
            <w:tcW w:w="132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24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24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Unresolved Staff Comments</w:t>
              </w:r>
            </w:hyperlink>
          </w:p>
        </w:tc>
        <w:tc>
          <w:tcPr>
            <w:tcW w:w="724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Properties</w:t>
              </w:r>
            </w:hyperlink>
          </w:p>
        </w:tc>
        <w:tc>
          <w:tcPr>
            <w:tcW w:w="85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924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Legal Proceedings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Submission of Matters to a Vote of Security 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900" w:type="dxa"/>
            <w:vAlign w:val="bottom"/>
            <w:gridSpan w:val="5"/>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1260" w:type="dxa"/>
            <w:vAlign w:val="bottom"/>
            <w:gridSpan w:val="3"/>
          </w:tcPr>
          <w:p>
            <w:pPr>
              <w:spacing w:after="0"/>
              <w:rPr>
                <w:sz w:val="17"/>
                <w:szCs w:val="17"/>
                <w:color w:val="auto"/>
              </w:rPr>
            </w:pPr>
          </w:p>
        </w:tc>
        <w:tc>
          <w:tcPr>
            <w:tcW w:w="9240" w:type="dxa"/>
            <w:vAlign w:val="bottom"/>
            <w:gridSpan w:val="2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Market for Schlumberger’s Common Stock, Related Stockholder Matters and Issuer Purchases of Equity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11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29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498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9240" w:type="dxa"/>
            <w:vAlign w:val="bottom"/>
            <w:gridSpan w:val="2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Financial Statements and Supplementary Data</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Changes in and Disagreements with Accountants on Accounting and Financial Disclosure</w:t>
              </w:r>
            </w:hyperlink>
          </w:p>
        </w:tc>
        <w:tc>
          <w:tcPr>
            <w:tcW w:w="29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240" w:type="dxa"/>
            <w:vAlign w:val="bottom"/>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752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12"/>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III</w:t>
              </w:r>
            </w:hyperlink>
          </w:p>
        </w:tc>
        <w:tc>
          <w:tcPr>
            <w:tcW w:w="11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9240" w:type="dxa"/>
            <w:vAlign w:val="bottom"/>
            <w:gridSpan w:val="2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Directors, Executive Officers and Corporate Governance of Schlumberger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Executive Compensation</w:t>
              </w:r>
            </w:hyperlink>
          </w:p>
        </w:tc>
        <w:tc>
          <w:tcPr>
            <w:tcW w:w="3440" w:type="dxa"/>
            <w:vAlign w:val="bottom"/>
            <w:tcBorders>
              <w:top w:val="single" w:sz="8" w:color="0000EE"/>
            </w:tcBorders>
            <w:gridSpan w:val="7"/>
          </w:tcPr>
          <w:p>
            <w:pPr>
              <w:spacing w:after="0"/>
              <w:rPr>
                <w:sz w:val="17"/>
                <w:szCs w:val="17"/>
                <w:color w:val="auto"/>
              </w:rPr>
            </w:pPr>
          </w:p>
        </w:tc>
        <w:tc>
          <w:tcPr>
            <w:tcW w:w="404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Security Ownership of Certain Beneficial Owners and Management and Related Stockholder Matters</w:t>
              </w:r>
            </w:hyperlink>
          </w:p>
        </w:tc>
        <w:tc>
          <w:tcPr>
            <w:tcW w:w="21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Certain Relationships and Related Transactions, and Director Independence</w:t>
              </w:r>
            </w:hyperlink>
          </w:p>
        </w:tc>
        <w:tc>
          <w:tcPr>
            <w:tcW w:w="392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240" w:type="dxa"/>
            <w:vAlign w:val="bottom"/>
            <w:gridSpan w:val="2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2"/>
        </w:trPr>
        <w:tc>
          <w:tcPr>
            <w:tcW w:w="1900" w:type="dxa"/>
            <w:vAlign w:val="bottom"/>
            <w:gridSpan w:val="5"/>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1200" w:type="dxa"/>
            <w:vAlign w:val="bottom"/>
            <w:gridSpan w:val="2"/>
          </w:tcPr>
          <w:p>
            <w:pPr>
              <w:spacing w:after="0"/>
              <w:rPr>
                <w:sz w:val="17"/>
                <w:szCs w:val="17"/>
                <w:color w:val="auto"/>
              </w:rPr>
            </w:pPr>
          </w:p>
        </w:tc>
        <w:tc>
          <w:tcPr>
            <w:tcW w:w="9240" w:type="dxa"/>
            <w:vAlign w:val="bottom"/>
            <w:gridSpan w:val="2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Exhibits and Financial Statement Schedules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w:anchor="page75">
              <w:r>
                <w:rPr>
                  <w:rFonts w:ascii="Arial" w:cs="Arial" w:eastAsia="Arial" w:hAnsi="Arial"/>
                  <w:sz w:val="18"/>
                  <w:szCs w:val="18"/>
                  <w:color w:val="0000EE"/>
                  <w:w w:val="83"/>
                </w:rPr>
                <w:t>Signatures</w:t>
              </w:r>
            </w:hyperlink>
          </w:p>
        </w:tc>
        <w:tc>
          <w:tcPr>
            <w:tcW w:w="2340" w:type="dxa"/>
            <w:vAlign w:val="bottom"/>
            <w:tcBorders>
              <w:top w:val="single" w:sz="8" w:color="0000EE"/>
            </w:tcBorders>
            <w:gridSpan w:val="9"/>
          </w:tcPr>
          <w:p>
            <w:pPr>
              <w:spacing w:after="0"/>
              <w:rPr>
                <w:sz w:val="17"/>
                <w:szCs w:val="17"/>
                <w:color w:val="auto"/>
              </w:rPr>
            </w:pPr>
          </w:p>
        </w:tc>
        <w:tc>
          <w:tcPr>
            <w:tcW w:w="61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40" w:type="dxa"/>
            <w:vAlign w:val="bottom"/>
            <w:gridSpan w:val="22"/>
          </w:tcPr>
          <w:p>
            <w:pPr>
              <w:spacing w:after="0" w:line="196" w:lineRule="exact"/>
              <w:rPr>
                <w:sz w:val="20"/>
                <w:szCs w:val="20"/>
                <w:color w:val="auto"/>
              </w:rPr>
            </w:pPr>
            <w:r>
              <w:rPr>
                <w:rFonts w:ascii="Arial" w:cs="Arial" w:eastAsia="Arial" w:hAnsi="Arial"/>
                <w:sz w:val="18"/>
                <w:szCs w:val="18"/>
                <w:color w:val="0000EE"/>
              </w:rPr>
              <w:t>Certifications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74" w:lineRule="exact"/>
        <w:rPr>
          <w:sz w:val="20"/>
          <w:szCs w:val="20"/>
          <w:color w:val="auto"/>
        </w:rPr>
      </w:pPr>
    </w:p>
    <w:p>
      <w:pPr>
        <w:ind w:left="240" w:right="20" w:hanging="227"/>
        <w:spacing w:after="0" w:line="286" w:lineRule="auto"/>
        <w:rPr>
          <w:sz w:val="20"/>
          <w:szCs w:val="20"/>
          <w:color w:val="auto"/>
        </w:rPr>
      </w:pPr>
      <w:r>
        <w:rPr>
          <w:rFonts w:ascii="Arial" w:cs="Arial" w:eastAsia="Arial" w:hAnsi="Arial"/>
          <w:sz w:val="16"/>
          <w:szCs w:val="16"/>
          <w:color w:val="auto"/>
        </w:rPr>
        <w:t>All references in this report to “Registrant,” “Company,” “Schlumberger,” “we” or “our” are to Schlumberger Limited and its consolidated subsidiaries. Founded in 1926, Schlumberger is the world’s leading supplier of technology, integrated project management and information solutions to the international oil</w:t>
      </w:r>
    </w:p>
    <w:p>
      <w:pPr>
        <w:spacing w:after="0" w:line="252" w:lineRule="auto"/>
        <w:rPr>
          <w:sz w:val="20"/>
          <w:szCs w:val="20"/>
          <w:color w:val="auto"/>
        </w:rPr>
      </w:pPr>
      <w:r>
        <w:rPr>
          <w:rFonts w:ascii="Arial" w:cs="Arial" w:eastAsia="Arial" w:hAnsi="Arial"/>
          <w:sz w:val="18"/>
          <w:szCs w:val="18"/>
          <w:color w:val="auto"/>
        </w:rPr>
        <w:t>and gas exploration and production industry. Having invented wireline logging as a technique for obtaining downhole data in oil and gas wells, the company today provides the industry’s widest range of products and services from exploration through production. As of December 31, 2009, the Company employed approximately 77,000 people of over 140 nationalities operating in approximately 80 countries. Schlumberger has principal executive offices in Paris, Houston and The Hague, and consists of two business segments – Schlumberger Oilfield Services and WesternGeco. Schlumberger Oilfield Services provides the industry’s widest range of products and services from exploration to production, while WesternGeco is the world’s most technologically advanced surface seismic acquisition and processing company.</w:t>
      </w:r>
    </w:p>
    <w:p>
      <w:pPr>
        <w:spacing w:after="0" w:line="1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Schlumberger Oilfield Services </w:t>
      </w:r>
      <w:r>
        <w:rPr>
          <w:rFonts w:ascii="Arial" w:cs="Arial" w:eastAsia="Arial" w:hAnsi="Arial"/>
          <w:sz w:val="16"/>
          <w:szCs w:val="16"/>
          <w:color w:val="auto"/>
        </w:rPr>
        <w:t>operates in each of the major oilfield service markets, managing its business through its GeoMarket* regions,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grouped into four geographic areas: North America, Latin America, Europe/CIS/Africa and Middle East &amp; Asia. The GeoMarket structure offers customers a single point of contact at the local level for field operations and brings together geographically focused teams to meet local needs and deliver customized solutions. Within this business structure, Schlumberger Oilfield Services products and services are developed by a number of technology-based product lines, or Technologies, to capitalize on technical synergies. These products and services cover the entire life cycle of the reservoir and correspond to a number of markets in which Schlumberger Oilfield Services holds leading positions. The Technologies are also responsible for overseeing operational processes, resource allocation, personnel, and quality, health, safety and environmental matters in the GeoMarkets.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Technologies are:</w:t>
      </w:r>
    </w:p>
    <w:p>
      <w:pPr>
        <w:spacing w:after="0" w:line="77" w:lineRule="exact"/>
        <w:rPr>
          <w:sz w:val="20"/>
          <w:szCs w:val="20"/>
          <w:color w:val="auto"/>
        </w:rPr>
      </w:pPr>
    </w:p>
    <w:p>
      <w:pPr>
        <w:ind w:left="780" w:right="3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Wireline – provides the information necessary to evaluate the subsurface formation rocks and fluids to plan and monitor well construction, and to monitor and evaluate well production. Wireline offers both open-hole and cased-hole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Drilling &amp; Measurements – supplies directional-drilling, measurement-while-drilling and logging-while-drilling services for all well profiles.</w:t>
      </w:r>
    </w:p>
    <w:p>
      <w:pPr>
        <w:spacing w:after="0" w:line="126" w:lineRule="exact"/>
        <w:rPr>
          <w:rFonts w:ascii="Arial" w:cs="Arial" w:eastAsia="Arial" w:hAnsi="Arial"/>
          <w:sz w:val="16"/>
          <w:szCs w:val="16"/>
          <w:color w:val="auto"/>
        </w:rPr>
      </w:pPr>
    </w:p>
    <w:p>
      <w:pPr>
        <w:ind w:left="780" w:right="7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Testing Services – provides exploration and production pressure and flow-rate measurement services both at the surface and downhole. The Technology also provides tubing-conveyed perforating services.</w:t>
      </w:r>
    </w:p>
    <w:p>
      <w:pPr>
        <w:spacing w:after="0" w:line="37"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Well Services – provides services used during oil and gas well drilling and completion as well as those used to maintain optimal production throughout the life of a well. The services include pressure pumping, well cementing and stimulation operations as well as intervention activities. The Technology also develops coiled-tubing equipment and services.</w:t>
      </w:r>
    </w:p>
    <w:p>
      <w:pPr>
        <w:spacing w:after="0" w:line="45" w:lineRule="exact"/>
        <w:rPr>
          <w:rFonts w:ascii="Arial" w:cs="Arial" w:eastAsia="Arial" w:hAnsi="Arial"/>
          <w:sz w:val="18"/>
          <w:szCs w:val="18"/>
          <w:color w:val="auto"/>
        </w:rPr>
      </w:pPr>
    </w:p>
    <w:p>
      <w:pPr>
        <w:ind w:left="780" w:right="84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Completions – supplies well completion services and equipment that include gas-lift and safety valves as well as a range of intelligent well completions technology and equipment.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Artificial Lift – provides production optimization services using electrical submersible pumps and associated equipment.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206" w:lineRule="exact"/>
        <w:rPr>
          <w:sz w:val="20"/>
          <w:szCs w:val="20"/>
          <w:color w:val="auto"/>
        </w:rPr>
      </w:pPr>
    </w:p>
    <w:p>
      <w:pPr>
        <w:ind w:left="780" w:right="80" w:hanging="326"/>
        <w:spacing w:after="0" w:line="325"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Data &amp; Consulting Services – supplies interpretation and integration of all exploration and production data types, as well as expert consulting services for reservoir characterization, production enhancement, field development planning and multi-disciplinary reservoir and production solutions.</w:t>
      </w:r>
    </w:p>
    <w:p>
      <w:pPr>
        <w:spacing w:after="0" w:line="1" w:lineRule="exact"/>
        <w:rPr>
          <w:rFonts w:ascii="Arial" w:cs="Arial" w:eastAsia="Arial" w:hAnsi="Arial"/>
          <w:sz w:val="16"/>
          <w:szCs w:val="16"/>
          <w:color w:val="auto"/>
        </w:rPr>
      </w:pPr>
    </w:p>
    <w:p>
      <w:pPr>
        <w:ind w:left="780" w:right="2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Information Solutions (SIS) – provides consulting, software, information management and IT infrastructure services that support core oil and gas industry operational processes.</w:t>
      </w:r>
    </w:p>
    <w:p>
      <w:pPr>
        <w:spacing w:after="0" w:line="118" w:lineRule="exact"/>
        <w:rPr>
          <w:sz w:val="20"/>
          <w:szCs w:val="20"/>
          <w:color w:val="auto"/>
        </w:rPr>
      </w:pPr>
    </w:p>
    <w:p>
      <w:pPr>
        <w:ind w:right="340" w:firstLine="228"/>
        <w:spacing w:after="0" w:line="253" w:lineRule="auto"/>
        <w:rPr>
          <w:sz w:val="20"/>
          <w:szCs w:val="20"/>
          <w:color w:val="auto"/>
        </w:rPr>
      </w:pPr>
      <w:r>
        <w:rPr>
          <w:rFonts w:ascii="Arial" w:cs="Arial" w:eastAsia="Arial" w:hAnsi="Arial"/>
          <w:sz w:val="18"/>
          <w:szCs w:val="18"/>
          <w:color w:val="auto"/>
        </w:rPr>
        <w:t>Supporting the Technologies are 22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ind w:firstLine="228"/>
        <w:spacing w:after="0" w:line="281" w:lineRule="auto"/>
        <w:rPr>
          <w:sz w:val="20"/>
          <w:szCs w:val="20"/>
          <w:color w:val="auto"/>
        </w:rPr>
      </w:pPr>
      <w:r>
        <w:rPr>
          <w:rFonts w:ascii="Arial" w:cs="Arial" w:eastAsia="Arial" w:hAnsi="Arial"/>
          <w:sz w:val="16"/>
          <w:szCs w:val="16"/>
          <w:color w:val="auto"/>
        </w:rPr>
        <w:t>Schlumberger Oilfield Services also offers customers its services through a business model known as Integrated Project Management (IPM). IPM combines the required services and products of the Technologies with drilling rig management expertise and project management skills to provide a complete solution to well construction and production improvement. IPM projects are typically of multi-year duration and include start-up costs and significant third-party components that cover services that Schlumberger does not provide directly. Some projects may be fixed price in nature and may contain penalties for non-performance.</w:t>
      </w:r>
    </w:p>
    <w:p>
      <w:pPr>
        <w:spacing w:after="0" w:line="3"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Schlumberger Oilfield Services uses its own personnel to market its services and products.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differentiation are the principal methods of competition, which varies geographically with respect to the different services offered. While there are numerous competitors, both large and small, Schlumberger believes that it is an industry leader in providing wireline logging, well testing, measurement-while-drilling, logging-while-drilling and directional-drilling services, as well as fully computerized logging and geoscience software and computing services. A large proportion of Schlumberger offerings are non-rig related; consequently, revenue does not necessarily correlate to rig count fluctuations.</w:t>
      </w:r>
    </w:p>
    <w:p>
      <w:pPr>
        <w:spacing w:after="0" w:line="3" w:lineRule="exact"/>
        <w:rPr>
          <w:sz w:val="20"/>
          <w:szCs w:val="20"/>
          <w:color w:val="auto"/>
        </w:rPr>
      </w:pPr>
    </w:p>
    <w:p>
      <w:pPr>
        <w:ind w:right="620" w:firstLine="228"/>
        <w:spacing w:after="0" w:line="323" w:lineRule="auto"/>
        <w:rPr>
          <w:sz w:val="20"/>
          <w:szCs w:val="20"/>
          <w:color w:val="auto"/>
        </w:rPr>
      </w:pPr>
      <w:r>
        <w:rPr>
          <w:rFonts w:ascii="Arial" w:cs="Arial" w:eastAsia="Arial" w:hAnsi="Arial"/>
          <w:sz w:val="16"/>
          <w:szCs w:val="16"/>
          <w:color w:val="auto"/>
        </w:rPr>
        <w:t>Schlumberger is a 40% owner in M-I SWACO – a joint venture with Smith International, Inc. – which offers the drilling and completion fluids used to stabilize subsurface rock strata during the drilling process and minimize formation damage during completion and workover operations.</w:t>
      </w:r>
    </w:p>
    <w:p>
      <w:pPr>
        <w:spacing w:after="0" w:line="7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color w:val="auto"/>
        </w:rPr>
        <w:t>WesternGeco</w:t>
      </w:r>
      <w:r>
        <w:rPr>
          <w:rFonts w:ascii="Arial" w:cs="Arial" w:eastAsia="Arial" w:hAnsi="Arial"/>
          <w:sz w:val="16"/>
          <w:szCs w:val="16"/>
          <w:color w:val="auto"/>
        </w:rPr>
        <w:t>, the world’s most technologically advanced surface seismic company, provides comprehensive reservoir imaging, monitoring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with the most extensive seismic crews and data processing centers in the industry as well as a leading multiclient seismic library. Services range from 3D and time-lapse (4D) seismic surveys to multi-component surveys for delineating prospects and reservoir management. WesternGeco benefits from full access to the Schlumberger research, development and technology organization and shares similar business risks, opportunities for growth, principal methods of competition and means of marketing as Schlumberger Oilfield Services. Seismic solutions include proprietary Q* technology for enhanced reservoir description, characterization and monitoring throughout the life of the field – from exploration through enhanced recovery. Other WesternGeco solutions include development of controlled-source electromagnetic and magneto-telluric surveys and their integration with seismic data.</w:t>
      </w:r>
    </w:p>
    <w:p>
      <w:pPr>
        <w:spacing w:after="0" w:line="1" w:lineRule="exact"/>
        <w:rPr>
          <w:sz w:val="20"/>
          <w:szCs w:val="20"/>
          <w:color w:val="auto"/>
        </w:rPr>
      </w:pPr>
    </w:p>
    <w:p>
      <w:pPr>
        <w:ind w:right="660" w:firstLine="228"/>
        <w:spacing w:after="0" w:line="261" w:lineRule="auto"/>
        <w:rPr>
          <w:sz w:val="20"/>
          <w:szCs w:val="20"/>
          <w:color w:val="auto"/>
        </w:rPr>
      </w:pPr>
      <w:r>
        <w:rPr>
          <w:rFonts w:ascii="Arial" w:cs="Arial" w:eastAsia="Arial" w:hAnsi="Arial"/>
          <w:sz w:val="18"/>
          <w:szCs w:val="18"/>
          <w:color w:val="auto"/>
        </w:rPr>
        <w:t>Positioned for meeting a full range of customer needs in land, marine and shallow-water transition-zone services, WesternGeco offers a wide scope of technologies and services:</w:t>
      </w:r>
    </w:p>
    <w:p>
      <w:pPr>
        <w:spacing w:after="0" w:line="43"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Land Seismic – provides comprehensive resources for seismic data acquisition on land and across shallow-water transition zones.</w:t>
      </w:r>
    </w:p>
    <w:p>
      <w:pPr>
        <w:spacing w:after="0" w:line="103" w:lineRule="exact"/>
        <w:rPr>
          <w:rFonts w:ascii="Arial" w:cs="Arial" w:eastAsia="Arial" w:hAnsi="Arial"/>
          <w:sz w:val="18"/>
          <w:szCs w:val="18"/>
          <w:color w:val="auto"/>
        </w:rPr>
      </w:pPr>
    </w:p>
    <w:p>
      <w:pPr>
        <w:ind w:left="780" w:right="16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Marine Seismic – provides industry-standard marine seismic acquisition and processing systems as well as a unique industry-leading, fully calibrated single-sensor marine seismic system that delivers the seismic technology needed for new-generation reservoir management.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20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Multiclient Services – supplies high-quality seismic data from the multiclient library, including industry-leading Q technology data.</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Reservoir Services – provides people, tools and technology to help customers capture the benefits of a completely integrated approach to locating, defining and monitoring the reservoir.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 Processing – offers extensive seismic data processing centers for complex data processing projects.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Electromagnetics – provides controlled-source electromagnetic and magneto-telluric data acquisition and processing.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Information about acquisitions made by Schlumberger appears in Note 4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Centers</w:t>
      </w:r>
    </w:p>
    <w:p>
      <w:pPr>
        <w:spacing w:after="0" w:line="7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Research to support the engineering and development efforts of Schlumberger activities is principally conducted at Cambridge, Massachusetts, United States; Cambridge, England; Stavanger, Norway; Moscow, Russia; and Dhahran, Saudi Arabia.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While Schlumberger seeks and holds numerous patents covering various products and processes, no particular patent or group of patents is considered material to Schlumberger’s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Although weather and natural phenomena can temporarily affect delivery of oilfield services, the widespread geographic location of such services precludes the overall business from being characterized as seasonal.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Backlog of Orders</w:t>
      </w:r>
    </w:p>
    <w:p>
      <w:pPr>
        <w:spacing w:after="0" w:line="7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No single customer exceeded 10% of consolidated revenue. Oilfield Services has no significant backlog due to the nature of its business. The WesternGeco backlog, which is based on signed contracts with customers, was $1.0 billion at December 31, 2009 ($1.8 billion at December 31, 2008).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December 31, 2009, Schlumberger had approximately 77,000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7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 xml:space="preserve">Financial information by business segment for the years ended December 31, 2009, 2008 and 2007 is provided in Note 18 of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72"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 xml:space="preserve">The Schlumberger Internet website is </w:t>
      </w:r>
      <w:r>
        <w:rPr>
          <w:rFonts w:ascii="Arial" w:cs="Arial" w:eastAsia="Arial" w:hAnsi="Arial"/>
          <w:sz w:val="16"/>
          <w:szCs w:val="16"/>
          <w:u w:val="single" w:color="auto"/>
          <w:color w:val="auto"/>
        </w:rPr>
        <w:t>www.slb.com</w:t>
      </w:r>
      <w:r>
        <w:rPr>
          <w:rFonts w:ascii="Arial" w:cs="Arial" w:eastAsia="Arial" w:hAnsi="Arial"/>
          <w:sz w:val="16"/>
          <w:szCs w:val="16"/>
          <w:color w:val="auto"/>
        </w:rPr>
        <w:t xml:space="preserve">. Schlumberger uses it’s Investor Relations website,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as a channel for routine distribution of important information, including news releases, analyst presentations, and financial information. Schlumberger makes available free of charge on or through its Investor Relations website at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access to its Annual Reports on Form 10-K, Quarterly Reports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 1A</w:t>
      </w:r>
    </w:p>
    <w:p>
      <w:pPr>
        <w:spacing w:after="0" w:line="20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 xml:space="preserve">on Form 10-Q, Current Reports on Form 8-K, its proxy statements and Forms 3, 4 and 5 filed on behalf of directors and executive officers, and amendments to each of those reports, as soon as reasonably practicable after such material is filed with or furnished to the Securities and Exchange Commission (“SEC”). Alternatively, you may access these reports at the SEC’s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ind w:right="40" w:firstLine="228"/>
        <w:spacing w:after="0" w:line="281" w:lineRule="auto"/>
        <w:rPr>
          <w:sz w:val="20"/>
          <w:szCs w:val="20"/>
          <w:color w:val="auto"/>
        </w:rPr>
      </w:pPr>
      <w:r>
        <w:rPr>
          <w:rFonts w:ascii="Arial" w:cs="Arial" w:eastAsia="Arial" w:hAnsi="Arial"/>
          <w:sz w:val="16"/>
          <w:szCs w:val="16"/>
          <w:color w:val="auto"/>
        </w:rPr>
        <w:t xml:space="preserve">Schlumberger’s corporate governance materials, including Board Committee Charters, Corporate Governance Guidelines and Code of Ethics, may also be found at </w:t>
      </w:r>
      <w:r>
        <w:rPr>
          <w:rFonts w:ascii="Arial" w:cs="Arial" w:eastAsia="Arial" w:hAnsi="Arial"/>
          <w:sz w:val="16"/>
          <w:szCs w:val="16"/>
          <w:u w:val="single" w:color="auto"/>
          <w:color w:val="auto"/>
        </w:rPr>
        <w:t>www.slb.com/ir</w:t>
      </w:r>
      <w:r>
        <w:rPr>
          <w:rFonts w:ascii="Arial" w:cs="Arial" w:eastAsia="Arial" w:hAnsi="Arial"/>
          <w:sz w:val="16"/>
          <w:szCs w:val="16"/>
          <w:color w:val="auto"/>
        </w:rPr>
        <w:t>. From time to time, corporate governance materials on our website may be updated to comply with rules issued by the SEC and the New York Stock Exchange (“NYSE”) or as desirable to promote the effective governance of Schlumberger.</w:t>
      </w:r>
    </w:p>
    <w:p>
      <w:pPr>
        <w:spacing w:after="0" w:line="2"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Any stockholder wishing to receive, without charge, a copy of any of Schlumberger’s SEC filings should write to the Secretary, Schlumberger Limited, 5599 San Felipe, 17</w:t>
      </w:r>
      <w:r>
        <w:rPr>
          <w:rFonts w:ascii="Arial" w:cs="Arial" w:eastAsia="Arial" w:hAnsi="Arial"/>
          <w:sz w:val="11"/>
          <w:szCs w:val="11"/>
          <w:color w:val="auto"/>
        </w:rPr>
        <w:t>th</w:t>
      </w:r>
      <w:r>
        <w:rPr>
          <w:rFonts w:ascii="Arial" w:cs="Arial" w:eastAsia="Arial" w:hAnsi="Arial"/>
          <w:sz w:val="18"/>
          <w:szCs w:val="18"/>
          <w:color w:val="auto"/>
        </w:rPr>
        <w:t xml:space="preserve"> Floor, Houston, Texas 77056, USA.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Schlumberger has filed the required certifications under Section 302 of the Sarbanes-Oxley Act of 2002 as Exhibits 31.1 and 31.2 to this Form 10-K.</w:t>
      </w:r>
    </w:p>
    <w:p>
      <w:pPr>
        <w:spacing w:after="0" w:line="32" w:lineRule="exact"/>
        <w:rPr>
          <w:sz w:val="20"/>
          <w:szCs w:val="20"/>
          <w:color w:val="auto"/>
        </w:rPr>
      </w:pPr>
    </w:p>
    <w:p>
      <w:pPr>
        <w:ind w:right="300" w:firstLine="228"/>
        <w:spacing w:after="0" w:line="261" w:lineRule="auto"/>
        <w:rPr>
          <w:sz w:val="20"/>
          <w:szCs w:val="20"/>
          <w:color w:val="auto"/>
        </w:rPr>
      </w:pPr>
      <w:r>
        <w:rPr>
          <w:rFonts w:ascii="Arial" w:cs="Arial" w:eastAsia="Arial" w:hAnsi="Arial"/>
          <w:sz w:val="18"/>
          <w:szCs w:val="18"/>
          <w:color w:val="auto"/>
        </w:rPr>
        <w:t>The information on our website or any other website is not incorporated by reference in this Report and should not be considered part of this Report or any other filing Schlumberger makes with the SEC.</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discussion of risk factors contains “forward-looking statements” which are discussed immediately following Item 7A of this Form 10-K. These risk factors may be important to understanding any statement in this Form 10-K or elsewhere. The following information should be read in conjunction with Item 7. Management’s Discussion and Analysis of Financial Condition and Results of Operations, and the consolidated financial statements and related notes included in this Form 10-K.</w:t>
      </w:r>
    </w:p>
    <w:p>
      <w:pPr>
        <w:spacing w:after="0" w:line="13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We urge you to carefully consider the risks described below, as well as in other reports and materials that we file with the SEC and the other information included or incorporated by reference in Form 10-K.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Demand for the majority of our services is substantially dependent on the levels of expenditures by the oil and gas industry. Our customers’ capital expenditures may decline in 2010 and beyond if current global economic conditions continue or worsen. This could have a material adverse effect on our financial condition, results of operations and cash flows.</w:t>
      </w:r>
    </w:p>
    <w:p>
      <w:pPr>
        <w:spacing w:after="0" w:line="1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current global economic downturn has reduced worldwide demand for oil and natural gas and resulted in significantly lower crude oil and natural gas prices compared to their record highs in July 2008. It is difficult to predict how long the global economic downturn will continue, or to what extent this will continue to affect us. The significant decline in oil and natural gas prices reduced many of our customers’ activities and spending on our services and products in 2009; this reduction in our customers’ activities and spending could continue through 2010 and beyond. Demand for the majority of our services depends substantially on the level of expenditures by the oil and gas industry for the exploration, development and production of oil and natural gas reserves. These expenditures are sensitive to the industry’s view of future economic growth and the resulting impact on demand for oil and natural gas. The worldwide deterioration in the financial and credit markets, which began in the second half of 2008, resulted in diminished demand for oil and gas and significantly lower oil and natural gas prices. This caused many of our customers to reduce or delay their oil and gas exploration and production spending in 2009, which consequently reduced the demand for our services, and exerted downward pressure on the prices of our services and products. If the economic downturn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1A</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continues for a prolonged period or if there is little or no economic growth, it will likely result in further reductions of exploration and production expenditures by our customers, causing further declines in the demand for, and prices of, our services and products. This could result in a material adverse effect on our financial condition, results of operations and cash flows.</w:t>
      </w:r>
    </w:p>
    <w:p>
      <w:pPr>
        <w:ind w:right="140" w:firstLine="228"/>
        <w:spacing w:after="0" w:line="250" w:lineRule="auto"/>
        <w:rPr>
          <w:sz w:val="20"/>
          <w:szCs w:val="20"/>
          <w:color w:val="auto"/>
        </w:rPr>
      </w:pPr>
      <w:r>
        <w:rPr>
          <w:rFonts w:ascii="Arial" w:cs="Arial" w:eastAsia="Arial" w:hAnsi="Arial"/>
          <w:sz w:val="18"/>
          <w:szCs w:val="18"/>
          <w:color w:val="auto"/>
        </w:rPr>
        <w:t>The reduction in cash flows being experienced by our customers resulting from declines in commodity prices, together with the reduced availability of credit and increased costs of borrowing, could have significant adverse effects on the financial condition of some of our customers. This could result in project modifications, delays or cancellations, general business disruptions, and delay in, or nonpayment of, amounts that are owed to us, which could have a material adverse effect on our results of operations and cash flows.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prices for oil and natural gas are subject to a variety of factors, including:</w:t>
      </w:r>
    </w:p>
    <w:p>
      <w:pPr>
        <w:spacing w:after="0" w:line="7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demand for hydrocarbons, which is affected by worldwide population growth, economic growth rates and general economic and business conditions;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 (“OPEC”) to set and maintain production levels for oil;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excess production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worldwide oil and gas exploration and production activity;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approximately 80 countries in which we operate.</w:t>
      </w:r>
    </w:p>
    <w:p>
      <w:pPr>
        <w:spacing w:after="0" w:line="1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non-United States operations accounted for approximately 84% of our consolidated revenue in 2009, 78% in 2008 and 76% in 2007. Operations in countries other than the United States are subject to various risks, including:</w:t>
      </w:r>
    </w:p>
    <w:p>
      <w:pPr>
        <w:spacing w:after="0" w:line="3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possible expropriation of our assets or other governmental 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under the United States Foreign Corrupt Practices Act or similar legislation in other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exchange controls;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exchange rate fluctuations and devaluations.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1A</w:t>
      </w:r>
    </w:p>
    <w:p>
      <w:pPr>
        <w:spacing w:after="0" w:line="206" w:lineRule="exact"/>
        <w:rPr>
          <w:sz w:val="20"/>
          <w:szCs w:val="20"/>
          <w:color w:val="auto"/>
        </w:rPr>
      </w:pPr>
    </w:p>
    <w:p>
      <w:pPr>
        <w:ind w:firstLine="228"/>
        <w:spacing w:after="0" w:line="284" w:lineRule="auto"/>
        <w:rPr>
          <w:sz w:val="20"/>
          <w:szCs w:val="20"/>
          <w:color w:val="auto"/>
        </w:rPr>
      </w:pPr>
      <w:r>
        <w:rPr>
          <w:rFonts w:ascii="Arial" w:cs="Arial" w:eastAsia="Arial" w:hAnsi="Arial"/>
          <w:sz w:val="16"/>
          <w:szCs w:val="16"/>
          <w:color w:val="auto"/>
        </w:rPr>
        <w:t>In addition, we are subject to risks associated with our operations in countries, including Iran, Syria, Sudan and Cuba, which are subject to trade and economic sanctions or other restrictions imposed by the United States or other governments or organizations. United States law enforcement authorities are currently conducting a grand jury investigation and an associated regulatory inquiry related to our operations in certain of these countries.</w:t>
      </w:r>
    </w:p>
    <w:p>
      <w:pPr>
        <w:spacing w:after="0" w:line="1"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If any of the risks described above materialize, or if any governmental investigation results in criminal or civil penalties or other remedial measures, it could reduce our earnings and our cash available for operations.</w:t>
      </w:r>
    </w:p>
    <w:p>
      <w:pPr>
        <w:spacing w:after="0" w:line="1" w:lineRule="exact"/>
        <w:rPr>
          <w:sz w:val="20"/>
          <w:szCs w:val="20"/>
          <w:color w:val="auto"/>
        </w:rPr>
      </w:pPr>
    </w:p>
    <w:p>
      <w:pPr>
        <w:ind w:right="260" w:firstLine="228"/>
        <w:spacing w:after="0" w:line="255" w:lineRule="auto"/>
        <w:rPr>
          <w:sz w:val="20"/>
          <w:szCs w:val="20"/>
          <w:color w:val="auto"/>
        </w:rPr>
      </w:pPr>
      <w:r>
        <w:rPr>
          <w:rFonts w:ascii="Arial" w:cs="Arial" w:eastAsia="Arial" w:hAnsi="Arial"/>
          <w:sz w:val="18"/>
          <w:szCs w:val="18"/>
          <w:color w:val="auto"/>
        </w:rPr>
        <w:t>We are also subject to risks related to investment in our common stock in connection with certain US state divestment or investment limitation legislation applicable to companies with operations in these countries, and similar actions by some private investors, which could adversely affect the market price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164"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We are subject to increasingly stringent laws and regulations relating to importation and use of hazardous materials, radioactive materials and explosives, environmental protection, including laws and regulations governing air emissions, water discharges and waste management. We incur, and expect to continue to incur, capital and operating costs to comply with environmental laws and regulations. The technical requirements of these laws and regulations are becoming increasingly complex, stringent and expensive to implement. These laws may provide for “strict liability” for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 We believe we are currently in substantial compliance with environmental laws and regulations.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be subject to substantial liability claims, which would adversely affect our financial condition, results of operations and cash flows.</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Certain equipment used in the delivery of oilfield services, such as directional drilling equipment, perforating systems, subsea completion equipment, radioactive materials and explosives and well completion systems, are used in hostile environments, such as exploration, development and production applications. An accident or a failure of a product could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adversely affect our financial condition, results of operations and cash flows.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1A</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unable to maintain technology leadership in the form of services and products, this could adversely affect any competitive advantage we hold.</w:t>
      </w:r>
    </w:p>
    <w:p>
      <w:pPr>
        <w:spacing w:after="0" w:line="19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If we are unable to develop and produce competitive technology or deliver it to our clients in the form of services and products in a timely and cost-competitive manner in the various markets we serve, it could adversely affect our financial condition, results of operations and cash flows.</w:t>
      </w:r>
    </w:p>
    <w:p>
      <w:pPr>
        <w:spacing w:after="0" w:line="66"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11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service or product, which could adversely affect our financial condition, results of operations and cash flows. Additionally, developing non-infringing technologies would increase our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Severe weather conditions may affect our operations.</w:t>
      </w:r>
    </w:p>
    <w:p>
      <w:pPr>
        <w:spacing w:after="0" w:line="164"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Our business may be materially affected by severe weather conditions in areas where we operate. This may entail the evacuation of personnel and stoppage of services. In addition, if particularly severe weather affects platforms or structures, this may result in a suspension of activities until the platforms or structures have been repaired. Any of these events could adversely affect our financial condition, results of operations and cash flows.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1B, 2, 3, 4</w:t>
      </w:r>
    </w:p>
    <w:p>
      <w:pPr>
        <w:spacing w:after="0" w:line="19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7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Schlumberger owns or leases manufacturing facilities, administrative offices, service centers, research centers, data processing centers, sales offices and warehouses throughout the world. No significant lease is scheduled to terminate in the near future, and we believe comparable space is readily obtainable should any lease expire without renewal. We believe our properties are generally well maintained and adequate for their intended use.</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Outside the United States the principal owned or leased facilities of Oilfield Services are located in Beijing, China; Clamart and Abbeville, France; Fuchinobe, Japan; Oslo, Norway; Singapore; Abingdon, Cambridge and Stonehouse, United Kingdom; and Novosibirsk, Russia.</w:t>
      </w:r>
    </w:p>
    <w:p>
      <w:pPr>
        <w:spacing w:after="0" w:line="1"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Within the United States, the principal owned or leased facilities of Oilfield Services are located in Boston, Massachusetts; Houston, Rosharon, and Sugar Land, Texas; and Lawrence, Kansas.</w:t>
      </w:r>
    </w:p>
    <w:p>
      <w:pPr>
        <w:spacing w:after="0" w:line="1" w:lineRule="exact"/>
        <w:rPr>
          <w:sz w:val="20"/>
          <w:szCs w:val="20"/>
          <w:color w:val="auto"/>
        </w:rPr>
      </w:pPr>
    </w:p>
    <w:p>
      <w:pPr>
        <w:ind w:right="140" w:firstLine="228"/>
        <w:spacing w:after="0" w:line="261" w:lineRule="auto"/>
        <w:rPr>
          <w:sz w:val="20"/>
          <w:szCs w:val="20"/>
          <w:color w:val="auto"/>
        </w:rPr>
      </w:pPr>
      <w:r>
        <w:rPr>
          <w:rFonts w:ascii="Arial" w:cs="Arial" w:eastAsia="Arial" w:hAnsi="Arial"/>
          <w:sz w:val="18"/>
          <w:szCs w:val="18"/>
          <w:color w:val="auto"/>
        </w:rPr>
        <w:t>The principal owned or leased facilities of WesternGeco are located in Bergen and Oslo, Norway; Gatwick, United Kingdom; Houston, Texas, United States; and Mumbai, India.</w:t>
      </w:r>
    </w:p>
    <w:p>
      <w:pPr>
        <w:spacing w:after="0" w:line="1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The information with respect to this Item 3 is set forth in Note 17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Schlumberger’s security holders during the fourth quarter of the fiscal year covered by this Form 10-K.</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Schlumberger</w:t>
      </w:r>
    </w:p>
    <w:p>
      <w:pPr>
        <w:spacing w:after="0" w:line="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sets forth, as of January 31, 2010, the names and ages of the executive officers of Schlumberger, including all offices and positions held by each for at least the past five years.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ind w:left="400"/>
              <w:spacing w:after="0"/>
              <w:rPr>
                <w:sz w:val="20"/>
                <w:szCs w:val="20"/>
                <w:color w:val="auto"/>
              </w:rPr>
            </w:pPr>
            <w:r>
              <w:rPr>
                <w:rFonts w:ascii="Arial" w:cs="Arial" w:eastAsia="Arial" w:hAnsi="Arial"/>
                <w:sz w:val="14"/>
                <w:szCs w:val="14"/>
                <w:b w:val="1"/>
                <w:bCs w:val="1"/>
                <w:color w:val="auto"/>
              </w:rPr>
              <w:t>Age</w:t>
            </w:r>
          </w:p>
        </w:tc>
        <w:tc>
          <w:tcPr>
            <w:tcW w:w="8940" w:type="dxa"/>
            <w:vAlign w:val="bottom"/>
          </w:tcPr>
          <w:p>
            <w:pPr>
              <w:ind w:left="10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17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940" w:type="dxa"/>
            <w:vAlign w:val="bottom"/>
            <w:tcBorders>
              <w:bottom w:val="single" w:sz="8" w:color="808080"/>
            </w:tcBorders>
          </w:tcPr>
          <w:p>
            <w:pPr>
              <w:spacing w:after="0"/>
              <w:rPr>
                <w:sz w:val="8"/>
                <w:szCs w:val="8"/>
                <w:color w:val="auto"/>
              </w:rPr>
            </w:pPr>
          </w:p>
        </w:tc>
      </w:tr>
      <w:tr>
        <w:trPr>
          <w:trHeight w:val="424"/>
        </w:trPr>
        <w:tc>
          <w:tcPr>
            <w:tcW w:w="1740" w:type="dxa"/>
            <w:vAlign w:val="bottom"/>
          </w:tcPr>
          <w:p>
            <w:pPr>
              <w:spacing w:after="0"/>
              <w:rPr>
                <w:sz w:val="20"/>
                <w:szCs w:val="20"/>
                <w:color w:val="auto"/>
              </w:rPr>
            </w:pPr>
            <w:r>
              <w:rPr>
                <w:rFonts w:ascii="Arial" w:cs="Arial" w:eastAsia="Arial" w:hAnsi="Arial"/>
                <w:sz w:val="18"/>
                <w:szCs w:val="18"/>
                <w:color w:val="auto"/>
              </w:rPr>
              <w:t>Andrew Gould</w:t>
            </w:r>
          </w:p>
        </w:tc>
        <w:tc>
          <w:tcPr>
            <w:tcW w:w="740" w:type="dxa"/>
            <w:vAlign w:val="bottom"/>
          </w:tcPr>
          <w:p>
            <w:pPr>
              <w:ind w:left="400"/>
              <w:spacing w:after="0"/>
              <w:rPr>
                <w:sz w:val="20"/>
                <w:szCs w:val="20"/>
                <w:color w:val="auto"/>
              </w:rPr>
            </w:pPr>
            <w:r>
              <w:rPr>
                <w:rFonts w:ascii="Arial" w:cs="Arial" w:eastAsia="Arial" w:hAnsi="Arial"/>
                <w:sz w:val="18"/>
                <w:szCs w:val="18"/>
                <w:color w:val="auto"/>
              </w:rPr>
              <w:t>63</w:t>
            </w:r>
          </w:p>
        </w:tc>
        <w:tc>
          <w:tcPr>
            <w:tcW w:w="8940" w:type="dxa"/>
            <w:vAlign w:val="bottom"/>
          </w:tcPr>
          <w:p>
            <w:pPr>
              <w:ind w:left="100"/>
              <w:spacing w:after="0"/>
              <w:rPr>
                <w:sz w:val="20"/>
                <w:szCs w:val="20"/>
                <w:color w:val="auto"/>
              </w:rPr>
            </w:pPr>
            <w:r>
              <w:rPr>
                <w:rFonts w:ascii="Arial" w:cs="Arial" w:eastAsia="Arial" w:hAnsi="Arial"/>
                <w:sz w:val="18"/>
                <w:szCs w:val="18"/>
                <w:color w:val="auto"/>
              </w:rPr>
              <w:t>Chairman and Chief Executive Officer, since February 2003.</w:t>
            </w: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Simon Ayat</w:t>
            </w:r>
          </w:p>
        </w:tc>
        <w:tc>
          <w:tcPr>
            <w:tcW w:w="740" w:type="dxa"/>
            <w:vAlign w:val="bottom"/>
          </w:tcPr>
          <w:p>
            <w:pPr>
              <w:ind w:left="400"/>
              <w:spacing w:after="0"/>
              <w:rPr>
                <w:sz w:val="20"/>
                <w:szCs w:val="20"/>
                <w:color w:val="auto"/>
              </w:rPr>
            </w:pPr>
            <w:r>
              <w:rPr>
                <w:rFonts w:ascii="Arial" w:cs="Arial" w:eastAsia="Arial" w:hAnsi="Arial"/>
                <w:sz w:val="18"/>
                <w:szCs w:val="18"/>
                <w:color w:val="auto"/>
              </w:rPr>
              <w:t>55</w:t>
            </w:r>
          </w:p>
        </w:tc>
        <w:tc>
          <w:tcPr>
            <w:tcW w:w="8940" w:type="dxa"/>
            <w:vAlign w:val="bottom"/>
          </w:tcPr>
          <w:p>
            <w:pPr>
              <w:ind w:left="100"/>
              <w:spacing w:after="0"/>
              <w:rPr>
                <w:sz w:val="20"/>
                <w:szCs w:val="20"/>
                <w:color w:val="auto"/>
              </w:rPr>
            </w:pPr>
            <w:r>
              <w:rPr>
                <w:rFonts w:ascii="Arial" w:cs="Arial" w:eastAsia="Arial" w:hAnsi="Arial"/>
                <w:sz w:val="18"/>
                <w:szCs w:val="18"/>
                <w:color w:val="auto"/>
                <w:w w:val="90"/>
              </w:rPr>
              <w:t>Executive Vice President and Chief Financial Officer, since March 2007; Vice President Treasurer, February 2005 to March</w:t>
            </w:r>
          </w:p>
        </w:tc>
      </w:tr>
      <w:tr>
        <w:trPr>
          <w:trHeight w:val="222"/>
        </w:trPr>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2007; and Vice President, Controller and Business Processes, December 2002 to February 2005.</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Chakib Sbiti</w:t>
            </w:r>
          </w:p>
        </w:tc>
        <w:tc>
          <w:tcPr>
            <w:tcW w:w="740" w:type="dxa"/>
            <w:vAlign w:val="bottom"/>
          </w:tcPr>
          <w:p>
            <w:pPr>
              <w:ind w:left="400"/>
              <w:spacing w:after="0"/>
              <w:rPr>
                <w:sz w:val="20"/>
                <w:szCs w:val="20"/>
                <w:color w:val="auto"/>
              </w:rPr>
            </w:pPr>
            <w:r>
              <w:rPr>
                <w:rFonts w:ascii="Arial" w:cs="Arial" w:eastAsia="Arial" w:hAnsi="Arial"/>
                <w:sz w:val="18"/>
                <w:szCs w:val="18"/>
                <w:color w:val="auto"/>
              </w:rPr>
              <w:t>55</w:t>
            </w:r>
          </w:p>
        </w:tc>
        <w:tc>
          <w:tcPr>
            <w:tcW w:w="8940" w:type="dxa"/>
            <w:vAlign w:val="bottom"/>
          </w:tcPr>
          <w:p>
            <w:pPr>
              <w:ind w:left="100"/>
              <w:spacing w:after="0"/>
              <w:rPr>
                <w:sz w:val="20"/>
                <w:szCs w:val="20"/>
                <w:color w:val="auto"/>
              </w:rPr>
            </w:pPr>
            <w:r>
              <w:rPr>
                <w:rFonts w:ascii="Arial" w:cs="Arial" w:eastAsia="Arial" w:hAnsi="Arial"/>
                <w:sz w:val="18"/>
                <w:szCs w:val="18"/>
                <w:color w:val="auto"/>
              </w:rPr>
              <w:t>Executive Vice President, since February 2003.</w:t>
            </w: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Alexander Juden</w:t>
            </w:r>
          </w:p>
        </w:tc>
        <w:tc>
          <w:tcPr>
            <w:tcW w:w="740" w:type="dxa"/>
            <w:vAlign w:val="bottom"/>
          </w:tcPr>
          <w:p>
            <w:pPr>
              <w:ind w:left="400"/>
              <w:spacing w:after="0"/>
              <w:rPr>
                <w:sz w:val="20"/>
                <w:szCs w:val="20"/>
                <w:color w:val="auto"/>
              </w:rPr>
            </w:pPr>
            <w:r>
              <w:rPr>
                <w:rFonts w:ascii="Arial" w:cs="Arial" w:eastAsia="Arial" w:hAnsi="Arial"/>
                <w:sz w:val="18"/>
                <w:szCs w:val="18"/>
                <w:color w:val="auto"/>
              </w:rPr>
              <w:t>49</w:t>
            </w:r>
          </w:p>
        </w:tc>
        <w:tc>
          <w:tcPr>
            <w:tcW w:w="8940" w:type="dxa"/>
            <w:vAlign w:val="bottom"/>
          </w:tcPr>
          <w:p>
            <w:pPr>
              <w:ind w:left="100"/>
              <w:spacing w:after="0"/>
              <w:rPr>
                <w:sz w:val="20"/>
                <w:szCs w:val="20"/>
                <w:color w:val="auto"/>
              </w:rPr>
            </w:pPr>
            <w:r>
              <w:rPr>
                <w:rFonts w:ascii="Arial" w:cs="Arial" w:eastAsia="Arial" w:hAnsi="Arial"/>
                <w:sz w:val="18"/>
                <w:szCs w:val="18"/>
                <w:color w:val="auto"/>
                <w:w w:val="92"/>
              </w:rPr>
              <w:t>Secretary and General Counsel, since April 2009; Director of Compliance Schlumberger Limited, February 2005 to April</w:t>
            </w:r>
          </w:p>
        </w:tc>
      </w:tr>
      <w:tr>
        <w:trPr>
          <w:trHeight w:val="222"/>
        </w:trPr>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2009; and WesternGeco General Counsel, May 2004 to February 2005.</w:t>
            </w: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Ashok Belani</w:t>
            </w:r>
          </w:p>
        </w:tc>
        <w:tc>
          <w:tcPr>
            <w:tcW w:w="740" w:type="dxa"/>
            <w:vAlign w:val="bottom"/>
          </w:tcPr>
          <w:p>
            <w:pPr>
              <w:ind w:left="400"/>
              <w:spacing w:after="0"/>
              <w:rPr>
                <w:sz w:val="20"/>
                <w:szCs w:val="20"/>
                <w:color w:val="auto"/>
              </w:rPr>
            </w:pPr>
            <w:r>
              <w:rPr>
                <w:rFonts w:ascii="Arial" w:cs="Arial" w:eastAsia="Arial" w:hAnsi="Arial"/>
                <w:sz w:val="18"/>
                <w:szCs w:val="18"/>
                <w:color w:val="auto"/>
              </w:rPr>
              <w:t>51</w:t>
            </w:r>
          </w:p>
        </w:tc>
        <w:tc>
          <w:tcPr>
            <w:tcW w:w="8940" w:type="dxa"/>
            <w:vAlign w:val="bottom"/>
          </w:tcPr>
          <w:p>
            <w:pPr>
              <w:ind w:left="100"/>
              <w:spacing w:after="0"/>
              <w:rPr>
                <w:sz w:val="20"/>
                <w:szCs w:val="20"/>
                <w:color w:val="auto"/>
              </w:rPr>
            </w:pPr>
            <w:r>
              <w:rPr>
                <w:rFonts w:ascii="Arial" w:cs="Arial" w:eastAsia="Arial" w:hAnsi="Arial"/>
                <w:sz w:val="18"/>
                <w:szCs w:val="18"/>
                <w:color w:val="auto"/>
                <w:w w:val="92"/>
              </w:rPr>
              <w:t>Vice President and Chief Technology Officer, since April 2006; Senior Advisor, Technology, January 2006 to April 2006;</w:t>
            </w:r>
          </w:p>
        </w:tc>
      </w:tr>
      <w:tr>
        <w:trPr>
          <w:trHeight w:val="222"/>
        </w:trPr>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Director, President and Chief Executive Officer NPTest, May 2002 to December 2005.</w:t>
            </w: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Stephanie Cox</w:t>
            </w:r>
          </w:p>
        </w:tc>
        <w:tc>
          <w:tcPr>
            <w:tcW w:w="740" w:type="dxa"/>
            <w:vAlign w:val="bottom"/>
          </w:tcPr>
          <w:p>
            <w:pPr>
              <w:ind w:left="400"/>
              <w:spacing w:after="0"/>
              <w:rPr>
                <w:sz w:val="20"/>
                <w:szCs w:val="20"/>
                <w:color w:val="auto"/>
              </w:rPr>
            </w:pPr>
            <w:r>
              <w:rPr>
                <w:rFonts w:ascii="Arial" w:cs="Arial" w:eastAsia="Arial" w:hAnsi="Arial"/>
                <w:sz w:val="18"/>
                <w:szCs w:val="18"/>
                <w:color w:val="auto"/>
              </w:rPr>
              <w:t>41</w:t>
            </w:r>
          </w:p>
        </w:tc>
        <w:tc>
          <w:tcPr>
            <w:tcW w:w="8940" w:type="dxa"/>
            <w:vAlign w:val="bottom"/>
          </w:tcPr>
          <w:p>
            <w:pPr>
              <w:ind w:left="100"/>
              <w:spacing w:after="0"/>
              <w:rPr>
                <w:sz w:val="20"/>
                <w:szCs w:val="20"/>
                <w:color w:val="auto"/>
              </w:rPr>
            </w:pPr>
            <w:r>
              <w:rPr>
                <w:rFonts w:ascii="Arial" w:cs="Arial" w:eastAsia="Arial" w:hAnsi="Arial"/>
                <w:sz w:val="18"/>
                <w:szCs w:val="18"/>
                <w:color w:val="auto"/>
                <w:w w:val="92"/>
              </w:rPr>
              <w:t>Vice President Personnel, since May 2009; North Gulf Coast GeoMarket Manager, April 2006 to May 2009; and North &amp;</w:t>
            </w:r>
          </w:p>
        </w:tc>
      </w:tr>
      <w:tr>
        <w:trPr>
          <w:trHeight w:val="222"/>
        </w:trPr>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South America Personnel Manager, May 2004 to April 2006.</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Mark Danton</w:t>
            </w:r>
          </w:p>
        </w:tc>
        <w:tc>
          <w:tcPr>
            <w:tcW w:w="740" w:type="dxa"/>
            <w:vAlign w:val="bottom"/>
          </w:tcPr>
          <w:p>
            <w:pPr>
              <w:ind w:left="400"/>
              <w:spacing w:after="0"/>
              <w:rPr>
                <w:sz w:val="20"/>
                <w:szCs w:val="20"/>
                <w:color w:val="auto"/>
              </w:rPr>
            </w:pPr>
            <w:r>
              <w:rPr>
                <w:rFonts w:ascii="Arial" w:cs="Arial" w:eastAsia="Arial" w:hAnsi="Arial"/>
                <w:sz w:val="18"/>
                <w:szCs w:val="18"/>
                <w:color w:val="auto"/>
              </w:rPr>
              <w:t>53</w:t>
            </w:r>
          </w:p>
        </w:tc>
        <w:tc>
          <w:tcPr>
            <w:tcW w:w="8940" w:type="dxa"/>
            <w:vAlign w:val="bottom"/>
          </w:tcPr>
          <w:p>
            <w:pPr>
              <w:ind w:left="100"/>
              <w:spacing w:after="0"/>
              <w:rPr>
                <w:sz w:val="20"/>
                <w:szCs w:val="20"/>
                <w:color w:val="auto"/>
              </w:rPr>
            </w:pPr>
            <w:r>
              <w:rPr>
                <w:rFonts w:ascii="Arial" w:cs="Arial" w:eastAsia="Arial" w:hAnsi="Arial"/>
                <w:sz w:val="18"/>
                <w:szCs w:val="18"/>
                <w:color w:val="auto"/>
              </w:rPr>
              <w:t>Vice President - Director of Taxes, since January 1999.</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Howard Guild</w:t>
            </w:r>
          </w:p>
        </w:tc>
        <w:tc>
          <w:tcPr>
            <w:tcW w:w="740" w:type="dxa"/>
            <w:vAlign w:val="bottom"/>
          </w:tcPr>
          <w:p>
            <w:pPr>
              <w:ind w:left="400"/>
              <w:spacing w:after="0"/>
              <w:rPr>
                <w:sz w:val="20"/>
                <w:szCs w:val="20"/>
                <w:color w:val="auto"/>
              </w:rPr>
            </w:pPr>
            <w:r>
              <w:rPr>
                <w:rFonts w:ascii="Arial" w:cs="Arial" w:eastAsia="Arial" w:hAnsi="Arial"/>
                <w:sz w:val="18"/>
                <w:szCs w:val="18"/>
                <w:color w:val="auto"/>
              </w:rPr>
              <w:t>38</w:t>
            </w:r>
          </w:p>
        </w:tc>
        <w:tc>
          <w:tcPr>
            <w:tcW w:w="8940" w:type="dxa"/>
            <w:vAlign w:val="bottom"/>
          </w:tcPr>
          <w:p>
            <w:pPr>
              <w:ind w:left="100"/>
              <w:spacing w:after="0"/>
              <w:rPr>
                <w:sz w:val="20"/>
                <w:szCs w:val="20"/>
                <w:color w:val="auto"/>
              </w:rPr>
            </w:pPr>
            <w:r>
              <w:rPr>
                <w:rFonts w:ascii="Arial" w:cs="Arial" w:eastAsia="Arial" w:hAnsi="Arial"/>
                <w:sz w:val="18"/>
                <w:szCs w:val="18"/>
                <w:color w:val="auto"/>
              </w:rPr>
              <w:t>Chief Accounting Officer, since July 2005; and Director of Financial Reporting, October 2004 to July 2005.</w:t>
            </w: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Paal Kibsgaard</w:t>
            </w:r>
          </w:p>
        </w:tc>
        <w:tc>
          <w:tcPr>
            <w:tcW w:w="740" w:type="dxa"/>
            <w:vAlign w:val="bottom"/>
          </w:tcPr>
          <w:p>
            <w:pPr>
              <w:ind w:left="400"/>
              <w:spacing w:after="0"/>
              <w:rPr>
                <w:sz w:val="20"/>
                <w:szCs w:val="20"/>
                <w:color w:val="auto"/>
              </w:rPr>
            </w:pPr>
            <w:r>
              <w:rPr>
                <w:rFonts w:ascii="Arial" w:cs="Arial" w:eastAsia="Arial" w:hAnsi="Arial"/>
                <w:sz w:val="18"/>
                <w:szCs w:val="18"/>
                <w:color w:val="auto"/>
              </w:rPr>
              <w:t>42</w:t>
            </w:r>
          </w:p>
        </w:tc>
        <w:tc>
          <w:tcPr>
            <w:tcW w:w="8940" w:type="dxa"/>
            <w:vAlign w:val="bottom"/>
          </w:tcPr>
          <w:p>
            <w:pPr>
              <w:ind w:left="100"/>
              <w:spacing w:after="0"/>
              <w:rPr>
                <w:sz w:val="20"/>
                <w:szCs w:val="20"/>
                <w:color w:val="auto"/>
              </w:rPr>
            </w:pPr>
            <w:r>
              <w:rPr>
                <w:rFonts w:ascii="Arial" w:cs="Arial" w:eastAsia="Arial" w:hAnsi="Arial"/>
                <w:sz w:val="18"/>
                <w:szCs w:val="18"/>
                <w:color w:val="auto"/>
                <w:w w:val="91"/>
              </w:rPr>
              <w:t>President Reservoir Characterization Group since May 2009; Vice President Engineering, Manufacturing and Sustaining,</w:t>
            </w:r>
          </w:p>
        </w:tc>
      </w:tr>
      <w:tr>
        <w:trPr>
          <w:trHeight w:val="216"/>
        </w:trPr>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w w:val="96"/>
              </w:rPr>
              <w:t>November 2007 to May 2009; Vice President Personnel, April 2006 to November 2007; and President, Drilling and</w:t>
            </w:r>
          </w:p>
        </w:tc>
      </w:tr>
      <w:tr>
        <w:trPr>
          <w:trHeight w:val="222"/>
        </w:trPr>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Measurements, January 2003 to April 2006.</w:t>
            </w: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Rodney Nelson</w:t>
            </w:r>
          </w:p>
        </w:tc>
        <w:tc>
          <w:tcPr>
            <w:tcW w:w="740" w:type="dxa"/>
            <w:vAlign w:val="bottom"/>
          </w:tcPr>
          <w:p>
            <w:pPr>
              <w:ind w:left="400"/>
              <w:spacing w:after="0"/>
              <w:rPr>
                <w:sz w:val="20"/>
                <w:szCs w:val="20"/>
                <w:color w:val="auto"/>
              </w:rPr>
            </w:pPr>
            <w:r>
              <w:rPr>
                <w:rFonts w:ascii="Arial" w:cs="Arial" w:eastAsia="Arial" w:hAnsi="Arial"/>
                <w:sz w:val="18"/>
                <w:szCs w:val="18"/>
                <w:color w:val="auto"/>
              </w:rPr>
              <w:t>51</w:t>
            </w:r>
          </w:p>
        </w:tc>
        <w:tc>
          <w:tcPr>
            <w:tcW w:w="8940" w:type="dxa"/>
            <w:vAlign w:val="bottom"/>
          </w:tcPr>
          <w:p>
            <w:pPr>
              <w:ind w:left="100"/>
              <w:spacing w:after="0"/>
              <w:rPr>
                <w:sz w:val="20"/>
                <w:szCs w:val="20"/>
                <w:color w:val="auto"/>
              </w:rPr>
            </w:pPr>
            <w:r>
              <w:rPr>
                <w:rFonts w:ascii="Arial" w:cs="Arial" w:eastAsia="Arial" w:hAnsi="Arial"/>
                <w:sz w:val="18"/>
                <w:szCs w:val="18"/>
                <w:color w:val="auto"/>
                <w:w w:val="92"/>
              </w:rPr>
              <w:t>Vice President Communications, since October 2007; Vice President Innovation and Collaboration, July 2006 to October</w:t>
            </w:r>
          </w:p>
        </w:tc>
      </w:tr>
      <w:tr>
        <w:trPr>
          <w:trHeight w:val="216"/>
        </w:trPr>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w w:val="90"/>
              </w:rPr>
              <w:t>2007; Vice President Strategic Marketing, July 2004 to July 2006; and Vice President Marketing Oilfield Services, February</w:t>
            </w:r>
          </w:p>
        </w:tc>
      </w:tr>
      <w:tr>
        <w:trPr>
          <w:trHeight w:val="222"/>
        </w:trPr>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2003 to July 2004.</w:t>
            </w: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H. Sola Oyinlola</w:t>
            </w:r>
          </w:p>
        </w:tc>
        <w:tc>
          <w:tcPr>
            <w:tcW w:w="740" w:type="dxa"/>
            <w:vAlign w:val="bottom"/>
          </w:tcPr>
          <w:p>
            <w:pPr>
              <w:ind w:left="400"/>
              <w:spacing w:after="0"/>
              <w:rPr>
                <w:sz w:val="20"/>
                <w:szCs w:val="20"/>
                <w:color w:val="auto"/>
              </w:rPr>
            </w:pPr>
            <w:r>
              <w:rPr>
                <w:rFonts w:ascii="Arial" w:cs="Arial" w:eastAsia="Arial" w:hAnsi="Arial"/>
                <w:sz w:val="18"/>
                <w:szCs w:val="18"/>
                <w:color w:val="auto"/>
              </w:rPr>
              <w:t>54</w:t>
            </w:r>
          </w:p>
        </w:tc>
        <w:tc>
          <w:tcPr>
            <w:tcW w:w="8940" w:type="dxa"/>
            <w:vAlign w:val="bottom"/>
          </w:tcPr>
          <w:p>
            <w:pPr>
              <w:ind w:left="100"/>
              <w:spacing w:after="0"/>
              <w:rPr>
                <w:sz w:val="20"/>
                <w:szCs w:val="20"/>
                <w:color w:val="auto"/>
              </w:rPr>
            </w:pPr>
            <w:r>
              <w:rPr>
                <w:rFonts w:ascii="Arial" w:cs="Arial" w:eastAsia="Arial" w:hAnsi="Arial"/>
                <w:sz w:val="18"/>
                <w:szCs w:val="18"/>
                <w:color w:val="auto"/>
                <w:w w:val="90"/>
              </w:rPr>
              <w:t>Vice President Treasurer, since March 2007; Deputy Treasurer, July 2006 to March 2007; and Oilfield Services GeoMarket</w:t>
            </w:r>
          </w:p>
        </w:tc>
      </w:tr>
      <w:tr>
        <w:trPr>
          <w:trHeight w:val="222"/>
        </w:trPr>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General Manager, Nigeria, April 2001 to July 2006.</w:t>
            </w: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Satish Pai</w:t>
            </w:r>
          </w:p>
        </w:tc>
        <w:tc>
          <w:tcPr>
            <w:tcW w:w="740" w:type="dxa"/>
            <w:vAlign w:val="bottom"/>
          </w:tcPr>
          <w:p>
            <w:pPr>
              <w:ind w:left="460"/>
              <w:spacing w:after="0"/>
              <w:rPr>
                <w:sz w:val="20"/>
                <w:szCs w:val="20"/>
                <w:color w:val="auto"/>
              </w:rPr>
            </w:pPr>
            <w:r>
              <w:rPr>
                <w:rFonts w:ascii="Arial" w:cs="Arial" w:eastAsia="Arial" w:hAnsi="Arial"/>
                <w:sz w:val="18"/>
                <w:szCs w:val="18"/>
                <w:color w:val="auto"/>
              </w:rPr>
              <w:t>48</w:t>
            </w:r>
          </w:p>
        </w:tc>
        <w:tc>
          <w:tcPr>
            <w:tcW w:w="8940" w:type="dxa"/>
            <w:vAlign w:val="bottom"/>
          </w:tcPr>
          <w:p>
            <w:pPr>
              <w:ind w:left="100"/>
              <w:spacing w:after="0"/>
              <w:rPr>
                <w:sz w:val="20"/>
                <w:szCs w:val="20"/>
                <w:color w:val="auto"/>
              </w:rPr>
            </w:pPr>
            <w:r>
              <w:rPr>
                <w:rFonts w:ascii="Arial" w:cs="Arial" w:eastAsia="Arial" w:hAnsi="Arial"/>
                <w:sz w:val="18"/>
                <w:szCs w:val="18"/>
                <w:color w:val="auto"/>
                <w:w w:val="93"/>
              </w:rPr>
              <w:t>Vice President, Operations, Oilfield Services, since May 2008, President Europe Africa &amp; Caspian, March 2006 to May</w:t>
            </w:r>
          </w:p>
        </w:tc>
      </w:tr>
      <w:tr>
        <w:trPr>
          <w:trHeight w:val="222"/>
        </w:trPr>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2008; and Vice President Oilfield Technologies, March 2002 to March 2006.</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Malcolm Theobald</w:t>
            </w:r>
          </w:p>
        </w:tc>
        <w:tc>
          <w:tcPr>
            <w:tcW w:w="740" w:type="dxa"/>
            <w:vAlign w:val="bottom"/>
          </w:tcPr>
          <w:p>
            <w:pPr>
              <w:ind w:left="460"/>
              <w:spacing w:after="0"/>
              <w:rPr>
                <w:sz w:val="20"/>
                <w:szCs w:val="20"/>
                <w:color w:val="auto"/>
              </w:rPr>
            </w:pPr>
            <w:r>
              <w:rPr>
                <w:rFonts w:ascii="Arial" w:cs="Arial" w:eastAsia="Arial" w:hAnsi="Arial"/>
                <w:sz w:val="18"/>
                <w:szCs w:val="18"/>
                <w:color w:val="auto"/>
              </w:rPr>
              <w:t>48</w:t>
            </w:r>
          </w:p>
        </w:tc>
        <w:tc>
          <w:tcPr>
            <w:tcW w:w="8940" w:type="dxa"/>
            <w:vAlign w:val="bottom"/>
          </w:tcPr>
          <w:p>
            <w:pPr>
              <w:ind w:left="100"/>
              <w:spacing w:after="0"/>
              <w:rPr>
                <w:sz w:val="20"/>
                <w:szCs w:val="20"/>
                <w:color w:val="auto"/>
              </w:rPr>
            </w:pPr>
            <w:r>
              <w:rPr>
                <w:rFonts w:ascii="Arial" w:cs="Arial" w:eastAsia="Arial" w:hAnsi="Arial"/>
                <w:sz w:val="18"/>
                <w:szCs w:val="18"/>
                <w:color w:val="auto"/>
                <w:w w:val="98"/>
              </w:rPr>
              <w:t>Vice President Investor Relations, since June 2007; and Global Account Director, September 2001 to June 2007.</w:t>
            </w: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Charles Woodburn</w:t>
            </w:r>
          </w:p>
        </w:tc>
        <w:tc>
          <w:tcPr>
            <w:tcW w:w="740" w:type="dxa"/>
            <w:vAlign w:val="bottom"/>
          </w:tcPr>
          <w:p>
            <w:pPr>
              <w:ind w:left="460"/>
              <w:spacing w:after="0"/>
              <w:rPr>
                <w:sz w:val="20"/>
                <w:szCs w:val="20"/>
                <w:color w:val="auto"/>
              </w:rPr>
            </w:pPr>
            <w:r>
              <w:rPr>
                <w:rFonts w:ascii="Arial" w:cs="Arial" w:eastAsia="Arial" w:hAnsi="Arial"/>
                <w:sz w:val="18"/>
                <w:szCs w:val="18"/>
                <w:color w:val="auto"/>
              </w:rPr>
              <w:t>38</w:t>
            </w:r>
          </w:p>
        </w:tc>
        <w:tc>
          <w:tcPr>
            <w:tcW w:w="8940" w:type="dxa"/>
            <w:vAlign w:val="bottom"/>
          </w:tcPr>
          <w:p>
            <w:pPr>
              <w:ind w:left="100"/>
              <w:spacing w:after="0"/>
              <w:rPr>
                <w:sz w:val="20"/>
                <w:szCs w:val="20"/>
                <w:color w:val="auto"/>
              </w:rPr>
            </w:pPr>
            <w:r>
              <w:rPr>
                <w:rFonts w:ascii="Arial" w:cs="Arial" w:eastAsia="Arial" w:hAnsi="Arial"/>
                <w:sz w:val="18"/>
                <w:szCs w:val="18"/>
                <w:color w:val="auto"/>
                <w:w w:val="89"/>
              </w:rPr>
              <w:t>Vice President Engineering Manufacturing and Sustaining since May 2009; Wireline President, April 2006 to May 2009; and</w:t>
            </w:r>
          </w:p>
        </w:tc>
      </w:tr>
      <w:tr>
        <w:trPr>
          <w:trHeight w:val="222"/>
        </w:trPr>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Product Development Manager, June 2004 to April 2006.</w:t>
            </w:r>
          </w:p>
        </w:tc>
      </w:tr>
      <w:tr>
        <w:trPr>
          <w:trHeight w:val="312"/>
        </w:trPr>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940" w:type="dxa"/>
            <w:vAlign w:val="bottom"/>
          </w:tcPr>
          <w:p>
            <w:pPr>
              <w:ind w:left="316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20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PART II</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Market for Schlumberger’s Common Stock, Related Stockholder Matters and Issuer Purchases of Equity Securities.</w:t>
      </w:r>
    </w:p>
    <w:p>
      <w:pPr>
        <w:spacing w:after="0" w:line="74"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As of January 31, 2010, there were 1,196,589,089 shares of common stock of Schlumberger outstanding, exclusive of 137,623,075 shares held in treasury, and approximately 21,151 stockholders of record. The principal United States market for Schlumberger’s common stock is the NYSE, where it is traded under the symbol “SLB”.</w:t>
      </w:r>
    </w:p>
    <w:p>
      <w:pPr>
        <w:ind w:right="1940" w:firstLine="228"/>
        <w:spacing w:after="0" w:line="364" w:lineRule="auto"/>
        <w:rPr>
          <w:sz w:val="20"/>
          <w:szCs w:val="20"/>
          <w:color w:val="auto"/>
        </w:rPr>
      </w:pPr>
      <w:r>
        <w:rPr>
          <w:rFonts w:ascii="Arial" w:cs="Arial" w:eastAsia="Arial" w:hAnsi="Arial"/>
          <w:sz w:val="18"/>
          <w:szCs w:val="18"/>
          <w:color w:val="auto"/>
        </w:rPr>
        <w:t xml:space="preserve">Schlumberger’s common stock is also traded on the Euronext Paris, Euronext Amsterdam, London and SIX Swiss stock exchanges. </w:t>
      </w:r>
      <w:r>
        <w:rPr>
          <w:rFonts w:ascii="Arial" w:cs="Arial" w:eastAsia="Arial" w:hAnsi="Arial"/>
          <w:sz w:val="18"/>
          <w:szCs w:val="18"/>
          <w:b w:val="1"/>
          <w:bCs w:val="1"/>
          <w:i w:val="1"/>
          <w:iCs w:val="1"/>
          <w:color w:val="auto"/>
        </w:rPr>
        <w:t>Common Stock, Market Prices and Dividends Declared per Share</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Quarterly high and low prices for Schlumberger’s common stock as reported by the NYSE (composite transactions), together with dividends declared per share in each quarter of 2009 and 2008, were: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rPr>
              <w:t>Price Range</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75"/>
        </w:trPr>
        <w:tc>
          <w:tcPr>
            <w:tcW w:w="4920" w:type="dxa"/>
            <w:vAlign w:val="bottom"/>
          </w:tcPr>
          <w:p>
            <w:pPr>
              <w:spacing w:after="0"/>
              <w:rPr>
                <w:sz w:val="6"/>
                <w:szCs w:val="6"/>
                <w:color w:val="auto"/>
              </w:rPr>
            </w:pPr>
          </w:p>
        </w:tc>
        <w:tc>
          <w:tcPr>
            <w:tcW w:w="4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High</w:t>
            </w:r>
          </w:p>
        </w:tc>
        <w:tc>
          <w:tcPr>
            <w:tcW w:w="820" w:type="dxa"/>
            <w:vAlign w:val="bottom"/>
            <w:gridSpan w:val="2"/>
          </w:tcPr>
          <w:p>
            <w:pPr>
              <w:ind w:left="340"/>
              <w:spacing w:after="0"/>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2009</w:t>
            </w:r>
          </w:p>
        </w:tc>
        <w:tc>
          <w:tcPr>
            <w:tcW w:w="4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First</w:t>
            </w:r>
          </w:p>
        </w:tc>
        <w:tc>
          <w:tcPr>
            <w:tcW w:w="4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w w:val="96"/>
              </w:rPr>
              <w:t>49.25</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$35.05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0.210</w:t>
            </w:r>
          </w:p>
        </w:tc>
        <w:tc>
          <w:tcPr>
            <w:tcW w:w="0" w:type="dxa"/>
            <w:vAlign w:val="bottom"/>
          </w:tcPr>
          <w:p>
            <w:pPr>
              <w:spacing w:after="0"/>
              <w:rPr>
                <w:sz w:val="1"/>
                <w:szCs w:val="1"/>
                <w:color w:val="auto"/>
              </w:rPr>
            </w:pPr>
          </w:p>
        </w:tc>
      </w:tr>
      <w:tr>
        <w:trPr>
          <w:trHeight w:val="149"/>
        </w:trPr>
        <w:tc>
          <w:tcPr>
            <w:tcW w:w="4920" w:type="dxa"/>
            <w:vAlign w:val="bottom"/>
          </w:tcPr>
          <w:p>
            <w:pPr>
              <w:ind w:left="340"/>
              <w:spacing w:after="0" w:line="149" w:lineRule="exact"/>
              <w:rPr>
                <w:sz w:val="20"/>
                <w:szCs w:val="20"/>
                <w:color w:val="auto"/>
              </w:rPr>
            </w:pPr>
            <w:r>
              <w:rPr>
                <w:rFonts w:ascii="Arial" w:cs="Arial" w:eastAsia="Arial" w:hAnsi="Arial"/>
                <w:sz w:val="14"/>
                <w:szCs w:val="14"/>
                <w:color w:val="auto"/>
              </w:rPr>
              <w:t>Second</w:t>
            </w: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w w:val="96"/>
              </w:rPr>
              <w:t>63.78</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39.11</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0.210</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Third</w:t>
            </w:r>
          </w:p>
        </w:tc>
        <w:tc>
          <w:tcPr>
            <w:tcW w:w="4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w w:val="96"/>
              </w:rPr>
              <w:t>63.00</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48.13</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0.210</w:t>
            </w:r>
          </w:p>
        </w:tc>
        <w:tc>
          <w:tcPr>
            <w:tcW w:w="0" w:type="dxa"/>
            <w:vAlign w:val="bottom"/>
          </w:tcPr>
          <w:p>
            <w:pPr>
              <w:spacing w:after="0"/>
              <w:rPr>
                <w:sz w:val="1"/>
                <w:szCs w:val="1"/>
                <w:color w:val="auto"/>
              </w:rPr>
            </w:pPr>
          </w:p>
        </w:tc>
      </w:tr>
      <w:tr>
        <w:trPr>
          <w:trHeight w:val="149"/>
        </w:trPr>
        <w:tc>
          <w:tcPr>
            <w:tcW w:w="4920" w:type="dxa"/>
            <w:vAlign w:val="bottom"/>
          </w:tcPr>
          <w:p>
            <w:pPr>
              <w:ind w:left="340"/>
              <w:spacing w:after="0" w:line="149" w:lineRule="exact"/>
              <w:rPr>
                <w:sz w:val="20"/>
                <w:szCs w:val="20"/>
                <w:color w:val="auto"/>
              </w:rPr>
            </w:pPr>
            <w:r>
              <w:rPr>
                <w:rFonts w:ascii="Arial" w:cs="Arial" w:eastAsia="Arial" w:hAnsi="Arial"/>
                <w:sz w:val="14"/>
                <w:szCs w:val="14"/>
                <w:color w:val="auto"/>
              </w:rPr>
              <w:t>Fourth</w:t>
            </w: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w w:val="96"/>
              </w:rPr>
              <w:t>71.10</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56.00</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0.210</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2008</w:t>
            </w:r>
          </w:p>
        </w:tc>
        <w:tc>
          <w:tcPr>
            <w:tcW w:w="4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First</w:t>
            </w:r>
          </w:p>
        </w:tc>
        <w:tc>
          <w:tcPr>
            <w:tcW w:w="4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79"/>
              </w:rPr>
              <w:t>102.71</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$72.30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0.210</w:t>
            </w:r>
          </w:p>
        </w:tc>
        <w:tc>
          <w:tcPr>
            <w:tcW w:w="0" w:type="dxa"/>
            <w:vAlign w:val="bottom"/>
          </w:tcPr>
          <w:p>
            <w:pPr>
              <w:spacing w:after="0"/>
              <w:rPr>
                <w:sz w:val="1"/>
                <w:szCs w:val="1"/>
                <w:color w:val="auto"/>
              </w:rPr>
            </w:pPr>
          </w:p>
        </w:tc>
      </w:tr>
      <w:tr>
        <w:trPr>
          <w:trHeight w:val="149"/>
        </w:trPr>
        <w:tc>
          <w:tcPr>
            <w:tcW w:w="4920" w:type="dxa"/>
            <w:vAlign w:val="bottom"/>
          </w:tcPr>
          <w:p>
            <w:pPr>
              <w:ind w:left="340"/>
              <w:spacing w:after="0" w:line="149" w:lineRule="exact"/>
              <w:rPr>
                <w:sz w:val="20"/>
                <w:szCs w:val="20"/>
                <w:color w:val="auto"/>
              </w:rPr>
            </w:pPr>
            <w:r>
              <w:rPr>
                <w:rFonts w:ascii="Arial" w:cs="Arial" w:eastAsia="Arial" w:hAnsi="Arial"/>
                <w:sz w:val="14"/>
                <w:szCs w:val="14"/>
                <w:color w:val="auto"/>
              </w:rPr>
              <w:t>Second</w:t>
            </w: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79"/>
              </w:rPr>
              <w:t>110.11</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88.02</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0.210</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Third</w:t>
            </w:r>
          </w:p>
        </w:tc>
        <w:tc>
          <w:tcPr>
            <w:tcW w:w="4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79"/>
              </w:rPr>
              <w:t>111.95</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73.53</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0.210</w:t>
            </w:r>
          </w:p>
        </w:tc>
        <w:tc>
          <w:tcPr>
            <w:tcW w:w="0" w:type="dxa"/>
            <w:vAlign w:val="bottom"/>
          </w:tcPr>
          <w:p>
            <w:pPr>
              <w:spacing w:after="0"/>
              <w:rPr>
                <w:sz w:val="1"/>
                <w:szCs w:val="1"/>
                <w:color w:val="auto"/>
              </w:rPr>
            </w:pPr>
          </w:p>
        </w:tc>
      </w:tr>
      <w:tr>
        <w:trPr>
          <w:trHeight w:val="172"/>
        </w:trPr>
        <w:tc>
          <w:tcPr>
            <w:tcW w:w="4920" w:type="dxa"/>
            <w:vAlign w:val="bottom"/>
          </w:tcPr>
          <w:p>
            <w:pPr>
              <w:ind w:left="340"/>
              <w:spacing w:after="0"/>
              <w:rPr>
                <w:sz w:val="20"/>
                <w:szCs w:val="20"/>
                <w:color w:val="auto"/>
              </w:rPr>
            </w:pPr>
            <w:r>
              <w:rPr>
                <w:rFonts w:ascii="Arial" w:cs="Arial" w:eastAsia="Arial" w:hAnsi="Arial"/>
                <w:sz w:val="14"/>
                <w:szCs w:val="14"/>
                <w:color w:val="auto"/>
              </w:rPr>
              <w:t>Fourth</w:t>
            </w:r>
          </w:p>
        </w:tc>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color w:val="auto"/>
                <w:w w:val="96"/>
              </w:rPr>
              <w:t>78.00</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37.07</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0.210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There are no legal restrictions on the payment of dividends or ownership or voting of such shares, except as to shares held as treasury stock. Under current legislation, stockholders are not subject to any Netherlands Antilles withholding or other Netherlands Antilles taxes attributable to the ownership of such shares.</w:t>
      </w:r>
    </w:p>
    <w:p>
      <w:pPr>
        <w:ind w:right="20" w:firstLine="228"/>
        <w:spacing w:after="0" w:line="287" w:lineRule="auto"/>
        <w:rPr>
          <w:sz w:val="20"/>
          <w:szCs w:val="20"/>
          <w:color w:val="auto"/>
        </w:rPr>
      </w:pPr>
      <w:r>
        <w:rPr>
          <w:rFonts w:ascii="Arial" w:cs="Arial" w:eastAsia="Arial" w:hAnsi="Arial"/>
          <w:sz w:val="16"/>
          <w:szCs w:val="16"/>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Standard &amp; Poor’s 500 Index (S&amp;P 500 Index) and the cumulative total return on both the Philadelphia Oil Service Index (OSX) and the Value Line Oilfield Services Industry Index over the five-year period ending on December 31, 2009. Schlumberger is using the Philadelphia Oil Service Index (OSX) to replace the Value Line Oilfield Services Industry Index used in prior years. Schlumberger determined that the new index includes a greater concentration of our most direct competitors.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206" w:lineRule="exact"/>
        <w:rPr>
          <w:sz w:val="20"/>
          <w:szCs w:val="20"/>
          <w:color w:val="auto"/>
        </w:rPr>
      </w:pPr>
    </w:p>
    <w:p>
      <w:pPr>
        <w:jc w:val="center"/>
        <w:ind w:left="480" w:right="2660"/>
        <w:spacing w:after="0" w:line="256" w:lineRule="auto"/>
        <w:rPr>
          <w:sz w:val="20"/>
          <w:szCs w:val="20"/>
          <w:color w:val="auto"/>
        </w:rPr>
      </w:pPr>
      <w:r>
        <w:rPr>
          <w:rFonts w:ascii="Arial" w:cs="Arial" w:eastAsia="Arial" w:hAnsi="Arial"/>
          <w:sz w:val="18"/>
          <w:szCs w:val="18"/>
          <w:color w:val="auto"/>
        </w:rPr>
        <w:t>COMPARISON OF FIVE-YEAR CUMULATIVE TOTAL RETURN AMONG SCHLUMBERGER COMMON STOCK, THE S&amp;P 500 INDEX, THE PHILADELPHIA OIL SERVICE INDEX (OSX) AND THE VALUE LINE OILFIELD SERVICES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87630</wp:posOffset>
            </wp:positionV>
            <wp:extent cx="4716780" cy="3009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16780"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Assumes $100 invested on December 31, 2004 in Schlumberger common stock, in the S&amp;P 500 Index, in the Philadelphia Oil Service Index (OSX), and in the Value Line Oilfield Services Industry Index. Reflects reinvestment of dividends on the last day of the month of payment.</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April 17, 2008, the Schlumberger Board of Directors approved an $8 billion share repurchase program for Schlumberger common stock, to be acquired in the open market before December 31, 2011.</w:t>
      </w:r>
    </w:p>
    <w:p>
      <w:pPr>
        <w:ind w:left="240"/>
        <w:spacing w:after="0"/>
        <w:rPr>
          <w:sz w:val="20"/>
          <w:szCs w:val="20"/>
          <w:color w:val="auto"/>
        </w:rPr>
      </w:pPr>
      <w:r>
        <w:rPr>
          <w:rFonts w:ascii="Arial" w:cs="Arial" w:eastAsia="Arial" w:hAnsi="Arial"/>
          <w:sz w:val="18"/>
          <w:szCs w:val="18"/>
          <w:color w:val="auto"/>
        </w:rPr>
        <w:t>Schlumberger’s common stock repurchase program activity for the three months ended December 31, 2009 was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number of</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purchased</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as part of</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publicly</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of shares</w:t>
            </w:r>
          </w:p>
        </w:tc>
        <w:tc>
          <w:tcPr>
            <w:tcW w:w="20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paid per</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2"/>
              </w:rPr>
              <w:t>announced</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under the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6"/>
                <w:szCs w:val="16"/>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program</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October 1 through October 31, 2009</w:t>
            </w: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$7,065,715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November 1 through November 30, 2009</w:t>
            </w: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3,925.0</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64.84</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3,925.0</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$6,811,212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1 through December 31, 2009</w:t>
            </w: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3,900.0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62.97</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3,900.0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$6,565,618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7,825.0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63.91</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7,825.0</w:t>
            </w: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5 as the number of shares of Schlumberger common stock received from optionholders is not material.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6</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74"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The following selected consolidated financial data should be read in conjunction with both “Item 7. Management’s Discussion and Analysis of Financial Condition and Results of Operations” and “Item 8. Financial Statements and Supplementary Data,” of this Form 10-K:</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and employee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520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OPERATIONS</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20,518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24,282</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20,306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16,762</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12,647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2,122</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2,838</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2,963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96"/>
              </w:rPr>
              <w:t>2,476</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and other</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22,702</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27,163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23,277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19,230</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14,309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Pretax Segment income:</w:t>
            </w: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4,326</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4,644</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836</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1,060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and other</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(344)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(268)</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(312)</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Segment income</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4,308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5,110</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2,88 9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(39)%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1"/>
                <w:szCs w:val="11"/>
                <w:color w:val="auto"/>
              </w:rPr>
              <w:t>Interest income</w:t>
            </w:r>
            <w:r>
              <w:rPr>
                <w:rFonts w:ascii="Arial" w:cs="Arial" w:eastAsia="Arial" w:hAnsi="Arial"/>
                <w:sz w:val="17"/>
                <w:szCs w:val="17"/>
                <w:color w:val="auto"/>
                <w:vertAlign w:val="superscript"/>
              </w:rPr>
              <w:t>1</w:t>
            </w: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Interest expense</w:t>
            </w:r>
            <w:r>
              <w:rPr>
                <w:rFonts w:ascii="Arial" w:cs="Arial" w:eastAsia="Arial" w:hAnsi="Arial"/>
                <w:sz w:val="17"/>
                <w:szCs w:val="17"/>
                <w:color w:val="auto"/>
                <w:vertAlign w:val="superscript"/>
              </w:rPr>
              <w:t>1</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1"/>
                <w:szCs w:val="11"/>
                <w:color w:val="auto"/>
              </w:rPr>
              <w:t>Charges (credits), net</w:t>
            </w:r>
            <w:r>
              <w:rPr>
                <w:rFonts w:ascii="Arial" w:cs="Arial" w:eastAsia="Arial" w:hAnsi="Arial"/>
                <w:sz w:val="17"/>
                <w:szCs w:val="17"/>
                <w:color w:val="auto"/>
                <w:vertAlign w:val="superscript"/>
              </w:rPr>
              <w:t>2</w:t>
            </w: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238</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Taxes on income</w:t>
            </w:r>
            <w:r>
              <w:rPr>
                <w:rFonts w:ascii="Arial" w:cs="Arial" w:eastAsia="Arial" w:hAnsi="Arial"/>
                <w:sz w:val="17"/>
                <w:szCs w:val="17"/>
                <w:color w:val="auto"/>
                <w:vertAlign w:val="superscript"/>
              </w:rPr>
              <w:t>2</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770</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1,190</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Income from Continuing Operations</w:t>
            </w:r>
            <w:r>
              <w:rPr>
                <w:rFonts w:ascii="Arial" w:cs="Arial" w:eastAsia="Arial" w:hAnsi="Arial"/>
                <w:sz w:val="17"/>
                <w:szCs w:val="17"/>
                <w:color w:val="auto"/>
                <w:vertAlign w:val="superscript"/>
              </w:rPr>
              <w:t>3</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3,164</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5,422</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3,759</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Income (Loss) from Discontinued Operations</w:t>
            </w:r>
          </w:p>
        </w:tc>
        <w:tc>
          <w:tcPr>
            <w:tcW w:w="2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38</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260" w:type="dxa"/>
            <w:vAlign w:val="bottom"/>
            <w:tcBorders>
              <w:bottom w:val="single" w:sz="8" w:color="808080"/>
            </w:tcBorders>
          </w:tcPr>
          <w:p>
            <w:pPr>
              <w:spacing w:after="0"/>
              <w:rPr>
                <w:sz w:val="7"/>
                <w:szCs w:val="7"/>
                <w:color w:val="auto"/>
              </w:rPr>
            </w:pPr>
          </w:p>
        </w:tc>
        <w:tc>
          <w:tcPr>
            <w:tcW w:w="28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3,142</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3,759</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Noncontrolling interests</w:t>
            </w:r>
            <w:r>
              <w:rPr>
                <w:rFonts w:ascii="Arial" w:cs="Arial" w:eastAsia="Arial" w:hAnsi="Arial"/>
                <w:sz w:val="22"/>
                <w:szCs w:val="22"/>
                <w:color w:val="auto"/>
                <w:vertAlign w:val="superscript"/>
              </w:rPr>
              <w:t>2</w:t>
            </w:r>
          </w:p>
        </w:tc>
        <w:tc>
          <w:tcPr>
            <w:tcW w:w="2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22"/>
                <w:szCs w:val="2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Borders>
              <w:top w:val="single" w:sz="8" w:color="808080"/>
            </w:tcBorders>
          </w:tcPr>
          <w:p>
            <w:pPr>
              <w:spacing w:after="0"/>
              <w:rPr>
                <w:sz w:val="8"/>
                <w:szCs w:val="8"/>
                <w:color w:val="auto"/>
              </w:rPr>
            </w:pPr>
          </w:p>
        </w:tc>
        <w:tc>
          <w:tcPr>
            <w:tcW w:w="2860" w:type="dxa"/>
            <w:vAlign w:val="bottom"/>
            <w:tcBorders>
              <w:top w:val="single" w:sz="8" w:color="808080"/>
            </w:tcBorders>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Schlumberger</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3,134</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3,710</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 of Schlumberger</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2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2.63</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4.51</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4.36</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(0.02)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Net Income per share</w:t>
            </w:r>
            <w:r>
              <w:rPr>
                <w:rFonts w:ascii="Arial" w:cs="Arial" w:eastAsia="Arial" w:hAnsi="Arial"/>
                <w:sz w:val="17"/>
                <w:szCs w:val="17"/>
                <w:color w:val="auto"/>
                <w:vertAlign w:val="superscript"/>
              </w:rPr>
              <w:t>3</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2.62</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 of Schlumberger</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2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2.61</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4.42</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(0.02)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 per share</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2.59</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0.84</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0.50</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860" w:type="dxa"/>
            <w:vAlign w:val="bottom"/>
            <w:vMerge w:val="restart"/>
          </w:tcPr>
          <w:p>
            <w:pPr>
              <w:jc w:val="right"/>
              <w:ind w:right="1292"/>
              <w:spacing w:after="0"/>
              <w:rPr>
                <w:sz w:val="20"/>
                <w:szCs w:val="20"/>
                <w:color w:val="auto"/>
              </w:rPr>
            </w:pPr>
            <w:r>
              <w:rPr>
                <w:rFonts w:ascii="Arial" w:cs="Arial" w:eastAsia="Arial" w:hAnsi="Arial"/>
                <w:sz w:val="14"/>
                <w:szCs w:val="14"/>
                <w:color w:val="auto"/>
              </w:rPr>
              <w:t>15</w:t>
            </w: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-4323080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-4323080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-4323080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-4323080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-4323080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-4323080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-4323080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-4323080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-4323080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-4323080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-4323080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-4323080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-4323080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-4323080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-4323080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-1922145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-1922145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-1922145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-1922145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-1922145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-1922145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-1922145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-1922145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-1922145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-1922145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-1922145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-1922145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-1922145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-1922145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-1922145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-1235710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-1235710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-1235710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-1235710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-1235710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-1235710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-1235710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-1235710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-1235710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-1235710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-1235710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-1235710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-1235710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-1235710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-1235710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-549910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-549910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-549910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-549910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-549910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-549910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-549910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-549910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-549910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-549910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-549910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-549910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-549910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-549910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-549910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-292735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-292735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-292735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-292735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-292735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-292735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-292735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-292735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-292735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-292735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-292735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-292735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-292735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-292735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-292735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6</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FINANCIAL DATA</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Capital expenditures</w:t>
            </w:r>
          </w:p>
        </w:tc>
        <w:tc>
          <w:tcPr>
            <w:tcW w:w="2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2,395</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3,723</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2,931</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2,457</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1,593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60" w:type="dxa"/>
            <w:vAlign w:val="bottom"/>
            <w:tcBorders>
              <w:bottom w:val="single" w:sz="8" w:color="808080"/>
            </w:tcBorders>
          </w:tcPr>
          <w:p>
            <w:pPr>
              <w:spacing w:after="0"/>
              <w:rPr>
                <w:sz w:val="7"/>
                <w:szCs w:val="7"/>
                <w:color w:val="auto"/>
              </w:rPr>
            </w:pPr>
          </w:p>
        </w:tc>
        <w:tc>
          <w:tcPr>
            <w:tcW w:w="27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expense</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2,132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1,904</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Avg. number of shares outstanding:</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ind w:left="420"/>
              <w:spacing w:after="0"/>
              <w:rPr>
                <w:sz w:val="20"/>
                <w:szCs w:val="20"/>
                <w:color w:val="auto"/>
              </w:rPr>
            </w:pPr>
            <w:r>
              <w:rPr>
                <w:rFonts w:ascii="Arial" w:cs="Arial" w:eastAsia="Arial" w:hAnsi="Arial"/>
                <w:sz w:val="14"/>
                <w:szCs w:val="14"/>
                <w:color w:val="auto"/>
              </w:rPr>
              <w:t>Basic</w:t>
            </w:r>
          </w:p>
        </w:tc>
        <w:tc>
          <w:tcPr>
            <w:tcW w:w="2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1,198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1,196</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1,188</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1,182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60" w:type="dxa"/>
            <w:vAlign w:val="bottom"/>
            <w:tcBorders>
              <w:bottom w:val="single" w:sz="8" w:color="808080"/>
            </w:tcBorders>
          </w:tcPr>
          <w:p>
            <w:pPr>
              <w:spacing w:after="0"/>
              <w:rPr>
                <w:sz w:val="7"/>
                <w:szCs w:val="7"/>
                <w:color w:val="auto"/>
              </w:rPr>
            </w:pPr>
          </w:p>
        </w:tc>
        <w:tc>
          <w:tcPr>
            <w:tcW w:w="27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Assuming dilution</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1,214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 DECEMBER 31</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Net Debt</w:t>
            </w:r>
            <w:r>
              <w:rPr>
                <w:rFonts w:ascii="Arial" w:cs="Arial" w:eastAsia="Arial" w:hAnsi="Arial"/>
                <w:sz w:val="22"/>
                <w:szCs w:val="22"/>
                <w:color w:val="auto"/>
                <w:vertAlign w:val="superscript"/>
              </w:rPr>
              <w:t>4</w:t>
            </w:r>
          </w:p>
        </w:tc>
        <w:tc>
          <w:tcPr>
            <w:tcW w:w="2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1,129</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1,857</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2,834</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532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Borders>
              <w:top w:val="single" w:sz="8" w:color="808080"/>
            </w:tcBorders>
          </w:tcPr>
          <w:p>
            <w:pPr>
              <w:spacing w:after="0"/>
              <w:rPr>
                <w:sz w:val="8"/>
                <w:szCs w:val="8"/>
                <w:color w:val="auto"/>
              </w:rPr>
            </w:pPr>
          </w:p>
        </w:tc>
        <w:tc>
          <w:tcPr>
            <w:tcW w:w="2760" w:type="dxa"/>
            <w:vAlign w:val="bottom"/>
            <w:tcBorders>
              <w:top w:val="single" w:sz="8" w:color="808080"/>
            </w:tcBorders>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6,391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33,465</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32,094</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27,853</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22,832</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18,077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4,355</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3,694</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3,794</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4,664</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Schlumberger stockholders’ equity</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19,120</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16,862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14,876</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10,420</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employees continuing operations</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77,000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87,000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80,000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70,000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amounts which are included in the segments.</w:t>
      </w:r>
    </w:p>
    <w:p>
      <w:pPr>
        <w:ind w:left="3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For details of Charges and Credits and the related income taxes and noncontrolling interests, see Note 3 of the </w:t>
      </w:r>
      <w:r>
        <w:rPr>
          <w:rFonts w:ascii="Arial" w:cs="Arial" w:eastAsia="Arial" w:hAnsi="Arial"/>
          <w:sz w:val="14"/>
          <w:szCs w:val="14"/>
          <w:i w:val="1"/>
          <w:iCs w:val="1"/>
          <w:color w:val="auto"/>
        </w:rPr>
        <w:t>Consolidated Financial Statements.</w:t>
      </w:r>
    </w:p>
    <w:p>
      <w:pPr>
        <w:ind w:left="3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may not add due to rounding.</w:t>
      </w:r>
    </w:p>
    <w:p>
      <w:pPr>
        <w:ind w:left="340" w:right="180" w:hanging="332"/>
        <w:spacing w:after="0" w:line="23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7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7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As 2009 progressed, oil prices recovered gradually from levels under $40 per barrel at the beginning of the year to over $70 per barrel by year-end. The large drop in oil demand in 2009 that resulted from the global economic recession, together with increased production capacity in spite of significant delays in new development projects, led to spare oil production capacity reaching its highest level in nearly two decades. However, the decisions by the Organization of Petroleum Exporting Countries (OPEC) at the end of 2008 to cut production, the adherence of the majority of OPEC countries to production quotas, and the improving economic outlook contributed to rising prices with stabilization at current levels. During 2009, the demand forecasts of the major energy organizations evolved with economic projections falling to a low of nearly 83 million barrels of oil per day (BOPD) in May, then increasing gradually by 1.5 million BOPD toward the end of the year. The final forecast figure of 84.4 million BOPD represented the second consecutive year-on-year drop in oil demand for the first time in 25 years. For 2010, economic projections for world real GDP growth are converging towards a median estimate of 3%, but with a significant level of uncertainty. A large gap exists between GDP growth rates of Organization for Economic Cooperation and Development (OECD) and non-OECD countries – particularly in China and in other developing Asian economies. Overall OECD country demand will remain at its lowest level in over a decade, but this will be compensated by growth in China, South East Asia and the Middle East. From a supply standpoint, the level of uncertainty in oil demand and oil prices led E&amp;P customers to cut investment in 2009 – particularly in projects with the highest production costs – but forecasts published at the end of the year indicated a likely rise in investment in 2010.</w:t>
      </w:r>
    </w:p>
    <w:p>
      <w:pPr>
        <w:spacing w:after="0" w:line="5" w:lineRule="exact"/>
        <w:rPr>
          <w:sz w:val="20"/>
          <w:szCs w:val="20"/>
          <w:color w:val="auto"/>
        </w:rPr>
      </w:pPr>
    </w:p>
    <w:p>
      <w:pPr>
        <w:ind w:firstLine="228"/>
        <w:spacing w:after="0" w:line="300" w:lineRule="auto"/>
        <w:rPr>
          <w:sz w:val="20"/>
          <w:szCs w:val="20"/>
          <w:color w:val="auto"/>
        </w:rPr>
      </w:pPr>
      <w:r>
        <w:rPr>
          <w:rFonts w:ascii="Arial" w:cs="Arial" w:eastAsia="Arial" w:hAnsi="Arial"/>
          <w:sz w:val="15"/>
          <w:szCs w:val="15"/>
          <w:color w:val="auto"/>
        </w:rPr>
        <w:t>The natural gas markets behaved differently from oil markets in 2009. The combination of the drop in gas demand that resulted from reduced industrial activity; the rise in production of unconventional gas resources in North America; and the commissioning of a number of new large LNG (Liquefied Natural Gas) exporting facilities around the world contributed to an over-supplied market with consequent pressure on spot gas prices. On a per-British Thermal Unit basis, the ratio of oil to Henry Hub gas prices increased to its highest level in the last four decades, threatening the linkage mechanisms in future long-term supply contracts. Within the United States, the world’s largest natural gas market, and despite some fuel switching in power generation from coal to gas and lower Canadian gas imports, natural gas storage levels have been significantly above the five-year range consistently since April 2009. Consequently, natural gas wellhead prices have reached their lowest levels since 2002. This has translated into the largest sustained drop in gas-related drilling and service activity since the 2001-2002 period. Nevertheless, the technological success associated with production from unconventional gas reservoirs in the United States is leading to an increasing level of interest in similar formations outside North America, particularly in Europe, which could lead to an expansion in activity when natural gas prices rebound.</w:t>
      </w:r>
    </w:p>
    <w:p>
      <w:pPr>
        <w:spacing w:after="0" w:line="4" w:lineRule="exact"/>
        <w:rPr>
          <w:sz w:val="20"/>
          <w:szCs w:val="20"/>
          <w:color w:val="auto"/>
        </w:rPr>
      </w:pPr>
    </w:p>
    <w:p>
      <w:pPr>
        <w:ind w:right="160" w:firstLine="228"/>
        <w:spacing w:after="0" w:line="290" w:lineRule="auto"/>
        <w:rPr>
          <w:sz w:val="20"/>
          <w:szCs w:val="20"/>
          <w:color w:val="auto"/>
        </w:rPr>
      </w:pPr>
      <w:r>
        <w:rPr>
          <w:rFonts w:ascii="Arial" w:cs="Arial" w:eastAsia="Arial" w:hAnsi="Arial"/>
          <w:sz w:val="16"/>
          <w:szCs w:val="16"/>
          <w:color w:val="auto"/>
        </w:rPr>
        <w:t>Within this market, Schlumberger Oilfield Services full-year revenue in 2009 declined 16% versus 2008, falling to $20.52 billion. Lower natural gas prices and unfavorable market fundamentals led to a 37% decline in North America revenue, primarily in the US Land and Canada GeoMarkets. Europe/CIS/Africa revenue fell 13% mainly due to the weakening of local currencies against the US dollar and reduced activity in the Russia, North Sea, West &amp; South Africa and Caspian GeoMarkets as well as at Framo Engineering. This decline however was partially offset by increased activity in the North Africa GeoMarket. Middle East &amp; Asia revenue dropped 9% primarily due to decreases in the East Asia, East Mediterranean, Arabian and Australia/Papua New Guinea GeoMarkets. Latin America revenue was only marginally lower than last year as the impact of the weakening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400"/>
        <w:spacing w:after="0" w:line="284" w:lineRule="auto"/>
        <w:rPr>
          <w:sz w:val="20"/>
          <w:szCs w:val="20"/>
          <w:color w:val="auto"/>
        </w:rPr>
      </w:pPr>
      <w:r>
        <w:rPr>
          <w:rFonts w:ascii="Arial" w:cs="Arial" w:eastAsia="Arial" w:hAnsi="Arial"/>
          <w:sz w:val="16"/>
          <w:szCs w:val="16"/>
          <w:color w:val="auto"/>
        </w:rPr>
        <w:t>local currencies against the US dollar and much lower activity in Venezuela/Trinidad &amp; Tobago and Peru/ Colombia/Ecuador was nearly offset by stronger activity in Mexico/Central America and Brazil. Weakening of local currencies against the US dollar reduced 2009 revenue by approximately 4%. Across the Areas, all of the Technologies recorded revenue declines except Testing Services. IPM recorded revenue growth compared to 2008.</w:t>
      </w:r>
    </w:p>
    <w:p>
      <w:pPr>
        <w:spacing w:after="0" w:line="1"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While customers spent less on new technology in 2009 versus the previous year, a number of recently introduced Schlumberger services made further market progress. PowerDrive* family rotary-steerable drilling systems extended their market reach, entering new markets in the North and Latin America. Scanner Family* services for advanced formation evaluation saw success in Mexico and Canada, and Well Services recorded market penetration in Saudi Arabia, Abu Dhabi and Malaysia with the range of ACTive* real-time coiled-tubing services that improve operating efficiency and well performance through the innovative use of fiber-optic cable to convey downhole information to the surface.</w:t>
      </w:r>
    </w:p>
    <w:p>
      <w:pPr>
        <w:spacing w:after="0" w:line="3"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Investment in Oilfield Services infrastructure continued throughout the year. Significant events included the opening of a new reservoir completions manufacturing center in Damman, Saudi Arabia. Representing an investment of $25 million, the center houses a team of design and manufacturing engineers specialized in the production of downhole reservoir completions equipment. The center also provides a collaborative environment in which joint oil company and Schlumberger teams can develop and manufacture completions solutions for application across Saudi Arabia and the Middle East. In Brazil, we announced the signing of a joint cooperation agreement with the Universidade Federal do Rio de Janeiro to build a key international research center on the university’s campus. This new center will focus on research and development activities in the deepwater subsalt environment, with emphasis on the development of geosciences software for the exploration and production sector; new technologies to meet reservoir challenges in subsalt environments; and the creation of a geophysical processing and interpretation Center of Excellence covering time-lapse seismic and combined electromagnetic and seismic measurements.</w:t>
      </w:r>
    </w:p>
    <w:p>
      <w:pPr>
        <w:spacing w:after="0" w:line="5" w:lineRule="exact"/>
        <w:rPr>
          <w:sz w:val="20"/>
          <w:szCs w:val="20"/>
          <w:color w:val="auto"/>
        </w:rPr>
      </w:pPr>
    </w:p>
    <w:p>
      <w:pPr>
        <w:ind w:firstLine="228"/>
        <w:spacing w:after="0" w:line="257" w:lineRule="auto"/>
        <w:rPr>
          <w:sz w:val="20"/>
          <w:szCs w:val="20"/>
          <w:color w:val="auto"/>
        </w:rPr>
      </w:pPr>
      <w:r>
        <w:rPr>
          <w:rFonts w:ascii="Arial" w:cs="Arial" w:eastAsia="Arial" w:hAnsi="Arial"/>
          <w:sz w:val="16"/>
          <w:szCs w:val="16"/>
          <w:color w:val="auto"/>
        </w:rPr>
        <w:t>A number of technology agreements and acquisitions were completed during the year to enable future product development or improve geographical reach. In May, Schlumberger acquired Techsia SA, a supplier of petrophysical software based in Montpellier, France. Techsia will become the Schlumberger Petrophysics Software Center of Excellence for the development of state-of-the-art solutions for the oil and gas exploration and production industry. In September, Schlumberger and National Oilwell Varco announced the creation of a joint venture to provide high-speed drill string telemetry systems to improve the efficiency and safety of oil and gas operations. The venture is expected to accelerate development and delivery of intelligent drilling solutions through the expanded use of the IntelliServ</w:t>
      </w:r>
      <w:r>
        <w:rPr>
          <w:rFonts w:ascii="Arial" w:cs="Arial" w:eastAsia="Arial" w:hAnsi="Arial"/>
          <w:sz w:val="32"/>
          <w:szCs w:val="32"/>
          <w:color w:val="auto"/>
          <w:vertAlign w:val="superscript"/>
        </w:rPr>
        <w:t>®</w:t>
      </w:r>
      <w:r>
        <w:rPr>
          <w:rFonts w:ascii="Arial" w:cs="Arial" w:eastAsia="Arial" w:hAnsi="Arial"/>
          <w:sz w:val="16"/>
          <w:szCs w:val="16"/>
          <w:color w:val="auto"/>
        </w:rPr>
        <w:t xml:space="preserve"> Broadband Network, a patented technology that provides high resolution data in real time to and from the bottom of oil and gas wells as they are being drilled. In November, Schlumberger acquired Lonkar Services – a company providing slickline, cased-hole wireline and surface well testing services in Western Canada and Northern USA. Also in November Schlumberger signed a global cooperation agreement with Technip to jointly develop subsea integrity and surveillance solutions for the flexible pipes used in deep offshore oil and gas production. This agreement will initially focus on surveillance systems activities for new and challenging flexible pipe applications such as those required in the deepwater subsalt environment in Brazil.</w:t>
      </w:r>
    </w:p>
    <w:p>
      <w:pPr>
        <w:spacing w:after="0" w:line="28"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Full-year 2009 revenue of WesternGeco was, at $2.12 billion, 25% lower than 2008. Revenue decreased across all product lines, with the largest declines seen in Marine and Multiclient activity. Marine revenue fell on lower activity combined with reduced pricing as a result of weak market conditions. Multiclient revenue decreased primarily in North America, as customers continued to reduce discretionary spending. Land revenue fell on lower crew utilization, while Data Processing revenue decreased reflecting lower activity primarily in Europe/Africa and in North America.</w:t>
      </w:r>
    </w:p>
    <w:p>
      <w:pPr>
        <w:spacing w:after="0" w:line="3" w:lineRule="exact"/>
        <w:rPr>
          <w:sz w:val="20"/>
          <w:szCs w:val="20"/>
          <w:color w:val="auto"/>
        </w:rPr>
      </w:pPr>
    </w:p>
    <w:p>
      <w:pPr>
        <w:ind w:right="320" w:firstLine="228"/>
        <w:spacing w:after="0" w:line="361" w:lineRule="auto"/>
        <w:rPr>
          <w:sz w:val="20"/>
          <w:szCs w:val="20"/>
          <w:color w:val="auto"/>
        </w:rPr>
      </w:pPr>
      <w:r>
        <w:rPr>
          <w:rFonts w:ascii="Arial" w:cs="Arial" w:eastAsia="Arial" w:hAnsi="Arial"/>
          <w:sz w:val="15"/>
          <w:szCs w:val="15"/>
          <w:color w:val="auto"/>
        </w:rPr>
        <w:t>Towards the end of the year, WesternGeco announced the deployment of the next-generation UniQ* integrated point-receiver land seismic acquisition and processing system in Kuwait for the Kuwait Oil Company. The new system, designed for greater operational efficiency and flexibility, offers up to four times</w:t>
      </w: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capability of existing Q-Land* systems and is currently acquiring data from 53,000 live point-receiver channels in conjunction with the WesternGeco DX-80* Desert Explorer with MD Sweep* technology introduced the previous year.</w:t>
      </w:r>
    </w:p>
    <w:p>
      <w:pPr>
        <w:ind w:right="40" w:firstLine="228"/>
        <w:spacing w:after="0" w:line="250" w:lineRule="auto"/>
        <w:rPr>
          <w:sz w:val="20"/>
          <w:szCs w:val="20"/>
          <w:color w:val="auto"/>
        </w:rPr>
      </w:pPr>
      <w:r>
        <w:rPr>
          <w:rFonts w:ascii="Arial" w:cs="Arial" w:eastAsia="Arial" w:hAnsi="Arial"/>
          <w:sz w:val="18"/>
          <w:szCs w:val="18"/>
          <w:color w:val="auto"/>
        </w:rPr>
        <w:t>The outlook for 2010 remains largely dependent on the prospects for the general economy. At the end of the third quarter of 2009, we indicated that we were encouraged that signs were emerging that demand for oil and gas would begin to increase. Consensus forecasts now predict that oil demand in 2010 will increase, particularly in the developing world, for the first time since 2007.</w:t>
      </w:r>
    </w:p>
    <w:p>
      <w:pPr>
        <w:spacing w:after="0" w:line="1" w:lineRule="exact"/>
        <w:rPr>
          <w:sz w:val="20"/>
          <w:szCs w:val="20"/>
          <w:color w:val="auto"/>
        </w:rPr>
      </w:pPr>
    </w:p>
    <w:p>
      <w:pPr>
        <w:ind w:right="240" w:firstLine="228"/>
        <w:spacing w:after="0" w:line="250" w:lineRule="auto"/>
        <w:rPr>
          <w:sz w:val="20"/>
          <w:szCs w:val="20"/>
          <w:color w:val="auto"/>
        </w:rPr>
      </w:pPr>
      <w:r>
        <w:rPr>
          <w:rFonts w:ascii="Arial" w:cs="Arial" w:eastAsia="Arial" w:hAnsi="Arial"/>
          <w:sz w:val="18"/>
          <w:szCs w:val="18"/>
          <w:color w:val="auto"/>
        </w:rPr>
        <w:t>As a result we feel that oil prices are likely to be sustained at current levels and that as our customers’ confidence grows, their exploration and production budgets will increase. We feel that considerable leverage to increase investment exists in offshore markets, in Russia, as well as in certain emerging investment opportunities such as Iraq. These events will be dependent on continued increases in economic growth in the second half of the year beyond the current government stimulus packages.</w:t>
      </w:r>
    </w:p>
    <w:p>
      <w:pPr>
        <w:spacing w:after="0" w:line="2"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For natural gas activity we remain a great deal more cautious. Despite signs of some recovery in industrial demand as well as the recent cold weather, we consider that markets remain generally oversupplied. Increased LNG flows together with further capacity being added in 2010, as well as the general uncertainty over the decline rates of unconventional gas production, have the potential to limit the current increase in the North American gas drilling rig count.</w:t>
      </w:r>
    </w:p>
    <w:p>
      <w:pPr>
        <w:spacing w:after="0" w:line="2" w:lineRule="exact"/>
        <w:rPr>
          <w:sz w:val="20"/>
          <w:szCs w:val="20"/>
          <w:color w:val="auto"/>
        </w:rPr>
      </w:pPr>
    </w:p>
    <w:p>
      <w:pPr>
        <w:ind w:right="520" w:firstLine="228"/>
        <w:spacing w:after="0" w:line="281" w:lineRule="auto"/>
        <w:rPr>
          <w:sz w:val="20"/>
          <w:szCs w:val="20"/>
          <w:color w:val="auto"/>
        </w:rPr>
      </w:pPr>
      <w:r>
        <w:rPr>
          <w:rFonts w:ascii="Arial" w:cs="Arial" w:eastAsia="Arial" w:hAnsi="Arial"/>
          <w:sz w:val="16"/>
          <w:szCs w:val="16"/>
          <w:color w:val="auto"/>
        </w:rPr>
        <w:t>We anticipate that 2010 will be a better year for multiclient seismic, and for activity in land seismic particularly in Middle East and North Africa. While Marine activity is expected to be reasonably robust, pricing improvements will be limited due to continued new capacity additions.</w:t>
      </w:r>
    </w:p>
    <w:p>
      <w:pPr>
        <w:spacing w:after="0" w:line="1"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Longer term we remain confident that considerably increased spending will be necessary to maintain sufficient reserves and production of hydrocarbons to meet the world’s needs. Our technology portfolio and worldwide infrastructure mean we are strongly positioned to capture growth opportunities as our customers begin to increase their investment.</w:t>
      </w:r>
    </w:p>
    <w:p>
      <w:pPr>
        <w:spacing w:after="0" w:line="1" w:lineRule="exact"/>
        <w:rPr>
          <w:sz w:val="20"/>
          <w:szCs w:val="20"/>
          <w:color w:val="auto"/>
        </w:rPr>
      </w:pPr>
    </w:p>
    <w:p>
      <w:pPr>
        <w:ind w:right="1560" w:firstLine="228"/>
        <w:spacing w:after="0" w:line="408" w:lineRule="auto"/>
        <w:rPr>
          <w:sz w:val="20"/>
          <w:szCs w:val="20"/>
          <w:color w:val="auto"/>
        </w:rPr>
      </w:pPr>
      <w:r>
        <w:rPr>
          <w:rFonts w:ascii="Arial" w:cs="Arial" w:eastAsia="Arial" w:hAnsi="Arial"/>
          <w:sz w:val="18"/>
          <w:szCs w:val="18"/>
          <w:color w:val="auto"/>
        </w:rPr>
        <w:t xml:space="preserve">The following discussion and analysis of results of operations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t>
      </w:r>
      <w:r>
        <w:rPr>
          <w:rFonts w:ascii="Arial" w:cs="Arial" w:eastAsia="Arial" w:hAnsi="Arial"/>
          <w:sz w:val="18"/>
          <w:szCs w:val="18"/>
          <w:b w:val="1"/>
          <w:bCs w:val="1"/>
          <w:color w:val="auto"/>
        </w:rPr>
        <w:t>Fourth Quarter 2009 Results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4700" w:type="dxa"/>
            <w:vAlign w:val="bottom"/>
            <w:tcBorders>
              <w:top w:val="single" w:sz="8" w:color="auto"/>
            </w:tcBorders>
          </w:tcPr>
          <w:p>
            <w:pPr>
              <w:spacing w:after="0"/>
              <w:rPr>
                <w:sz w:val="11"/>
                <w:szCs w:val="11"/>
                <w:color w:val="auto"/>
              </w:rPr>
            </w:pPr>
          </w:p>
        </w:tc>
        <w:tc>
          <w:tcPr>
            <w:tcW w:w="4340" w:type="dxa"/>
            <w:vAlign w:val="bottom"/>
            <w:tcBorders>
              <w:top w:val="single" w:sz="8" w:color="auto"/>
            </w:tcBorders>
            <w:gridSpan w:val="2"/>
          </w:tcPr>
          <w:p>
            <w:pPr>
              <w:ind w:left="3320"/>
              <w:spacing w:after="0" w:line="129" w:lineRule="exact"/>
              <w:rPr>
                <w:sz w:val="20"/>
                <w:szCs w:val="20"/>
                <w:color w:val="auto"/>
              </w:rPr>
            </w:pPr>
            <w:r>
              <w:rPr>
                <w:rFonts w:ascii="Arial" w:cs="Arial" w:eastAsia="Arial" w:hAnsi="Arial"/>
                <w:sz w:val="14"/>
                <w:szCs w:val="14"/>
                <w:b w:val="1"/>
                <w:bCs w:val="1"/>
                <w:color w:val="auto"/>
              </w:rPr>
              <w:t>Fourth Qtr.</w:t>
            </w:r>
          </w:p>
        </w:tc>
        <w:tc>
          <w:tcPr>
            <w:tcW w:w="1280" w:type="dxa"/>
            <w:vAlign w:val="bottom"/>
            <w:tcBorders>
              <w:top w:val="single" w:sz="8" w:color="auto"/>
            </w:tcBorders>
            <w:gridSpan w:val="2"/>
          </w:tcPr>
          <w:p>
            <w:pPr>
              <w:ind w:left="360"/>
              <w:spacing w:after="0" w:line="129" w:lineRule="exact"/>
              <w:rPr>
                <w:sz w:val="20"/>
                <w:szCs w:val="20"/>
                <w:color w:val="auto"/>
              </w:rPr>
            </w:pPr>
            <w:r>
              <w:rPr>
                <w:rFonts w:ascii="Arial" w:cs="Arial" w:eastAsia="Arial" w:hAnsi="Arial"/>
                <w:sz w:val="14"/>
                <w:szCs w:val="14"/>
                <w:color w:val="auto"/>
              </w:rPr>
              <w:t>Third Qtr.</w:t>
            </w:r>
          </w:p>
        </w:tc>
        <w:tc>
          <w:tcPr>
            <w:tcW w:w="1100" w:type="dxa"/>
            <w:vAlign w:val="bottom"/>
            <w:tcBorders>
              <w:top w:val="single" w:sz="8" w:color="auto"/>
            </w:tcBorders>
          </w:tcPr>
          <w:p>
            <w:pPr>
              <w:spacing w:after="0"/>
              <w:rPr>
                <w:sz w:val="11"/>
                <w:szCs w:val="11"/>
                <w:color w:val="auto"/>
              </w:rPr>
            </w:pPr>
          </w:p>
        </w:tc>
      </w:tr>
      <w:tr>
        <w:trPr>
          <w:trHeight w:val="161"/>
        </w:trPr>
        <w:tc>
          <w:tcPr>
            <w:tcW w:w="4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color w:val="auto"/>
              </w:rPr>
              <w:t>2009</w:t>
            </w:r>
          </w:p>
        </w:tc>
        <w:tc>
          <w:tcPr>
            <w:tcW w:w="1100" w:type="dxa"/>
            <w:vAlign w:val="bottom"/>
          </w:tcPr>
          <w:p>
            <w:pPr>
              <w:jc w:val="right"/>
              <w:ind w:right="132"/>
              <w:spacing w:after="0"/>
              <w:rPr>
                <w:sz w:val="20"/>
                <w:szCs w:val="20"/>
                <w:color w:val="auto"/>
              </w:rPr>
            </w:pPr>
            <w:r>
              <w:rPr>
                <w:rFonts w:ascii="Arial" w:cs="Arial" w:eastAsia="Arial" w:hAnsi="Arial"/>
                <w:sz w:val="14"/>
                <w:szCs w:val="14"/>
                <w:color w:val="auto"/>
              </w:rPr>
              <w:t>% change</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3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3540" w:type="dxa"/>
            <w:vAlign w:val="bottom"/>
          </w:tcPr>
          <w:p>
            <w:pPr>
              <w:ind w:left="332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5,170</w:t>
            </w:r>
          </w:p>
        </w:tc>
        <w:tc>
          <w:tcPr>
            <w:tcW w:w="52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4,953</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Operating Income</w:t>
            </w:r>
          </w:p>
        </w:tc>
        <w:tc>
          <w:tcPr>
            <w:tcW w:w="3540" w:type="dxa"/>
            <w:vAlign w:val="bottom"/>
            <w:shd w:val="clear" w:color="auto" w:fill="CCEEFF"/>
          </w:tcPr>
          <w:p>
            <w:pPr>
              <w:ind w:left="332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1,006</w:t>
            </w:r>
          </w:p>
        </w:tc>
        <w:tc>
          <w:tcPr>
            <w:tcW w:w="5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1,042</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r>
      <w:tr>
        <w:trPr>
          <w:trHeight w:val="257"/>
        </w:trPr>
        <w:tc>
          <w:tcPr>
            <w:tcW w:w="4700" w:type="dxa"/>
            <w:vAlign w:val="bottom"/>
          </w:tcPr>
          <w:p>
            <w:pPr>
              <w:spacing w:after="0"/>
              <w:rPr>
                <w:sz w:val="20"/>
                <w:szCs w:val="20"/>
                <w:color w:val="auto"/>
              </w:rPr>
            </w:pPr>
            <w:r>
              <w:rPr>
                <w:rFonts w:ascii="Arial" w:cs="Arial" w:eastAsia="Arial" w:hAnsi="Arial"/>
                <w:sz w:val="14"/>
                <w:szCs w:val="14"/>
                <w:b w:val="1"/>
                <w:bCs w:val="1"/>
                <w:i w:val="1"/>
                <w:iCs w:val="1"/>
                <w:color w:val="auto"/>
              </w:rPr>
              <w:t>WESTERNGECO</w:t>
            </w:r>
          </w:p>
        </w:tc>
        <w:tc>
          <w:tcPr>
            <w:tcW w:w="3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3540" w:type="dxa"/>
            <w:vAlign w:val="bottom"/>
            <w:shd w:val="clear" w:color="auto" w:fill="CCEEFF"/>
          </w:tcPr>
          <w:p>
            <w:pPr>
              <w:ind w:left="332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549</w:t>
            </w:r>
          </w:p>
        </w:tc>
        <w:tc>
          <w:tcPr>
            <w:tcW w:w="5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463</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w:t>
            </w:r>
          </w:p>
        </w:tc>
      </w:tr>
      <w:tr>
        <w:trPr>
          <w:trHeight w:val="174"/>
        </w:trPr>
        <w:tc>
          <w:tcPr>
            <w:tcW w:w="4700" w:type="dxa"/>
            <w:vAlign w:val="bottom"/>
          </w:tcPr>
          <w:p>
            <w:pPr>
              <w:spacing w:after="0"/>
              <w:rPr>
                <w:sz w:val="20"/>
                <w:szCs w:val="20"/>
                <w:color w:val="auto"/>
              </w:rPr>
            </w:pPr>
            <w:r>
              <w:rPr>
                <w:rFonts w:ascii="Arial" w:cs="Arial" w:eastAsia="Arial" w:hAnsi="Arial"/>
                <w:sz w:val="14"/>
                <w:szCs w:val="14"/>
                <w:color w:val="auto"/>
              </w:rPr>
              <w:t>Pretax Operating Income</w:t>
            </w:r>
          </w:p>
        </w:tc>
        <w:tc>
          <w:tcPr>
            <w:tcW w:w="3540" w:type="dxa"/>
            <w:vAlign w:val="bottom"/>
          </w:tcPr>
          <w:p>
            <w:pPr>
              <w:ind w:left="33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115</w:t>
            </w:r>
          </w:p>
        </w:tc>
        <w:tc>
          <w:tcPr>
            <w:tcW w:w="520" w:type="dxa"/>
            <w:vAlign w:val="bottom"/>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2"/>
              <w:spacing w:after="0"/>
              <w:rPr>
                <w:sz w:val="20"/>
                <w:szCs w:val="20"/>
                <w:color w:val="auto"/>
              </w:rPr>
            </w:pPr>
            <w:r>
              <w:rPr>
                <w:rFonts w:ascii="Arial" w:cs="Arial" w:eastAsia="Arial" w:hAnsi="Arial"/>
                <w:sz w:val="14"/>
                <w:szCs w:val="14"/>
                <w:color w:val="auto"/>
              </w:rPr>
              <w:t>61</w:t>
            </w: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89%</w:t>
            </w:r>
          </w:p>
        </w:tc>
      </w:tr>
    </w:tbl>
    <w:p>
      <w:pPr>
        <w:spacing w:after="0" w:line="114" w:lineRule="exact"/>
        <w:rPr>
          <w:sz w:val="20"/>
          <w:szCs w:val="20"/>
          <w:color w:val="auto"/>
        </w:rPr>
      </w:pPr>
    </w:p>
    <w:p>
      <w:pPr>
        <w:ind w:right="100" w:firstLine="228"/>
        <w:spacing w:after="0" w:line="284" w:lineRule="auto"/>
        <w:rPr>
          <w:sz w:val="20"/>
          <w:szCs w:val="20"/>
          <w:color w:val="auto"/>
        </w:rPr>
      </w:pPr>
      <w:r>
        <w:rPr>
          <w:rFonts w:ascii="Arial" w:cs="Arial" w:eastAsia="Arial" w:hAnsi="Arial"/>
          <w:sz w:val="16"/>
          <w:szCs w:val="16"/>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described in detail in Note 3 to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w:t>
      </w:r>
      <w:r>
        <w:rPr>
          <w:rFonts w:ascii="Arial" w:cs="Arial" w:eastAsia="Arial" w:hAnsi="Arial"/>
          <w:sz w:val="16"/>
          <w:szCs w:val="16"/>
          <w:color w:val="auto"/>
        </w:rPr>
        <w:t>, interest on postretirement medical benefits and stock-based compensation costs.</w:t>
      </w:r>
    </w:p>
    <w:p>
      <w:pPr>
        <w:spacing w:after="0" w:line="1" w:lineRule="exact"/>
        <w:rPr>
          <w:sz w:val="20"/>
          <w:szCs w:val="20"/>
          <w:color w:val="auto"/>
        </w:rPr>
      </w:pPr>
    </w:p>
    <w:p>
      <w:pPr>
        <w:ind w:right="300" w:firstLine="228"/>
        <w:spacing w:after="0" w:line="250" w:lineRule="auto"/>
        <w:rPr>
          <w:sz w:val="20"/>
          <w:szCs w:val="20"/>
          <w:color w:val="auto"/>
        </w:rPr>
      </w:pPr>
      <w:r>
        <w:rPr>
          <w:rFonts w:ascii="Arial" w:cs="Arial" w:eastAsia="Arial" w:hAnsi="Arial"/>
          <w:sz w:val="18"/>
          <w:szCs w:val="18"/>
          <w:color w:val="auto"/>
        </w:rPr>
        <w:t>Fourth-quarter revenue was $5.74 billion versus $5.43 billion in the third quarter of 2009. Income from continuing operations attributable to Schlumberger was $817 million – an increase of 4% sequentially.</w:t>
      </w:r>
    </w:p>
    <w:p>
      <w:pPr>
        <w:spacing w:after="0" w:line="1"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Oilfield Services fourth-quarter revenue of $5.17 billion was up 4% compared to the third quarter of 2009. Sequential pretax segment operating income of $1.01 billion was down 3%.</w:t>
      </w:r>
    </w:p>
    <w:p>
      <w:pPr>
        <w:spacing w:after="0" w:line="1"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WesternGeco fourth-quarter revenue of $549 million was up 19% sequentially. Fourth-quarter pretax segment operating income of $115 million was up 89% compared to the third quarter of 2009.</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Fourth-quarter revenue of $5.17 billion increased 4% sequentially, with all Areas, except Europe/CIS/Africa, contributing to the improvement. Sequential growth was driven by increased deepwater and exploration-related activity leading to demand for Wireline, Testing Services and Drilling &amp; Measurements technologies, while growth was also recorded on land in North America, primarily from increased Well Services activity. In addition, seasonal year-end strength was seen in software and product sales in a number of GeoMarkets – in particular for SIS software and Artificial Lift products. These increases, however, were partially offset by lower activity in Russia and in the Mexico/Central America GeoMarket.</w:t>
      </w:r>
    </w:p>
    <w:p>
      <w:pPr>
        <w:spacing w:after="0" w:line="2" w:lineRule="exact"/>
        <w:rPr>
          <w:sz w:val="20"/>
          <w:szCs w:val="20"/>
          <w:color w:val="auto"/>
        </w:rPr>
      </w:pPr>
    </w:p>
    <w:p>
      <w:pPr>
        <w:jc w:val="both"/>
        <w:ind w:right="180" w:firstLine="228"/>
        <w:spacing w:after="0" w:line="255" w:lineRule="auto"/>
        <w:rPr>
          <w:sz w:val="20"/>
          <w:szCs w:val="20"/>
          <w:color w:val="auto"/>
        </w:rPr>
      </w:pPr>
      <w:r>
        <w:rPr>
          <w:rFonts w:ascii="Arial" w:cs="Arial" w:eastAsia="Arial" w:hAnsi="Arial"/>
          <w:sz w:val="18"/>
          <w:szCs w:val="18"/>
          <w:color w:val="auto"/>
        </w:rPr>
        <w:t>Fourth-quarter pretax operating income of $1.01 billion was down 3% sequentially. Pretax operating margin decreased 157 basis points (bps) sequentially to 19.5% primarily due to lower activity coupled with a less favorable revenue mix in Russia and in the Mexico/Central America GeoMarket. Pricing concessions made earlier in the year also contributed to the sequential decrease in margins.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$873 million was 6% higher sequentially. Pretax operating income of $18.0 million was down 35% sequentially.</w:t>
      </w:r>
    </w:p>
    <w:p>
      <w:pPr>
        <w:spacing w:after="0" w:line="15" w:lineRule="exact"/>
        <w:rPr>
          <w:sz w:val="20"/>
          <w:szCs w:val="20"/>
          <w:color w:val="auto"/>
        </w:rPr>
      </w:pPr>
    </w:p>
    <w:p>
      <w:pPr>
        <w:ind w:right="260" w:firstLine="228"/>
        <w:spacing w:after="0" w:line="250" w:lineRule="auto"/>
        <w:rPr>
          <w:sz w:val="20"/>
          <w:szCs w:val="20"/>
          <w:color w:val="auto"/>
        </w:rPr>
      </w:pPr>
      <w:r>
        <w:rPr>
          <w:rFonts w:ascii="Arial" w:cs="Arial" w:eastAsia="Arial" w:hAnsi="Arial"/>
          <w:sz w:val="18"/>
          <w:szCs w:val="18"/>
          <w:color w:val="auto"/>
        </w:rPr>
        <w:t>Sequentially, US Land GeoMarket revenue grew on increased drilling activity, the impact of which was partially diluted by lower pricing for Well Services technologies. US Gulf of Mexico GeoMarket revenue was up marginally as improved shelf activity and the beginning of a build-up in deepwater activity were hampered by downtime associated with Hurricane Ida as well as by some pricing pressure. Canada revenue was flat while Alaska GeoMarket revenue fell sequentially due to a slowdown in activity resulting from operator budget constraints.</w:t>
      </w:r>
    </w:p>
    <w:p>
      <w:pPr>
        <w:spacing w:after="0" w:line="2" w:lineRule="exact"/>
        <w:rPr>
          <w:sz w:val="20"/>
          <w:szCs w:val="20"/>
          <w:color w:val="auto"/>
        </w:rPr>
      </w:pPr>
    </w:p>
    <w:p>
      <w:pPr>
        <w:ind w:right="140" w:firstLine="228"/>
        <w:spacing w:after="0" w:line="261" w:lineRule="auto"/>
        <w:rPr>
          <w:sz w:val="20"/>
          <w:szCs w:val="20"/>
          <w:color w:val="auto"/>
        </w:rPr>
      </w:pPr>
      <w:r>
        <w:rPr>
          <w:rFonts w:ascii="Arial" w:cs="Arial" w:eastAsia="Arial" w:hAnsi="Arial"/>
          <w:sz w:val="18"/>
          <w:szCs w:val="18"/>
          <w:color w:val="auto"/>
        </w:rPr>
        <w:t>Pretax operating margin decreased 129 bps sequentially to 2.1% as the increased activity in the US Land and Gulf of Mexico GeoMarkets was insufficient to offset the impact of a less favorable revenue mix in Canada and lower activity in the Alaska GeoMarket.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$1.13 billion increased 5% sequentially. Pretax operating income of $178 million was down 9% sequentially.</w:t>
      </w:r>
    </w:p>
    <w:p>
      <w:pPr>
        <w:spacing w:after="0" w:line="15"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Sequentially, Peru/Colombia/Ecuador GeoMarket revenue grew primarily on greater demand for Drilling &amp; Measurements, Wireline and Testing Services technologies resulting from increased drilling activity. Higher SIS software and Artificial Lift product sales also contributed to this growth. Brazil revenue was higher due to increased offshore exploration activity as well as to SIS software and Completions product sales. Venezuela/Trinidad &amp; Tobago GeoMarket recorded growth mainly from Integrated Project Management (IPM) activity while Argentina/Bolivia/Chile revenue was higher due to increased activity and SIS product sales. These increases were partially offset by a decrease in Mexico/Central America revenue as a result of reduced activity.</w:t>
      </w:r>
    </w:p>
    <w:p>
      <w:pPr>
        <w:spacing w:after="0" w:line="3" w:lineRule="exact"/>
        <w:rPr>
          <w:sz w:val="20"/>
          <w:szCs w:val="20"/>
          <w:color w:val="auto"/>
        </w:rPr>
      </w:pPr>
    </w:p>
    <w:p>
      <w:pPr>
        <w:ind w:right="420" w:firstLine="228"/>
        <w:spacing w:after="0" w:line="323" w:lineRule="auto"/>
        <w:rPr>
          <w:sz w:val="20"/>
          <w:szCs w:val="20"/>
          <w:color w:val="auto"/>
        </w:rPr>
      </w:pPr>
      <w:r>
        <w:rPr>
          <w:rFonts w:ascii="Arial" w:cs="Arial" w:eastAsia="Arial" w:hAnsi="Arial"/>
          <w:sz w:val="16"/>
          <w:szCs w:val="16"/>
          <w:color w:val="auto"/>
        </w:rPr>
        <w:t>Pretax operating margin decreased 254 bps sequentially to 15.8% primarily as the result of the reduced activity and a less favorable revenue mix in the Mexico/Central America GeoMarket, which was only partly offset by the impact of increased activity and software and product sales in the rest of the Area.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$1.78 billion was flat sequentially. Pretax operating income of $385 million was down 9% sequentially.</w:t>
      </w:r>
    </w:p>
    <w:p>
      <w:pPr>
        <w:spacing w:after="0" w:line="15"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Sequentially, Nigeria &amp; Gulf of Guinea GeoMarket revenue grew as the result of strong Testing Services product sales and an increase in exploration activity that led to greater demand for Wireline services. In the West &amp; South Africa GeoMarket revenue increased on high demand for Drilling &amp; Measurements services. The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North Sea GeoMarket also recorded growth from increased Well Services stimulation activity while Libya GeoMarket revenue increased on higher deepwater Testing Services and Wireline exploration activity. These increases, however, were partially offset by lower revenue in Russia as a result of client budgetary constraints which mainly affected IPM activity. Revenue was also lower in the North Africa GeoMarket on reduced Testing Services product sales and in the Caspian GeoMarket on the completion of drilling campaigns.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Pretax operating margin decreased 208 bps sequentially to 21.6% largely as the result of the lower activity in Russia.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$1.31 billion increased 7% sequentially. Pretax operating income of $426 million was 9% higher sequentially.</w:t>
      </w:r>
    </w:p>
    <w:p>
      <w:pPr>
        <w:spacing w:after="0" w:line="15"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Sequentially, revenue growth was driven by an increase in deepwater and exploration-related activity that led to strong demand for Wireline services. Seasonal year-end SIS software and Artificial Lift product sales also contributed to the increase in revenue.</w:t>
      </w:r>
    </w:p>
    <w:p>
      <w:pPr>
        <w:spacing w:after="0" w:line="1"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Pretax operating margin improved 66 bps sequentially to 32.4% primarily as the result of the more favorable mix of deepwater and exploration-related activity in addition to year-end SIS software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$549 million increased 19% sequentially. Pretax operating income of $115 million increased 89% sequentially.</w:t>
      </w:r>
    </w:p>
    <w:p>
      <w:pPr>
        <w:spacing w:after="0" w:line="15"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Sequential revenue growth was led by Multiclient which recorded strong year-end sales of wide-azimuth surveys in the US Gulf of Mexico. Land revenue also grew due to increased activity in the Middle East and North Africa. These increases, however, were partially offset by a significant decrease in Marine as the result of weaker pricing, project start-up delays and vessel transits.</w:t>
      </w:r>
    </w:p>
    <w:p>
      <w:pPr>
        <w:spacing w:after="0" w:line="1" w:lineRule="exact"/>
        <w:rPr>
          <w:sz w:val="20"/>
          <w:szCs w:val="20"/>
          <w:color w:val="auto"/>
        </w:rPr>
      </w:pPr>
    </w:p>
    <w:p>
      <w:pPr>
        <w:ind w:right="200" w:firstLine="228"/>
        <w:spacing w:after="0" w:line="261" w:lineRule="auto"/>
        <w:rPr>
          <w:sz w:val="20"/>
          <w:szCs w:val="20"/>
          <w:color w:val="auto"/>
        </w:rPr>
      </w:pPr>
      <w:r>
        <w:rPr>
          <w:rFonts w:ascii="Arial" w:cs="Arial" w:eastAsia="Arial" w:hAnsi="Arial"/>
          <w:sz w:val="18"/>
          <w:szCs w:val="18"/>
          <w:color w:val="auto"/>
        </w:rPr>
        <w:t>Pretax operating margin improved 776 bps sequentially to 20.9% primarily as a result of the high Multiclient sales that were partially offset by the impact of the lower pricing and project delays in Marine.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2009 Results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4780" w:type="dxa"/>
            <w:vAlign w:val="bottom"/>
            <w:tcBorders>
              <w:top w:val="single" w:sz="8" w:color="auto"/>
            </w:tcBorders>
          </w:tcPr>
          <w:p>
            <w:pPr>
              <w:spacing w:after="0"/>
              <w:rPr>
                <w:sz w:val="11"/>
                <w:szCs w:val="11"/>
                <w:color w:val="auto"/>
              </w:rPr>
            </w:pPr>
          </w:p>
        </w:tc>
        <w:tc>
          <w:tcPr>
            <w:tcW w:w="4320" w:type="dxa"/>
            <w:vAlign w:val="bottom"/>
            <w:tcBorders>
              <w:top w:val="single" w:sz="8" w:color="auto"/>
            </w:tcBorders>
            <w:gridSpan w:val="2"/>
          </w:tcPr>
          <w:p>
            <w:pPr>
              <w:ind w:left="3420"/>
              <w:spacing w:after="0" w:line="129" w:lineRule="exact"/>
              <w:rPr>
                <w:sz w:val="20"/>
                <w:szCs w:val="20"/>
                <w:color w:val="auto"/>
              </w:rPr>
            </w:pPr>
            <w:r>
              <w:rPr>
                <w:rFonts w:ascii="Arial" w:cs="Arial" w:eastAsia="Arial" w:hAnsi="Arial"/>
                <w:sz w:val="14"/>
                <w:szCs w:val="14"/>
                <w:b w:val="1"/>
                <w:bCs w:val="1"/>
                <w:color w:val="auto"/>
              </w:rPr>
              <w:t>Total Year</w:t>
            </w:r>
          </w:p>
        </w:tc>
        <w:tc>
          <w:tcPr>
            <w:tcW w:w="1180" w:type="dxa"/>
            <w:vAlign w:val="bottom"/>
            <w:tcBorders>
              <w:top w:val="single" w:sz="8" w:color="auto"/>
            </w:tcBorders>
            <w:gridSpan w:val="2"/>
          </w:tcPr>
          <w:p>
            <w:pPr>
              <w:ind w:left="300"/>
              <w:spacing w:after="0" w:line="129" w:lineRule="exact"/>
              <w:rPr>
                <w:sz w:val="20"/>
                <w:szCs w:val="20"/>
                <w:color w:val="auto"/>
              </w:rPr>
            </w:pPr>
            <w:r>
              <w:rPr>
                <w:rFonts w:ascii="Arial" w:cs="Arial" w:eastAsia="Arial" w:hAnsi="Arial"/>
                <w:sz w:val="14"/>
                <w:szCs w:val="14"/>
                <w:color w:val="auto"/>
              </w:rPr>
              <w:t>Total Year</w:t>
            </w:r>
          </w:p>
        </w:tc>
        <w:tc>
          <w:tcPr>
            <w:tcW w:w="1140" w:type="dxa"/>
            <w:vAlign w:val="bottom"/>
            <w:tcBorders>
              <w:top w:val="single" w:sz="8" w:color="auto"/>
            </w:tcBorders>
          </w:tcPr>
          <w:p>
            <w:pPr>
              <w:spacing w:after="0"/>
              <w:rPr>
                <w:sz w:val="11"/>
                <w:szCs w:val="11"/>
                <w:color w:val="auto"/>
              </w:rPr>
            </w:pPr>
          </w:p>
        </w:tc>
      </w:tr>
      <w:tr>
        <w:trPr>
          <w:trHeight w:val="161"/>
        </w:trPr>
        <w:tc>
          <w:tcPr>
            <w:tcW w:w="4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2008</w:t>
            </w: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rPr>
              <w:t>% Change</w:t>
            </w: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3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3560" w:type="dxa"/>
            <w:vAlign w:val="bottom"/>
          </w:tcPr>
          <w:p>
            <w:pPr>
              <w:ind w:left="342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w w:val="97"/>
              </w:rPr>
              <w:t>20,518</w:t>
            </w:r>
          </w:p>
        </w:tc>
        <w:tc>
          <w:tcPr>
            <w:tcW w:w="4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3"/>
              </w:rPr>
              <w:t>24,282</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w:t>
            </w: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Operating Income</w:t>
            </w:r>
          </w:p>
        </w:tc>
        <w:tc>
          <w:tcPr>
            <w:tcW w:w="3560" w:type="dxa"/>
            <w:vAlign w:val="bottom"/>
            <w:shd w:val="clear" w:color="auto" w:fill="CCEEFF"/>
          </w:tcPr>
          <w:p>
            <w:pPr>
              <w:ind w:left="342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4,326</w:t>
            </w:r>
          </w:p>
        </w:tc>
        <w:tc>
          <w:tcPr>
            <w:tcW w:w="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6,505</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w:t>
            </w:r>
          </w:p>
        </w:tc>
      </w:tr>
      <w:tr>
        <w:trPr>
          <w:trHeight w:val="257"/>
        </w:trPr>
        <w:tc>
          <w:tcPr>
            <w:tcW w:w="4780" w:type="dxa"/>
            <w:vAlign w:val="bottom"/>
          </w:tcPr>
          <w:p>
            <w:pPr>
              <w:spacing w:after="0"/>
              <w:rPr>
                <w:sz w:val="20"/>
                <w:szCs w:val="20"/>
                <w:color w:val="auto"/>
              </w:rPr>
            </w:pPr>
            <w:r>
              <w:rPr>
                <w:rFonts w:ascii="Arial" w:cs="Arial" w:eastAsia="Arial" w:hAnsi="Arial"/>
                <w:sz w:val="14"/>
                <w:szCs w:val="14"/>
                <w:b w:val="1"/>
                <w:bCs w:val="1"/>
                <w:i w:val="1"/>
                <w:iCs w:val="1"/>
                <w:color w:val="auto"/>
              </w:rPr>
              <w:t>WESTERNGECO</w:t>
            </w:r>
          </w:p>
        </w:tc>
        <w:tc>
          <w:tcPr>
            <w:tcW w:w="3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3560" w:type="dxa"/>
            <w:vAlign w:val="bottom"/>
            <w:shd w:val="clear" w:color="auto" w:fill="CCEEFF"/>
          </w:tcPr>
          <w:p>
            <w:pPr>
              <w:ind w:left="342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2,122</w:t>
            </w:r>
          </w:p>
        </w:tc>
        <w:tc>
          <w:tcPr>
            <w:tcW w:w="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2,838</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w:t>
            </w:r>
          </w:p>
        </w:tc>
      </w:tr>
      <w:tr>
        <w:trPr>
          <w:trHeight w:val="174"/>
        </w:trPr>
        <w:tc>
          <w:tcPr>
            <w:tcW w:w="4780" w:type="dxa"/>
            <w:vAlign w:val="bottom"/>
          </w:tcPr>
          <w:p>
            <w:pPr>
              <w:spacing w:after="0"/>
              <w:rPr>
                <w:sz w:val="20"/>
                <w:szCs w:val="20"/>
                <w:color w:val="auto"/>
              </w:rPr>
            </w:pPr>
            <w:r>
              <w:rPr>
                <w:rFonts w:ascii="Arial" w:cs="Arial" w:eastAsia="Arial" w:hAnsi="Arial"/>
                <w:sz w:val="14"/>
                <w:szCs w:val="14"/>
                <w:color w:val="auto"/>
              </w:rPr>
              <w:t>Pretax Operating Income</w:t>
            </w:r>
          </w:p>
        </w:tc>
        <w:tc>
          <w:tcPr>
            <w:tcW w:w="3560" w:type="dxa"/>
            <w:vAlign w:val="bottom"/>
          </w:tcPr>
          <w:p>
            <w:pPr>
              <w:ind w:left="342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326</w:t>
            </w:r>
          </w:p>
        </w:tc>
        <w:tc>
          <w:tcPr>
            <w:tcW w:w="440" w:type="dxa"/>
            <w:vAlign w:val="bottom"/>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836</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72"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Full-year 2009 revenue of $20.52 billion declined 16% versus 2008. Lower natural gas prices and unfavorable market fundamentals resulted in a 37% decline in North America revenue, primarily in the US Land and Canada GeoMarkets. Europe/CIS/Africa revenue decreased 13% mainly due to the weakening of local currencies against the US dollar and reduced activity in the Russia, North Sea, West &amp; South Africa and Caspian GeoMarkets as well as in Framo, which was partially offset by increased activity in the North Africa GeoMarket. Middle East &amp; Asia revenue also fell by 9% primarily due to decreases in the East Asia, East Mediterranean, Arabian and Australia/Papua New Guinea GeoMarkets. Latin America revenue was only marginally lower than last year as the impact of the weakening of local currencies against the US dollar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much lower activity in Venezuela/Trinidad &amp; Tobago and Peru/Colombia/Ecuador were nearly offset by stronger activity in Mexico/Central America and Brazil. Weakening of local currencies against the US dollar reduced 2009 revenue by approximately 4%. Across the Areas, all of the Technologies recorded revenue declines except Testing Services. IPM recorded revenue growth compared to the same period last year.</w:t>
      </w:r>
    </w:p>
    <w:p>
      <w:pPr>
        <w:ind w:right="160" w:firstLine="228"/>
        <w:spacing w:after="0" w:line="261" w:lineRule="auto"/>
        <w:rPr>
          <w:sz w:val="20"/>
          <w:szCs w:val="20"/>
          <w:color w:val="auto"/>
        </w:rPr>
      </w:pPr>
      <w:r>
        <w:rPr>
          <w:rFonts w:ascii="Arial" w:cs="Arial" w:eastAsia="Arial" w:hAnsi="Arial"/>
          <w:sz w:val="18"/>
          <w:szCs w:val="18"/>
          <w:color w:val="auto"/>
        </w:rPr>
        <w:t>Full-year 2009 pretax operating margin decreased 5.7 percentage points to 21.1%, on the significant drop in activity and pricing pressure experienced across all the Areas, but most notably in North America.</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Revenue of $3.71 billion was 37% lower than last year with reductions across the entire Area. The decreases were highest in US Land and Canada, where lower natural gas prices resulted in a steep drop in activity and consequent pressure on pricing. Canada revenue was also lower as the result of the weakening of the Canadian dollar against the US dollar. Revenue in the US Gulf of Mexico GeoMarket was severely impacted by weaker shelf drilling activity and strong pricing pressure.</w:t>
      </w:r>
    </w:p>
    <w:p>
      <w:pPr>
        <w:spacing w:after="0" w:line="1" w:lineRule="exact"/>
        <w:rPr>
          <w:sz w:val="20"/>
          <w:szCs w:val="20"/>
          <w:color w:val="auto"/>
        </w:rPr>
      </w:pPr>
    </w:p>
    <w:p>
      <w:pPr>
        <w:ind w:right="120" w:firstLine="228"/>
        <w:spacing w:after="0" w:line="261" w:lineRule="auto"/>
        <w:rPr>
          <w:sz w:val="20"/>
          <w:szCs w:val="20"/>
          <w:color w:val="auto"/>
        </w:rPr>
      </w:pPr>
      <w:r>
        <w:rPr>
          <w:rFonts w:ascii="Arial" w:cs="Arial" w:eastAsia="Arial" w:hAnsi="Arial"/>
          <w:sz w:val="18"/>
          <w:szCs w:val="18"/>
          <w:color w:val="auto"/>
        </w:rPr>
        <w:t>Pretax operating margin fell 17.3 percentage points to 5.8% due to the significant decline in activity levels across the Area, combined with the severe pricing erosion.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$4.22 billion was marginally lower compared to 2008. The weakening of local currencies against the US dollar reduced 2009 revenue by approximately 3%. In addition, Venezuela/Trinidad &amp; Tobago revenue fell due to significantly reduced customer spending while Peru/Colombia/Ecuador revenue was lower due to reduced gain share in IPM projects. These decreases were mostly offset by higher IPM activity in Mexico/Central America and increased offshore activity in Brazil.</w:t>
      </w:r>
    </w:p>
    <w:p>
      <w:pPr>
        <w:spacing w:after="0" w:line="1"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Pretax operating margin decreased 245 bps to 17.8% primarily as the result of the sharp activity decline in Venezuela/Trinidad &amp; Tobago and the lower gain share in Peru/Colombia/Ecuador.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7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Revenue of $7.15 billion was 13% lower than last year largely due to the weakening of local currencies against the US dollar, which reduced revenue by approximately 7%. In addition, revenue was negatively impacted by reduced customer spending that resulted in significantly lower activity and pricing erosion in Russia and the North Sea. Revenue in the West &amp; South Africa and Caspian GeoMarkets and in Framo was also negatively impacted by lower activity levels. These decreases were partially offset by a revenue increase in the North Africa GeoMarket due to strong Testing Services product sales.</w:t>
      </w:r>
    </w:p>
    <w:p>
      <w:pPr>
        <w:spacing w:after="0" w:line="3" w:lineRule="exact"/>
        <w:rPr>
          <w:sz w:val="20"/>
          <w:szCs w:val="20"/>
          <w:color w:val="auto"/>
        </w:rPr>
      </w:pPr>
    </w:p>
    <w:p>
      <w:pPr>
        <w:ind w:right="1120" w:firstLine="228"/>
        <w:spacing w:after="0" w:line="364" w:lineRule="auto"/>
        <w:rPr>
          <w:sz w:val="20"/>
          <w:szCs w:val="20"/>
          <w:color w:val="auto"/>
        </w:rPr>
      </w:pPr>
      <w:r>
        <w:rPr>
          <w:rFonts w:ascii="Arial" w:cs="Arial" w:eastAsia="Arial" w:hAnsi="Arial"/>
          <w:sz w:val="18"/>
          <w:szCs w:val="18"/>
          <w:color w:val="auto"/>
        </w:rPr>
        <w:t xml:space="preserve">Pretax operating margins declined 357 bps to 23.9% on a combination of the overall lower activity and heavy pricing pressure across the Area. </w:t>
      </w:r>
      <w:r>
        <w:rPr>
          <w:rFonts w:ascii="Arial" w:cs="Arial" w:eastAsia="Arial" w:hAnsi="Arial"/>
          <w:sz w:val="18"/>
          <w:szCs w:val="18"/>
          <w:b w:val="1"/>
          <w:bCs w:val="1"/>
          <w:color w:val="auto"/>
        </w:rPr>
        <w:t>Middle East &amp; Asia</w:t>
      </w:r>
    </w:p>
    <w:p>
      <w:pPr>
        <w:spacing w:after="0" w:line="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Revenue of $5.23 billion was 9% below 2008. Revenue was down across much of the Middle East, especially in the East Mediterranean and Arabian GeoMarkets, due to reduced demand for Drilling &amp; Measurements, Wireline and Testing Services technologies. Revenue in Asia also fell, primarily due to a decrease in offshore exploration activity, which was most significant in the East Asia and Australia/Papua New Guinea GeoMarkets, resulting in lower demand for Testing Services and Wireline technologies as well as Completion Systems products.</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Pretax operating margin decreased 268 bps to 32.4% primarily as a result of the lower overall activity and a less favorable revenue mix across the Area.</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7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Full-year revenue of $2.12 billion was 25% lower than 2008. Revenue decreased across all product lines, with the largest declines experienced in Marine and Multiclient. Marine revenue declined due to lower activity combined with reduced pricing as the result of weak market conditions. Multiclient revenue decreased primarily in North America, as customers continued to reduce discretionary spending. Land revenue fell on lower crew utilization, while Data Processing revenue was down reflecting lower activity primarily in Europe/Africa and in North America.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Pretax margin decreased 14.1 percentage points to 15.4% primarily due to the weaker Marine activity and pricing as well as lower Multiclient sales.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backlog was $1.0 billion at December 31, 2009, compared to $1.8 billion at December 31, 2008.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2008 Results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31"/>
        </w:trPr>
        <w:tc>
          <w:tcPr>
            <w:tcW w:w="4840" w:type="dxa"/>
            <w:vAlign w:val="bottom"/>
            <w:tcBorders>
              <w:top w:val="single" w:sz="8" w:color="auto"/>
            </w:tcBorders>
          </w:tcPr>
          <w:p>
            <w:pPr>
              <w:spacing w:after="0"/>
              <w:rPr>
                <w:sz w:val="11"/>
                <w:szCs w:val="11"/>
                <w:color w:val="auto"/>
              </w:rPr>
            </w:pPr>
          </w:p>
        </w:tc>
        <w:tc>
          <w:tcPr>
            <w:tcW w:w="4320" w:type="dxa"/>
            <w:vAlign w:val="bottom"/>
            <w:tcBorders>
              <w:top w:val="single" w:sz="8" w:color="auto"/>
            </w:tcBorders>
            <w:gridSpan w:val="2"/>
          </w:tcPr>
          <w:p>
            <w:pPr>
              <w:ind w:left="3460"/>
              <w:spacing w:after="0" w:line="131" w:lineRule="exact"/>
              <w:rPr>
                <w:sz w:val="20"/>
                <w:szCs w:val="20"/>
                <w:color w:val="auto"/>
              </w:rPr>
            </w:pPr>
            <w:r>
              <w:rPr>
                <w:rFonts w:ascii="Arial" w:cs="Arial" w:eastAsia="Arial" w:hAnsi="Arial"/>
                <w:sz w:val="14"/>
                <w:szCs w:val="14"/>
                <w:color w:val="auto"/>
              </w:rPr>
              <w:t>Total Year</w:t>
            </w:r>
          </w:p>
        </w:tc>
        <w:tc>
          <w:tcPr>
            <w:tcW w:w="1180" w:type="dxa"/>
            <w:vAlign w:val="bottom"/>
            <w:tcBorders>
              <w:top w:val="single" w:sz="8" w:color="auto"/>
            </w:tcBorders>
            <w:gridSpan w:val="2"/>
          </w:tcPr>
          <w:p>
            <w:pPr>
              <w:ind w:left="320"/>
              <w:spacing w:after="0" w:line="131" w:lineRule="exact"/>
              <w:rPr>
                <w:sz w:val="20"/>
                <w:szCs w:val="20"/>
                <w:color w:val="auto"/>
              </w:rPr>
            </w:pPr>
            <w:r>
              <w:rPr>
                <w:rFonts w:ascii="Arial" w:cs="Arial" w:eastAsia="Arial" w:hAnsi="Arial"/>
                <w:sz w:val="14"/>
                <w:szCs w:val="14"/>
                <w:color w:val="auto"/>
              </w:rPr>
              <w:t>Total Year</w:t>
            </w:r>
          </w:p>
        </w:tc>
        <w:tc>
          <w:tcPr>
            <w:tcW w:w="1080" w:type="dxa"/>
            <w:vAlign w:val="bottom"/>
            <w:tcBorders>
              <w:top w:val="single" w:sz="8" w:color="auto"/>
            </w:tcBorders>
          </w:tcPr>
          <w:p>
            <w:pPr>
              <w:spacing w:after="0"/>
              <w:rPr>
                <w:sz w:val="11"/>
                <w:szCs w:val="11"/>
                <w:color w:val="auto"/>
              </w:rPr>
            </w:pPr>
          </w:p>
        </w:tc>
      </w:tr>
      <w:tr>
        <w:trPr>
          <w:trHeight w:val="159"/>
        </w:trPr>
        <w:tc>
          <w:tcPr>
            <w:tcW w:w="48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74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2008</w:t>
            </w:r>
          </w:p>
        </w:tc>
        <w:tc>
          <w:tcPr>
            <w:tcW w:w="440" w:type="dxa"/>
            <w:vAlign w:val="bottom"/>
          </w:tcPr>
          <w:p>
            <w:pPr>
              <w:spacing w:after="0"/>
              <w:rPr>
                <w:sz w:val="13"/>
                <w:szCs w:val="13"/>
                <w:color w:val="auto"/>
              </w:rPr>
            </w:pPr>
          </w:p>
        </w:tc>
        <w:tc>
          <w:tcPr>
            <w:tcW w:w="740" w:type="dxa"/>
            <w:vAlign w:val="bottom"/>
          </w:tcPr>
          <w:p>
            <w:pPr>
              <w:jc w:val="right"/>
              <w:ind w:right="252"/>
              <w:spacing w:after="0" w:line="159" w:lineRule="exact"/>
              <w:rPr>
                <w:sz w:val="20"/>
                <w:szCs w:val="20"/>
                <w:color w:val="auto"/>
              </w:rPr>
            </w:pPr>
            <w:r>
              <w:rPr>
                <w:rFonts w:ascii="Arial" w:cs="Arial" w:eastAsia="Arial" w:hAnsi="Arial"/>
                <w:sz w:val="14"/>
                <w:szCs w:val="14"/>
                <w:color w:val="auto"/>
              </w:rPr>
              <w:t>2007</w:t>
            </w:r>
          </w:p>
        </w:tc>
        <w:tc>
          <w:tcPr>
            <w:tcW w:w="108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 Change</w:t>
            </w: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3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3580" w:type="dxa"/>
            <w:vAlign w:val="bottom"/>
          </w:tcPr>
          <w:p>
            <w:pPr>
              <w:ind w:left="34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7"/>
              </w:rPr>
              <w:t>24,282</w:t>
            </w:r>
          </w:p>
        </w:tc>
        <w:tc>
          <w:tcPr>
            <w:tcW w:w="4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3"/>
              </w:rPr>
              <w:t>20,306</w:t>
            </w: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w:t>
            </w: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Operating Income</w:t>
            </w:r>
          </w:p>
        </w:tc>
        <w:tc>
          <w:tcPr>
            <w:tcW w:w="3580" w:type="dxa"/>
            <w:vAlign w:val="bottom"/>
            <w:shd w:val="clear" w:color="auto" w:fill="CCEEFF"/>
          </w:tcPr>
          <w:p>
            <w:pPr>
              <w:ind w:left="34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6,505</w:t>
            </w:r>
          </w:p>
        </w:tc>
        <w:tc>
          <w:tcPr>
            <w:tcW w:w="4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5,959</w:t>
            </w:r>
          </w:p>
        </w:tc>
        <w:tc>
          <w:tcPr>
            <w:tcW w:w="10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w:t>
            </w:r>
          </w:p>
        </w:tc>
      </w:tr>
      <w:tr>
        <w:trPr>
          <w:trHeight w:val="257"/>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WESTERNGECO</w:t>
            </w:r>
          </w:p>
        </w:tc>
        <w:tc>
          <w:tcPr>
            <w:tcW w:w="3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3580" w:type="dxa"/>
            <w:vAlign w:val="bottom"/>
            <w:shd w:val="clear" w:color="auto" w:fill="CCEEFF"/>
          </w:tcPr>
          <w:p>
            <w:pPr>
              <w:ind w:left="34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2,838</w:t>
            </w:r>
          </w:p>
        </w:tc>
        <w:tc>
          <w:tcPr>
            <w:tcW w:w="4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2,963</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r>
      <w:tr>
        <w:trPr>
          <w:trHeight w:val="172"/>
        </w:trPr>
        <w:tc>
          <w:tcPr>
            <w:tcW w:w="4840" w:type="dxa"/>
            <w:vAlign w:val="bottom"/>
          </w:tcPr>
          <w:p>
            <w:pPr>
              <w:spacing w:after="0"/>
              <w:rPr>
                <w:sz w:val="20"/>
                <w:szCs w:val="20"/>
                <w:color w:val="auto"/>
              </w:rPr>
            </w:pPr>
            <w:r>
              <w:rPr>
                <w:rFonts w:ascii="Arial" w:cs="Arial" w:eastAsia="Arial" w:hAnsi="Arial"/>
                <w:sz w:val="14"/>
                <w:szCs w:val="14"/>
                <w:color w:val="auto"/>
              </w:rPr>
              <w:t>Pretax Operating Income</w:t>
            </w:r>
          </w:p>
        </w:tc>
        <w:tc>
          <w:tcPr>
            <w:tcW w:w="3580" w:type="dxa"/>
            <w:vAlign w:val="bottom"/>
          </w:tcPr>
          <w:p>
            <w:pPr>
              <w:ind w:left="34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836</w:t>
            </w:r>
          </w:p>
        </w:tc>
        <w:tc>
          <w:tcPr>
            <w:tcW w:w="440" w:type="dxa"/>
            <w:vAlign w:val="bottom"/>
          </w:tcPr>
          <w:p>
            <w:pPr>
              <w:ind w:lef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1,060</w:t>
            </w: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7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Full-year 2008 revenue of $24.28 billion increased 20% versus 2007 driven by Area growth of 28% in Latin America, 24% in Europe/CIS/Africa, 18% in Middle East &amp; Asia and 11% in North America. All Technologies experienced double-digit growth, most notably in Well Services, Drilling &amp; Measurements and Wireline.</w:t>
      </w:r>
    </w:p>
    <w:p>
      <w:pPr>
        <w:ind w:right="340" w:firstLine="228"/>
        <w:spacing w:after="0" w:line="255" w:lineRule="auto"/>
        <w:rPr>
          <w:sz w:val="20"/>
          <w:szCs w:val="20"/>
          <w:color w:val="auto"/>
        </w:rPr>
      </w:pPr>
      <w:r>
        <w:rPr>
          <w:rFonts w:ascii="Arial" w:cs="Arial" w:eastAsia="Arial" w:hAnsi="Arial"/>
          <w:sz w:val="18"/>
          <w:szCs w:val="18"/>
          <w:color w:val="auto"/>
        </w:rPr>
        <w:t>Pretax operating income of $6.50 billion in 2008 was 9% higher than 2007. However, pretax operating margin declined 256 bps to 26.8% primarily due to reduced pricing for well stimulation services in the US land GeoMarkets, a higher mix of low-margin third-party managed services in the Mexico/Central America GeoMarket and cost inflation across all Areas.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Revenue of $5.91 billion grew 11% versus 2007. Growth was led by the US land West GeoMarket mostly due to increased gas shale activity that resulted in robust demand for Well Services and Drilling &amp; Measurements technologies and by the US land Central GeoMarket on higher rig activity and strong Artificial Lift product sales. The Canada GeoMarket revenue was higher from demand for Well Services and Drilling &amp; Measurements technologies while the US Gulf of Mexico GeoMarket grew on increased deepwater activity the resulted in strong demand for Drilling &amp; Measurements and Wireline services in addition to Completion Systems products.</w:t>
      </w:r>
    </w:p>
    <w:p>
      <w:pPr>
        <w:ind w:right="100" w:firstLine="228"/>
        <w:spacing w:after="0" w:line="261" w:lineRule="auto"/>
        <w:rPr>
          <w:sz w:val="20"/>
          <w:szCs w:val="20"/>
          <w:color w:val="auto"/>
        </w:rPr>
      </w:pPr>
      <w:r>
        <w:rPr>
          <w:rFonts w:ascii="Arial" w:cs="Arial" w:eastAsia="Arial" w:hAnsi="Arial"/>
          <w:sz w:val="18"/>
          <w:szCs w:val="18"/>
          <w:color w:val="auto"/>
        </w:rPr>
        <w:t>Pretax operating margin decreased 557 bps to 23.2% primarily as the result of lower pricing for well stimulation services in the US land GeoMarkets and cost inflation across the Area.</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of $4.23 billion was 28% higher than 2007 on double-digit growth across all GeoMarkets. The Mexico/Central America GeoMarket increased on significantly higher IPM activity while the Peru/Colombia/Ecuador GeoMarket also experienced increased IPM activity in addition to robust demand for Wireline services and for Artificial Lift products and SIS software. The Brazil GeoMarket grew on higher offshore activity that resulted in stronger demand for Well Testing, Wireline and Well Services technologies. The Venezuela/Trinidad and Tobago GeoMarket experienced increased demand for Wireline, Drilling &amp; Measurements and Well Services activities.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940" w:firstLine="228"/>
        <w:spacing w:after="0" w:line="268" w:lineRule="auto"/>
        <w:rPr>
          <w:sz w:val="20"/>
          <w:szCs w:val="20"/>
          <w:color w:val="auto"/>
        </w:rPr>
      </w:pPr>
      <w:r>
        <w:rPr>
          <w:rFonts w:ascii="Arial" w:cs="Arial" w:eastAsia="Arial" w:hAnsi="Arial"/>
          <w:sz w:val="18"/>
          <w:szCs w:val="18"/>
          <w:color w:val="auto"/>
        </w:rPr>
        <w:t>Pretax operating margin of 20.3% declined 262 bps versus 2007 as a result of an increased mix of low-margin third-party managed services in the Mexico/Central America GeoMarket and cost inflation across the Area.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74"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Revenue of $8.18 billion increased 24% versus the same period last year. Growth was led by Russia which experienced strong demand for Wireline, Well Services and Drilling &amp; Measurements technologies. The West &amp; South Africa, North Sea and Caspian GeoMarkets grew on increased exploration-related services as well as strong demand for Well Services technologies. The Continental Europe GeoMarket was higher due to strong drilling-related activities and demand for SIS offerings. The consolidation of Framo also contributed to the increase.</w:t>
      </w:r>
    </w:p>
    <w:p>
      <w:pPr>
        <w:spacing w:after="0" w:line="3"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Pretax operating margin decreased 112 bps to 27.4% primarily as a result of reduced pricing in the Libya GeoMarket and a less favorable revenue mix in the Nigeria &amp; Gulf of Guinea GeoMarket and Russia. The consolidation of Framo also reduced total Area margin.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Revenue of $5.72 billion was 18% higher than the prior year. All GeoMarkets experienced growth, most notably in the Arabian, Australia/Papua New Guinea/New Zealand, Gulf, and East Mediterranean GeoMarkets. Among the Technologies, growth was strongest in Wireline, Drilling &amp; Measurements, Well Services and Well Testing.</w:t>
      </w:r>
    </w:p>
    <w:p>
      <w:pPr>
        <w:ind w:right="1760" w:firstLine="228"/>
        <w:spacing w:after="0" w:line="364" w:lineRule="auto"/>
        <w:rPr>
          <w:sz w:val="20"/>
          <w:szCs w:val="20"/>
          <w:color w:val="auto"/>
        </w:rPr>
      </w:pPr>
      <w:r>
        <w:rPr>
          <w:rFonts w:ascii="Arial" w:cs="Arial" w:eastAsia="Arial" w:hAnsi="Arial"/>
          <w:sz w:val="18"/>
          <w:szCs w:val="18"/>
          <w:color w:val="auto"/>
        </w:rPr>
        <w:t xml:space="preserve">Pretax operating margin was nearly flat at 35.0% as the positive impact of the higher overall activity level was offset by cost inflation. </w:t>
      </w:r>
      <w:r>
        <w:rPr>
          <w:rFonts w:ascii="Arial" w:cs="Arial" w:eastAsia="Arial" w:hAnsi="Arial"/>
          <w:sz w:val="18"/>
          <w:szCs w:val="18"/>
          <w:b w:val="1"/>
          <w:bCs w:val="1"/>
          <w:i w:val="1"/>
          <w:iCs w:val="1"/>
          <w:color w:val="auto"/>
        </w:rPr>
        <w:t>WesternGeco</w:t>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Full-year 2008 revenue of $2.84 billion was 4% lower than 2007. Multiclient revenue was down primarily as the result of significantly lower client discretionary spending in the fourth quarter of 2008, while Land decreased on lower crew utilization. These decreases were partially offset by increases in Marine, as a result of additional vessel capacity and higher pricing, and in Data Processing, which experienced a growth in activity in all geographic areas.</w:t>
      </w:r>
    </w:p>
    <w:p>
      <w:pPr>
        <w:spacing w:after="0" w:line="1"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Pretax operating margin of 29.5% decreased 634 bps due to significantly lower Multiclient sales, reduced Land activity and cost inflation that affected Marine operations.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backlog was $1.8 billion at December 31, 2008, compared to $1.2 billion at December 31,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consisted of the following: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20" w:type="dxa"/>
            <w:vAlign w:val="bottom"/>
            <w:tcBorders>
              <w:top w:val="single" w:sz="8" w:color="auto"/>
            </w:tcBorders>
          </w:tcPr>
          <w:p>
            <w:pPr>
              <w:spacing w:after="0"/>
              <w:rPr>
                <w:sz w:val="12"/>
                <w:szCs w:val="12"/>
                <w:color w:val="auto"/>
              </w:rPr>
            </w:pPr>
          </w:p>
        </w:tc>
        <w:tc>
          <w:tcPr>
            <w:tcW w:w="9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7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2008</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49"/>
        </w:trPr>
        <w:tc>
          <w:tcPr>
            <w:tcW w:w="9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w:t>
            </w:r>
          </w:p>
        </w:tc>
        <w:tc>
          <w:tcPr>
            <w:tcW w:w="1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40" w:type="dxa"/>
            <w:vAlign w:val="bottom"/>
            <w:gridSpan w:val="2"/>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209</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293</w:t>
            </w:r>
          </w:p>
        </w:tc>
        <w:tc>
          <w:tcPr>
            <w:tcW w:w="180" w:type="dxa"/>
            <w:vAlign w:val="bottom"/>
          </w:tcPr>
          <w:p>
            <w:pPr>
              <w:spacing w:after="0"/>
              <w:rPr>
                <w:sz w:val="12"/>
                <w:szCs w:val="12"/>
                <w:color w:val="auto"/>
              </w:rPr>
            </w:pPr>
          </w:p>
        </w:tc>
        <w:tc>
          <w:tcPr>
            <w:tcW w:w="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Other</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 w:type="dxa"/>
            <w:vAlign w:val="bottom"/>
            <w:tcBorders>
              <w:bottom w:val="single" w:sz="8" w:color="808080"/>
            </w:tcBorders>
          </w:tcPr>
          <w:p>
            <w:pPr>
              <w:spacing w:after="0"/>
              <w:rPr>
                <w:sz w:val="9"/>
                <w:szCs w:val="9"/>
                <w:color w:val="auto"/>
              </w:rPr>
            </w:pPr>
          </w:p>
        </w:tc>
        <w:tc>
          <w:tcPr>
            <w:tcW w:w="9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2"/>
                <w:szCs w:val="12"/>
                <w:color w:val="auto"/>
              </w:rPr>
            </w:pPr>
          </w:p>
        </w:tc>
        <w:tc>
          <w:tcPr>
            <w:tcW w:w="95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273</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$402</w:t>
            </w:r>
          </w:p>
        </w:tc>
        <w:tc>
          <w:tcPr>
            <w:tcW w:w="1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vMerge w:val="restart"/>
          </w:tcPr>
          <w:p>
            <w:pPr>
              <w:spacing w:after="0"/>
              <w:rPr>
                <w:sz w:val="20"/>
                <w:szCs w:val="20"/>
                <w:color w:val="auto"/>
              </w:rPr>
            </w:pPr>
            <w:r>
              <w:rPr>
                <w:rFonts w:ascii="Arial" w:cs="Arial" w:eastAsia="Arial" w:hAnsi="Arial"/>
                <w:sz w:val="11"/>
                <w:szCs w:val="11"/>
                <w:color w:val="auto"/>
              </w:rPr>
              <w:t>1.</w:t>
            </w:r>
          </w:p>
        </w:tc>
        <w:tc>
          <w:tcPr>
            <w:tcW w:w="9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20" w:type="dxa"/>
            <w:vAlign w:val="bottom"/>
            <w:vMerge w:val="continue"/>
          </w:tcPr>
          <w:p>
            <w:pPr>
              <w:spacing w:after="0"/>
              <w:rPr>
                <w:sz w:val="22"/>
                <w:szCs w:val="22"/>
                <w:color w:val="auto"/>
              </w:rPr>
            </w:pPr>
          </w:p>
        </w:tc>
        <w:tc>
          <w:tcPr>
            <w:tcW w:w="9520" w:type="dxa"/>
            <w:vAlign w:val="bottom"/>
            <w:vMerge w:val="restart"/>
          </w:tcPr>
          <w:p>
            <w:pPr>
              <w:ind w:left="120"/>
              <w:spacing w:after="0"/>
              <w:rPr>
                <w:sz w:val="20"/>
                <w:szCs w:val="20"/>
                <w:color w:val="auto"/>
              </w:rPr>
            </w:pPr>
            <w:r>
              <w:rPr>
                <w:rFonts w:ascii="Arial" w:cs="Arial" w:eastAsia="Arial" w:hAnsi="Arial"/>
                <w:sz w:val="14"/>
                <w:szCs w:val="14"/>
                <w:color w:val="auto"/>
              </w:rPr>
              <w:t xml:space="preserve">Refer to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xml:space="preserve"> for details.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
        </w:trPr>
        <w:tc>
          <w:tcPr>
            <w:tcW w:w="220" w:type="dxa"/>
            <w:vAlign w:val="bottom"/>
          </w:tcPr>
          <w:p>
            <w:pPr>
              <w:spacing w:after="0"/>
              <w:rPr>
                <w:sz w:val="6"/>
                <w:szCs w:val="6"/>
                <w:color w:val="auto"/>
              </w:rPr>
            </w:pPr>
          </w:p>
        </w:tc>
        <w:tc>
          <w:tcPr>
            <w:tcW w:w="9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-241300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-241300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-241300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-241300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-241300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-241300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-241300</wp:posOffset>
            </wp:positionV>
            <wp:extent cx="17589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5895" cy="2984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7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average return on investments decreased to 1.4% in 2009 from 3.5% in 2008 and the weighted average investment balance of $4.5 billion in 2009 increased $1.1 billion compared to 2008.</w:t>
      </w:r>
    </w:p>
    <w:p>
      <w:pPr>
        <w:ind w:right="640" w:firstLine="228"/>
        <w:spacing w:after="0" w:line="261" w:lineRule="auto"/>
        <w:rPr>
          <w:sz w:val="20"/>
          <w:szCs w:val="20"/>
          <w:color w:val="auto"/>
        </w:rPr>
      </w:pPr>
      <w:r>
        <w:rPr>
          <w:rFonts w:ascii="Arial" w:cs="Arial" w:eastAsia="Arial" w:hAnsi="Arial"/>
          <w:sz w:val="18"/>
          <w:szCs w:val="18"/>
          <w:color w:val="auto"/>
        </w:rPr>
        <w:t>The average return on investments decreased to 3.5% in 2008 from 5.2% in 2007 and the weighted average investment balance of $3.4 billion in 2008 increased $286 million compared to 2007.</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Net Earnings of Affiliated Companies</w:t>
      </w:r>
    </w:p>
    <w:p>
      <w:pPr>
        <w:spacing w:after="0" w:line="7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equity in net earnings of affiliated companies primarily represents Schlumberger’s share of the results of its 40% interest in the M-I SWACO drilling fluids joint venture with Smith International, Inc. Schlumberger’s equity income from this joint venture was $131 million in 2009, $210 million in 2008 and $178 million in 2007. The decrease in equity income relating to this joint venture from 2008 to 2009 was attributable to a significant decline in M-I SWACO activity levels, primarily in its United States and Europe/Africa regions, as well as increased pricing pressures.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Interest expense of $221 million in 2009 decreased by $26 million compared to 2008 due to a decline in the weighted average borrowing rates, from 4.5% to 3.9%. The weighted average debt balance of $5.6 billion in 2009 increased $148 million compared to 2008</w:t>
      </w:r>
      <w:r>
        <w:rPr>
          <w:rFonts w:ascii="Arial" w:cs="Arial" w:eastAsia="Arial" w:hAnsi="Arial"/>
          <w:sz w:val="18"/>
          <w:szCs w:val="18"/>
          <w:i w:val="1"/>
          <w:iCs w:val="1"/>
          <w:color w:val="auto"/>
        </w:rPr>
        <w:t>.</w:t>
      </w:r>
    </w:p>
    <w:p>
      <w:pPr>
        <w:ind w:right="180" w:firstLine="228"/>
        <w:spacing w:after="0" w:line="261" w:lineRule="auto"/>
        <w:rPr>
          <w:sz w:val="20"/>
          <w:szCs w:val="20"/>
          <w:color w:val="auto"/>
        </w:rPr>
      </w:pPr>
      <w:r>
        <w:rPr>
          <w:rFonts w:ascii="Arial" w:cs="Arial" w:eastAsia="Arial" w:hAnsi="Arial"/>
          <w:sz w:val="18"/>
          <w:szCs w:val="18"/>
          <w:color w:val="auto"/>
        </w:rPr>
        <w:t>Interest expense of $247 million in 2008 decreased by $28 million compared to 2007 due to a decline in the weighted average borrowing rates, from 5.0% to 4.5%. The weighted average debt balance of $5.5 billion in 2008 was essentially flat compared to 2007</w:t>
      </w:r>
      <w:r>
        <w:rPr>
          <w:rFonts w:ascii="Arial" w:cs="Arial" w:eastAsia="Arial" w:hAnsi="Arial"/>
          <w:sz w:val="18"/>
          <w:szCs w:val="18"/>
          <w:i w:val="1"/>
          <w:i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Gross margin was 23.4%, 30.2% and 33.5% in 2009, 2008 and 2007, respectively.</w:t>
      </w:r>
    </w:p>
    <w:p>
      <w:pPr>
        <w:spacing w:after="0" w:line="15"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The decline in gross margin in 2009 compared to 2008 was primarily attributable to lower activity coupled with the impact of a significant reduction in pricing across all of Oilfield Services, most notably in North America and Europe/CIS/Africa. Weaker Marine activity and pricing and reduced Multiclient sales in WesternGeco also contributed to the margin decline.</w:t>
      </w:r>
    </w:p>
    <w:p>
      <w:pPr>
        <w:spacing w:after="0" w:line="1" w:lineRule="exact"/>
        <w:rPr>
          <w:sz w:val="20"/>
          <w:szCs w:val="20"/>
          <w:color w:val="auto"/>
        </w:rPr>
      </w:pPr>
    </w:p>
    <w:p>
      <w:pPr>
        <w:jc w:val="both"/>
        <w:ind w:right="220" w:firstLine="228"/>
        <w:spacing w:after="0" w:line="281" w:lineRule="auto"/>
        <w:rPr>
          <w:sz w:val="20"/>
          <w:szCs w:val="20"/>
          <w:color w:val="auto"/>
        </w:rPr>
      </w:pPr>
      <w:r>
        <w:rPr>
          <w:rFonts w:ascii="Arial" w:cs="Arial" w:eastAsia="Arial" w:hAnsi="Arial"/>
          <w:sz w:val="16"/>
          <w:szCs w:val="16"/>
          <w:color w:val="auto"/>
        </w:rPr>
        <w:t>The decline in gross margin percentage in 2008, compared to 2007, was primarily attributable to the following factors: reduced pricing for well stimulation services in the US Land GeoMarkets, a higher mix of low-margin third-party managed services in the Mexico/Central America GeoMarket, significantly lower Multiclient sales in WesternGeco and the impact of cost inflation across all Areas within Oilfield Services as well as the Marine operations of WesternGeco.</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Research &amp; engineering, Marketing and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6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2009</w:t>
            </w:r>
          </w:p>
        </w:tc>
        <w:tc>
          <w:tcPr>
            <w:tcW w:w="840" w:type="dxa"/>
            <w:vAlign w:val="bottom"/>
          </w:tcPr>
          <w:p>
            <w:pPr>
              <w:jc w:val="right"/>
              <w:ind w:right="272"/>
              <w:spacing w:after="0"/>
              <w:rPr>
                <w:sz w:val="20"/>
                <w:szCs w:val="20"/>
                <w:color w:val="auto"/>
              </w:rPr>
            </w:pPr>
            <w:r>
              <w:rPr>
                <w:rFonts w:ascii="Arial" w:cs="Arial" w:eastAsia="Arial" w:hAnsi="Arial"/>
                <w:sz w:val="14"/>
                <w:szCs w:val="14"/>
                <w:color w:val="auto"/>
              </w:rPr>
              <w:t>2008</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2007</w:t>
            </w:r>
          </w:p>
        </w:tc>
      </w:tr>
      <w:tr>
        <w:trPr>
          <w:trHeight w:val="149"/>
        </w:trPr>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&amp; engineering</w:t>
            </w:r>
          </w:p>
        </w:tc>
        <w:tc>
          <w:tcPr>
            <w:tcW w:w="46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3.5%</w:t>
            </w: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46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0.4%</w:t>
            </w: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r>
      <w:tr>
        <w:trPr>
          <w:trHeight w:val="149"/>
        </w:trPr>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&amp; administrative</w:t>
            </w:r>
          </w:p>
        </w:tc>
        <w:tc>
          <w:tcPr>
            <w:tcW w:w="46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2.4%</w:t>
            </w: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Research &amp; engineering expenditures, by segment,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9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2008</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2007</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Oilfield Services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$679</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tcPr>
          <w:p>
            <w:pPr>
              <w:spacing w:after="0" w:line="149" w:lineRule="exact"/>
              <w:rPr>
                <w:sz w:val="20"/>
                <w:szCs w:val="20"/>
                <w:color w:val="auto"/>
              </w:rPr>
            </w:pPr>
            <w:r>
              <w:rPr>
                <w:rFonts w:ascii="Arial" w:cs="Arial" w:eastAsia="Arial" w:hAnsi="Arial"/>
                <w:sz w:val="14"/>
                <w:szCs w:val="14"/>
                <w:color w:val="auto"/>
              </w:rPr>
              <w:t>WesternGeco</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108</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7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$802</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7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Schlumberger effective tax rate was 19.6% in 2009, 20.9% in 2008, and 21.9% in 2007.</w:t>
      </w:r>
    </w:p>
    <w:p>
      <w:pPr>
        <w:spacing w:after="0" w:line="15" w:lineRule="exact"/>
        <w:rPr>
          <w:sz w:val="20"/>
          <w:szCs w:val="20"/>
          <w:color w:val="auto"/>
        </w:rPr>
      </w:pPr>
    </w:p>
    <w:p>
      <w:pPr>
        <w:ind w:right="280" w:firstLine="228"/>
        <w:spacing w:after="0" w:line="255" w:lineRule="auto"/>
        <w:rPr>
          <w:sz w:val="20"/>
          <w:szCs w:val="20"/>
          <w:color w:val="auto"/>
        </w:rPr>
      </w:pPr>
      <w:r>
        <w:rPr>
          <w:rFonts w:ascii="Arial" w:cs="Arial" w:eastAsia="Arial" w:hAnsi="Arial"/>
          <w:sz w:val="18"/>
          <w:szCs w:val="18"/>
          <w:color w:val="auto"/>
        </w:rPr>
        <w:t>The Schlumberger effective tax rate is sensitive to the geographic mix of earnings. When the percentage of pretax earnings generated outside of North America increases, the Schlumberger effective tax rate will generally decrease. Conversely, when the percentage of pretax earnings generated outside of North America decreases, the Schlumberger effective tax rate will generally increase.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jc w:val="both"/>
        <w:ind w:right="220" w:firstLine="228"/>
        <w:spacing w:after="0" w:line="259" w:lineRule="auto"/>
        <w:rPr>
          <w:sz w:val="20"/>
          <w:szCs w:val="20"/>
          <w:color w:val="auto"/>
        </w:rPr>
      </w:pPr>
      <w:r>
        <w:rPr>
          <w:rFonts w:ascii="Arial" w:cs="Arial" w:eastAsia="Arial" w:hAnsi="Arial"/>
          <w:sz w:val="18"/>
          <w:szCs w:val="18"/>
          <w:color w:val="auto"/>
        </w:rPr>
        <w:t>The decrease in the Schlumberger effective tax rate over the past two years has been primarily attributable to the geographic mix of earnings. Schlumberger has generated a lower proportion of its pretax earnings in North America in each of the last two years. In addition, outside North America, various GeoMarkets with lower tax rates have contributed a greater percentage to pretax earnings.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and Credits</w:t>
      </w:r>
    </w:p>
    <w:p>
      <w:pPr>
        <w:spacing w:after="0" w:line="7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Schlumberger recorded significant charges and credits in continuing operations during 2009, 2008 and 2007. These charges and credits, which are summarized below, are more fully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ind w:left="240"/>
        <w:spacing w:after="0"/>
        <w:rPr>
          <w:sz w:val="20"/>
          <w:szCs w:val="20"/>
          <w:color w:val="auto"/>
        </w:rPr>
      </w:pPr>
      <w:r>
        <w:rPr>
          <w:rFonts w:ascii="Arial" w:cs="Arial" w:eastAsia="Arial" w:hAnsi="Arial"/>
          <w:sz w:val="18"/>
          <w:szCs w:val="18"/>
          <w:color w:val="auto"/>
        </w:rPr>
        <w:t>The following is a summary of the 2009 charges: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4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Non-</w:t>
            </w: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960" w:type="dxa"/>
            <w:vAlign w:val="bottom"/>
            <w:tcBorders>
              <w:top w:val="single" w:sz="8" w:color="auto"/>
            </w:tcBorders>
          </w:tcPr>
          <w:p>
            <w:pPr>
              <w:spacing w:after="0"/>
              <w:rPr>
                <w:sz w:val="11"/>
                <w:szCs w:val="11"/>
                <w:color w:val="auto"/>
              </w:rPr>
            </w:pPr>
          </w:p>
        </w:tc>
      </w:tr>
      <w:tr>
        <w:trPr>
          <w:trHeight w:val="149"/>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controlling</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r>
      <w:tr>
        <w:trPr>
          <w:trHeight w:val="175"/>
        </w:trPr>
        <w:tc>
          <w:tcPr>
            <w:tcW w:w="4380" w:type="dxa"/>
            <w:vAlign w:val="bottom"/>
          </w:tcPr>
          <w:p>
            <w:pPr>
              <w:spacing w:after="0"/>
              <w:rPr>
                <w:sz w:val="15"/>
                <w:szCs w:val="15"/>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8"/>
              </w:rPr>
              <w:t>Pretax</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5"/>
                <w:szCs w:val="15"/>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Interests</w:t>
            </w: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w w:val="79"/>
              </w:rPr>
              <w:t>Net</w:t>
            </w:r>
          </w:p>
        </w:tc>
        <w:tc>
          <w:tcPr>
            <w:tcW w:w="20" w:type="dxa"/>
            <w:vAlign w:val="bottom"/>
          </w:tcPr>
          <w:p>
            <w:pPr>
              <w:spacing w:after="0"/>
              <w:rPr>
                <w:sz w:val="15"/>
                <w:szCs w:val="15"/>
                <w:color w:val="auto"/>
              </w:rPr>
            </w:pPr>
          </w:p>
        </w:tc>
        <w:tc>
          <w:tcPr>
            <w:tcW w:w="3960" w:type="dxa"/>
            <w:vAlign w:val="bottom"/>
          </w:tcPr>
          <w:p>
            <w:pPr>
              <w:ind w:left="500"/>
              <w:spacing w:after="0"/>
              <w:rPr>
                <w:sz w:val="20"/>
                <w:szCs w:val="20"/>
                <w:color w:val="auto"/>
              </w:rPr>
            </w:pPr>
            <w:r>
              <w:rPr>
                <w:rFonts w:ascii="Arial" w:cs="Arial" w:eastAsia="Arial" w:hAnsi="Arial"/>
                <w:sz w:val="14"/>
                <w:szCs w:val="14"/>
                <w:b w:val="1"/>
                <w:bCs w:val="1"/>
                <w:color w:val="auto"/>
              </w:rPr>
              <w:t>Income Statement Classification</w:t>
            </w: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–Workforce reductions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102</w:t>
            </w: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shd w:val="clear" w:color="auto" w:fill="CCEEFF"/>
          </w:tcPr>
          <w:p>
            <w:pPr>
              <w:spacing w:after="0"/>
              <w:rPr>
                <w:sz w:val="12"/>
                <w:szCs w:val="12"/>
                <w:color w:val="auto"/>
              </w:rPr>
            </w:pPr>
          </w:p>
        </w:tc>
        <w:tc>
          <w:tcPr>
            <w:tcW w:w="396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i w:val="1"/>
                <w:iCs w:val="1"/>
                <w:color w:val="auto"/>
              </w:rPr>
              <w:t>Cost of revenue</w:t>
            </w:r>
          </w:p>
        </w:tc>
      </w:tr>
      <w:tr>
        <w:trPr>
          <w:trHeight w:val="172"/>
        </w:trPr>
        <w:tc>
          <w:tcPr>
            <w:tcW w:w="4380" w:type="dxa"/>
            <w:vAlign w:val="bottom"/>
          </w:tcPr>
          <w:p>
            <w:pPr>
              <w:spacing w:after="0"/>
              <w:rPr>
                <w:sz w:val="20"/>
                <w:szCs w:val="20"/>
                <w:color w:val="auto"/>
              </w:rPr>
            </w:pPr>
            <w:r>
              <w:rPr>
                <w:rFonts w:ascii="Arial" w:cs="Arial" w:eastAsia="Arial" w:hAnsi="Arial"/>
                <w:sz w:val="14"/>
                <w:szCs w:val="14"/>
                <w:color w:val="auto"/>
              </w:rPr>
              <w:t>–Postretirement benefits curtailment</w:t>
            </w:r>
          </w:p>
        </w:tc>
        <w:tc>
          <w:tcPr>
            <w:tcW w:w="100" w:type="dxa"/>
            <w:vAlign w:val="bottom"/>
          </w:tcPr>
          <w:p>
            <w:pPr>
              <w:spacing w:after="0"/>
              <w:rPr>
                <w:sz w:val="14"/>
                <w:szCs w:val="14"/>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color w:val="auto"/>
              </w:rPr>
              <w:t>136</w:t>
            </w: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122</w:t>
            </w:r>
          </w:p>
        </w:tc>
        <w:tc>
          <w:tcPr>
            <w:tcW w:w="20" w:type="dxa"/>
            <w:vAlign w:val="bottom"/>
          </w:tcPr>
          <w:p>
            <w:pPr>
              <w:spacing w:after="0"/>
              <w:rPr>
                <w:sz w:val="14"/>
                <w:szCs w:val="14"/>
                <w:color w:val="auto"/>
              </w:rPr>
            </w:pPr>
          </w:p>
        </w:tc>
        <w:tc>
          <w:tcPr>
            <w:tcW w:w="3960" w:type="dxa"/>
            <w:vAlign w:val="bottom"/>
          </w:tcPr>
          <w:p>
            <w:pPr>
              <w:ind w:left="500"/>
              <w:spacing w:after="0"/>
              <w:rPr>
                <w:sz w:val="20"/>
                <w:szCs w:val="20"/>
                <w:color w:val="auto"/>
              </w:rPr>
            </w:pPr>
            <w:r>
              <w:rPr>
                <w:rFonts w:ascii="Arial" w:cs="Arial" w:eastAsia="Arial" w:hAnsi="Arial"/>
                <w:sz w:val="14"/>
                <w:szCs w:val="14"/>
                <w:i w:val="1"/>
                <w:iCs w:val="1"/>
                <w:color w:val="auto"/>
              </w:rPr>
              <w:t>Cost of revenue</w:t>
            </w:r>
          </w:p>
        </w:tc>
      </w:tr>
      <w:tr>
        <w:trPr>
          <w:trHeight w:val="84"/>
        </w:trPr>
        <w:tc>
          <w:tcPr>
            <w:tcW w:w="43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r>
      <w:tr>
        <w:trPr>
          <w:trHeight w:val="102"/>
        </w:trPr>
        <w:tc>
          <w:tcPr>
            <w:tcW w:w="4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r>
      <w:tr>
        <w:trPr>
          <w:trHeight w:val="149"/>
        </w:trPr>
        <w:tc>
          <w:tcPr>
            <w:tcW w:w="4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238</w:t>
            </w: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$(31)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207</w:t>
            </w:r>
          </w:p>
        </w:tc>
        <w:tc>
          <w:tcPr>
            <w:tcW w:w="2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r>
      <w:tr>
        <w:trPr>
          <w:trHeight w:val="132"/>
        </w:trPr>
        <w:tc>
          <w:tcPr>
            <w:tcW w:w="4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-29210</wp:posOffset>
            </wp:positionV>
            <wp:extent cx="25273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2008 charges: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30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Non-</w:t>
            </w:r>
          </w:p>
        </w:tc>
        <w:tc>
          <w:tcPr>
            <w:tcW w:w="200" w:type="dxa"/>
            <w:vAlign w:val="bottom"/>
            <w:tcBorders>
              <w:top w:val="single" w:sz="8" w:color="auto"/>
            </w:tcBorders>
          </w:tcPr>
          <w:p>
            <w:pPr>
              <w:spacing w:after="0"/>
              <w:rPr>
                <w:sz w:val="11"/>
                <w:szCs w:val="11"/>
                <w:color w:val="auto"/>
              </w:rPr>
            </w:pPr>
          </w:p>
        </w:tc>
        <w:tc>
          <w:tcPr>
            <w:tcW w:w="4080" w:type="dxa"/>
            <w:vAlign w:val="bottom"/>
            <w:tcBorders>
              <w:top w:val="single" w:sz="8" w:color="auto"/>
            </w:tcBorders>
          </w:tcPr>
          <w:p>
            <w:pPr>
              <w:spacing w:after="0"/>
              <w:rPr>
                <w:sz w:val="11"/>
                <w:szCs w:val="11"/>
                <w:color w:val="auto"/>
              </w:rPr>
            </w:pPr>
          </w:p>
        </w:tc>
      </w:tr>
      <w:tr>
        <w:trPr>
          <w:trHeight w:val="149"/>
        </w:trPr>
        <w:tc>
          <w:tcPr>
            <w:tcW w:w="3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r>
      <w:tr>
        <w:trPr>
          <w:trHeight w:val="175"/>
        </w:trPr>
        <w:tc>
          <w:tcPr>
            <w:tcW w:w="3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Pretax</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w w:val="79"/>
              </w:rPr>
              <w:t>Net</w:t>
            </w:r>
          </w:p>
        </w:tc>
        <w:tc>
          <w:tcPr>
            <w:tcW w:w="4080" w:type="dxa"/>
            <w:vAlign w:val="bottom"/>
          </w:tcPr>
          <w:p>
            <w:pPr>
              <w:ind w:left="520"/>
              <w:spacing w:after="0"/>
              <w:rPr>
                <w:sz w:val="20"/>
                <w:szCs w:val="20"/>
                <w:color w:val="auto"/>
              </w:rPr>
            </w:pPr>
            <w:r>
              <w:rPr>
                <w:rFonts w:ascii="Arial" w:cs="Arial" w:eastAsia="Arial" w:hAnsi="Arial"/>
                <w:sz w:val="14"/>
                <w:szCs w:val="14"/>
                <w:b w:val="1"/>
                <w:bCs w:val="1"/>
                <w:color w:val="auto"/>
              </w:rPr>
              <w:t>Income Statement Classification</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–Workforce reduction</w:t>
            </w:r>
          </w:p>
        </w:tc>
        <w:tc>
          <w:tcPr>
            <w:tcW w:w="1380" w:type="dxa"/>
            <w:vAlign w:val="bottom"/>
            <w:gridSpan w:val="2"/>
            <w:shd w:val="clear" w:color="auto" w:fill="CCEEFF"/>
          </w:tcPr>
          <w:p>
            <w:pPr>
              <w:ind w:left="130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$65</w:t>
            </w:r>
          </w:p>
        </w:tc>
        <w:tc>
          <w:tcPr>
            <w:tcW w:w="40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i w:val="1"/>
                <w:iCs w:val="1"/>
                <w:color w:val="auto"/>
              </w:rPr>
              <w:t>Cost of revenue</w:t>
            </w: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4"/>
                <w:szCs w:val="14"/>
                <w:color w:val="auto"/>
              </w:rPr>
              <w:t>–Provision for doubtful accounts</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4080" w:type="dxa"/>
            <w:vAlign w:val="bottom"/>
          </w:tcPr>
          <w:p>
            <w:pPr>
              <w:ind w:left="520"/>
              <w:spacing w:after="0" w:line="149" w:lineRule="exact"/>
              <w:rPr>
                <w:sz w:val="20"/>
                <w:szCs w:val="20"/>
                <w:color w:val="auto"/>
              </w:rPr>
            </w:pPr>
            <w:r>
              <w:rPr>
                <w:rFonts w:ascii="Arial" w:cs="Arial" w:eastAsia="Arial" w:hAnsi="Arial"/>
                <w:sz w:val="14"/>
                <w:szCs w:val="14"/>
                <w:i w:val="1"/>
                <w:iCs w:val="1"/>
                <w:color w:val="auto"/>
              </w:rPr>
              <w:t>Cost of revenue</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0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i w:val="1"/>
                <w:iCs w:val="1"/>
                <w:color w:val="auto"/>
              </w:rPr>
              <w:t>Interest and other income, net</w:t>
            </w:r>
          </w:p>
        </w:tc>
      </w:tr>
      <w:tr>
        <w:trPr>
          <w:trHeight w:val="108"/>
        </w:trPr>
        <w:tc>
          <w:tcPr>
            <w:tcW w:w="30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80" w:type="dxa"/>
            <w:vAlign w:val="bottom"/>
          </w:tcPr>
          <w:p>
            <w:pPr>
              <w:spacing w:after="0"/>
              <w:rPr>
                <w:sz w:val="9"/>
                <w:szCs w:val="9"/>
                <w:color w:val="auto"/>
              </w:rPr>
            </w:pPr>
          </w:p>
        </w:tc>
      </w:tr>
      <w:tr>
        <w:trPr>
          <w:trHeight w:val="102"/>
        </w:trPr>
        <w:tc>
          <w:tcPr>
            <w:tcW w:w="30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80" w:type="dxa"/>
            <w:vAlign w:val="bottom"/>
          </w:tcPr>
          <w:p>
            <w:pPr>
              <w:spacing w:after="0"/>
              <w:rPr>
                <w:sz w:val="8"/>
                <w:szCs w:val="8"/>
                <w:color w:val="auto"/>
              </w:rPr>
            </w:pPr>
          </w:p>
        </w:tc>
      </w:tr>
      <w:tr>
        <w:trPr>
          <w:trHeight w:val="149"/>
        </w:trPr>
        <w:tc>
          <w:tcPr>
            <w:tcW w:w="30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13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8"/>
              </w:rPr>
              <w:t>(17)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$93</w:t>
            </w:r>
          </w:p>
        </w:tc>
        <w:tc>
          <w:tcPr>
            <w:tcW w:w="4080" w:type="dxa"/>
            <w:vAlign w:val="bottom"/>
            <w:shd w:val="clear" w:color="auto" w:fill="CCEEFF"/>
          </w:tcPr>
          <w:p>
            <w:pPr>
              <w:spacing w:after="0"/>
              <w:rPr>
                <w:sz w:val="12"/>
                <w:szCs w:val="12"/>
                <w:color w:val="auto"/>
              </w:rPr>
            </w:pPr>
          </w:p>
        </w:tc>
      </w:tr>
      <w:tr>
        <w:trPr>
          <w:trHeight w:val="132"/>
        </w:trPr>
        <w:tc>
          <w:tcPr>
            <w:tcW w:w="3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-29210</wp:posOffset>
            </wp:positionV>
            <wp:extent cx="25273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2007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42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Non-</w:t>
            </w: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60" w:type="dxa"/>
            <w:vAlign w:val="bottom"/>
            <w:tcBorders>
              <w:top w:val="single" w:sz="8" w:color="auto"/>
            </w:tcBorders>
          </w:tcPr>
          <w:p>
            <w:pPr>
              <w:spacing w:after="0"/>
              <w:rPr>
                <w:sz w:val="11"/>
                <w:szCs w:val="11"/>
                <w:color w:val="auto"/>
              </w:rPr>
            </w:pPr>
          </w:p>
        </w:tc>
      </w:tr>
      <w:tr>
        <w:trPr>
          <w:trHeight w:val="149"/>
        </w:trPr>
        <w:tc>
          <w:tcPr>
            <w:tcW w:w="4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controlling</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60" w:type="dxa"/>
            <w:vAlign w:val="bottom"/>
          </w:tcPr>
          <w:p>
            <w:pPr>
              <w:spacing w:after="0"/>
              <w:rPr>
                <w:sz w:val="12"/>
                <w:szCs w:val="12"/>
                <w:color w:val="auto"/>
              </w:rPr>
            </w:pPr>
          </w:p>
        </w:tc>
      </w:tr>
      <w:tr>
        <w:trPr>
          <w:trHeight w:val="175"/>
        </w:trPr>
        <w:tc>
          <w:tcPr>
            <w:tcW w:w="42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Pretax</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w w:val="74"/>
              </w:rPr>
              <w:t>Tax</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Interests</w:t>
            </w:r>
          </w:p>
        </w:tc>
        <w:tc>
          <w:tcPr>
            <w:tcW w:w="500" w:type="dxa"/>
            <w:vAlign w:val="bottom"/>
          </w:tcPr>
          <w:p>
            <w:pPr>
              <w:spacing w:after="0"/>
              <w:rPr>
                <w:sz w:val="15"/>
                <w:szCs w:val="15"/>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w:t>
            </w:r>
          </w:p>
        </w:tc>
        <w:tc>
          <w:tcPr>
            <w:tcW w:w="3860" w:type="dxa"/>
            <w:vAlign w:val="bottom"/>
          </w:tcPr>
          <w:p>
            <w:pPr>
              <w:ind w:left="220"/>
              <w:spacing w:after="0"/>
              <w:rPr>
                <w:sz w:val="20"/>
                <w:szCs w:val="20"/>
                <w:color w:val="auto"/>
              </w:rPr>
            </w:pPr>
            <w:r>
              <w:rPr>
                <w:rFonts w:ascii="Arial" w:cs="Arial" w:eastAsia="Arial" w:hAnsi="Arial"/>
                <w:sz w:val="14"/>
                <w:szCs w:val="14"/>
                <w:b w:val="1"/>
                <w:bCs w:val="1"/>
                <w:color w:val="auto"/>
              </w:rPr>
              <w:t>Income Statement Classification</w:t>
            </w: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workover rigs</w:t>
            </w:r>
          </w:p>
        </w:tc>
        <w:tc>
          <w:tcPr>
            <w:tcW w:w="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(24)</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i w:val="1"/>
                <w:iCs w:val="1"/>
                <w:color w:val="auto"/>
              </w:rPr>
              <w:t>Interest and other income, net</w:t>
            </w:r>
          </w:p>
        </w:tc>
      </w:tr>
      <w:tr>
        <w:trPr>
          <w:trHeight w:val="132"/>
        </w:trPr>
        <w:tc>
          <w:tcPr>
            <w:tcW w:w="428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8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-29210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72"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Details of Net Debt follow:</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Debt, beginning of year</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w w:val="81"/>
              </w:rPr>
              <w:t>(1,129)</w:t>
            </w:r>
          </w:p>
        </w:tc>
        <w:tc>
          <w:tcPr>
            <w:tcW w:w="96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$(1,857)</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3,142</w:t>
            </w:r>
          </w:p>
        </w:tc>
        <w:tc>
          <w:tcPr>
            <w:tcW w:w="24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5,460</w:t>
            </w: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1"/>
                <w:szCs w:val="11"/>
                <w:color w:val="auto"/>
              </w:rPr>
              <w:t>Depreciation and amortization</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2,476</w:t>
            </w:r>
          </w:p>
        </w:tc>
        <w:tc>
          <w:tcPr>
            <w:tcW w:w="2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2,269</w:t>
            </w: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Pension and other postretirement benefits expense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306</w:t>
            </w:r>
          </w:p>
        </w:tc>
        <w:tc>
          <w:tcPr>
            <w:tcW w:w="24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127</w:t>
            </w: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Pension and other postretirement benefits curtailment charge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Pension and other postretirement benefits funding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1"/>
              </w:rPr>
              <w:t>(1,149)</w:t>
            </w:r>
          </w:p>
        </w:tc>
        <w:tc>
          <w:tcPr>
            <w:tcW w:w="96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(318)</w:t>
            </w: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Excess of equity income over dividends received</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(103)</w:t>
            </w:r>
          </w:p>
        </w:tc>
        <w:tc>
          <w:tcPr>
            <w:tcW w:w="96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(235)</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Stock -based compensation expense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186</w:t>
            </w:r>
          </w:p>
        </w:tc>
        <w:tc>
          <w:tcPr>
            <w:tcW w:w="24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172</w:t>
            </w: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Increase in working capital</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(204)</w:t>
            </w:r>
          </w:p>
        </w:tc>
        <w:tc>
          <w:tcPr>
            <w:tcW w:w="96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(592)</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1"/>
              </w:rPr>
              <w:t>(2,395)</w:t>
            </w:r>
          </w:p>
        </w:tc>
        <w:tc>
          <w:tcPr>
            <w:tcW w:w="96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(3,723)</w:t>
            </w: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Multiclient seismic data capitalized</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(230)</w:t>
            </w:r>
          </w:p>
        </w:tc>
        <w:tc>
          <w:tcPr>
            <w:tcW w:w="96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(345)</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Dividends paid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1"/>
              </w:rPr>
              <w:t>(1,006)</w:t>
            </w:r>
          </w:p>
        </w:tc>
        <w:tc>
          <w:tcPr>
            <w:tcW w:w="96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(964)</w:t>
            </w: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Stock repurchase program</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(500)</w:t>
            </w:r>
          </w:p>
        </w:tc>
        <w:tc>
          <w:tcPr>
            <w:tcW w:w="96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(1,819)</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Proceeds from employee stock plans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206</w:t>
            </w:r>
          </w:p>
        </w:tc>
        <w:tc>
          <w:tcPr>
            <w:tcW w:w="24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351</w:t>
            </w: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Eastern Echo acquisition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Other business acquisitions and minority interest investments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(514)</w:t>
            </w:r>
          </w:p>
        </w:tc>
        <w:tc>
          <w:tcPr>
            <w:tcW w:w="96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(345)</w:t>
            </w: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Conversion of debentures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Translation effect on net debt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(59)</w:t>
            </w: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166</w:t>
            </w:r>
          </w:p>
        </w:tc>
        <w:tc>
          <w:tcPr>
            <w:tcW w:w="36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711</w:t>
            </w:r>
          </w:p>
        </w:tc>
        <w:tc>
          <w:tcPr>
            <w:tcW w:w="2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3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8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Debt, end of year</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(126)</w:t>
            </w:r>
          </w:p>
        </w:tc>
        <w:tc>
          <w:tcPr>
            <w:tcW w:w="96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$(1,129)</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$(1,857)</w:t>
            </w:r>
          </w:p>
        </w:tc>
        <w:tc>
          <w:tcPr>
            <w:tcW w:w="0" w:type="dxa"/>
            <w:vAlign w:val="bottom"/>
          </w:tcPr>
          <w:p>
            <w:pPr>
              <w:spacing w:after="0"/>
              <w:rPr>
                <w:sz w:val="1"/>
                <w:szCs w:val="1"/>
                <w:color w:val="auto"/>
              </w:rPr>
            </w:pPr>
          </w:p>
        </w:tc>
      </w:tr>
      <w:tr>
        <w:trPr>
          <w:trHeight w:val="132"/>
        </w:trPr>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8760" w:type="dxa"/>
            <w:vAlign w:val="bottom"/>
            <w:gridSpan w:val="2"/>
            <w:vMerge w:val="restart"/>
          </w:tcPr>
          <w:p>
            <w:pPr>
              <w:ind w:left="40"/>
              <w:spacing w:after="0"/>
              <w:rPr>
                <w:sz w:val="20"/>
                <w:szCs w:val="20"/>
                <w:color w:val="auto"/>
              </w:rPr>
            </w:pPr>
            <w:r>
              <w:rPr>
                <w:rFonts w:ascii="Arial" w:cs="Arial" w:eastAsia="Arial" w:hAnsi="Arial"/>
                <w:sz w:val="14"/>
                <w:szCs w:val="14"/>
                <w:color w:val="auto"/>
              </w:rPr>
              <w:t>Includes multiclient seismic data costs.</w:t>
            </w: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300" w:type="dxa"/>
            <w:vAlign w:val="bottom"/>
            <w:gridSpan w:val="2"/>
            <w:vMerge w:val="continue"/>
          </w:tcPr>
          <w:p>
            <w:pPr>
              <w:spacing w:after="0"/>
              <w:rPr>
                <w:sz w:val="24"/>
                <w:szCs w:val="24"/>
                <w:color w:val="auto"/>
              </w:rPr>
            </w:pPr>
          </w:p>
        </w:tc>
        <w:tc>
          <w:tcPr>
            <w:tcW w:w="87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60" w:type="dxa"/>
            <w:vAlign w:val="bottom"/>
            <w:gridSpan w:val="4"/>
          </w:tcPr>
          <w:p>
            <w:pPr>
              <w:spacing w:after="0"/>
              <w:rPr>
                <w:sz w:val="20"/>
                <w:szCs w:val="20"/>
                <w:color w:val="auto"/>
              </w:rPr>
            </w:pPr>
            <w:r>
              <w:rPr>
                <w:rFonts w:ascii="Arial" w:cs="Arial" w:eastAsia="Arial" w:hAnsi="Arial"/>
                <w:sz w:val="14"/>
                <w:szCs w:val="14"/>
                <w:b w:val="1"/>
                <w:bCs w:val="1"/>
                <w:color w:val="auto"/>
              </w:rPr>
              <w:t>(Stated in millions)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6"/>
          </w:tcPr>
          <w:p>
            <w:pPr>
              <w:ind w:left="20"/>
              <w:spacing w:after="0" w:line="129" w:lineRule="exact"/>
              <w:rPr>
                <w:sz w:val="20"/>
                <w:szCs w:val="20"/>
                <w:color w:val="auto"/>
              </w:rPr>
            </w:pPr>
            <w:r>
              <w:rPr>
                <w:rFonts w:ascii="Arial" w:cs="Arial" w:eastAsia="Arial" w:hAnsi="Arial"/>
                <w:sz w:val="14"/>
                <w:szCs w:val="14"/>
                <w:b w:val="1"/>
                <w:bCs w:val="1"/>
                <w:color w:val="auto"/>
              </w:rPr>
              <w:t>Dec. 31</w:t>
            </w:r>
          </w:p>
        </w:tc>
        <w:tc>
          <w:tcPr>
            <w:tcW w:w="960" w:type="dxa"/>
            <w:vAlign w:val="bottom"/>
            <w:tcBorders>
              <w:top w:val="single" w:sz="8" w:color="auto"/>
            </w:tcBorders>
            <w:gridSpan w:val="4"/>
          </w:tcPr>
          <w:p>
            <w:pPr>
              <w:jc w:val="right"/>
              <w:ind w:right="520"/>
              <w:spacing w:after="0" w:line="129" w:lineRule="exact"/>
              <w:rPr>
                <w:sz w:val="20"/>
                <w:szCs w:val="20"/>
                <w:color w:val="auto"/>
              </w:rPr>
            </w:pPr>
            <w:r>
              <w:rPr>
                <w:rFonts w:ascii="Arial" w:cs="Arial" w:eastAsia="Arial" w:hAnsi="Arial"/>
                <w:sz w:val="14"/>
                <w:szCs w:val="14"/>
                <w:b w:val="1"/>
                <w:bCs w:val="1"/>
                <w:color w:val="auto"/>
                <w:w w:val="85"/>
              </w:rPr>
              <w:t>Dec. 31</w:t>
            </w: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1"/>
              </w:rPr>
              <w:t>Dec. 31</w:t>
            </w:r>
          </w:p>
        </w:tc>
        <w:tc>
          <w:tcPr>
            <w:tcW w:w="0" w:type="dxa"/>
            <w:vAlign w:val="bottom"/>
          </w:tcPr>
          <w:p>
            <w:pPr>
              <w:spacing w:after="0"/>
              <w:rPr>
                <w:sz w:val="1"/>
                <w:szCs w:val="1"/>
                <w:color w:val="auto"/>
              </w:rPr>
            </w:pPr>
          </w:p>
        </w:tc>
      </w:tr>
      <w:tr>
        <w:trPr>
          <w:trHeight w:val="161"/>
        </w:trPr>
        <w:tc>
          <w:tcPr>
            <w:tcW w:w="9060" w:type="dxa"/>
            <w:vAlign w:val="bottom"/>
            <w:gridSpan w:val="4"/>
          </w:tcPr>
          <w:p>
            <w:pPr>
              <w:spacing w:after="0"/>
              <w:rPr>
                <w:sz w:val="20"/>
                <w:szCs w:val="20"/>
                <w:color w:val="auto"/>
              </w:rPr>
            </w:pPr>
            <w:r>
              <w:rPr>
                <w:rFonts w:ascii="Arial" w:cs="Arial" w:eastAsia="Arial" w:hAnsi="Arial"/>
                <w:sz w:val="14"/>
                <w:szCs w:val="14"/>
                <w:b w:val="1"/>
                <w:bCs w:val="1"/>
                <w:color w:val="auto"/>
              </w:rPr>
              <w:t>Components of Net Debt</w:t>
            </w: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9"/>
              </w:rPr>
              <w:t>Cash</w:t>
            </w:r>
          </w:p>
        </w:tc>
        <w:tc>
          <w:tcPr>
            <w:tcW w:w="8760" w:type="dxa"/>
            <w:vAlign w:val="bottom"/>
            <w:gridSpan w:val="2"/>
            <w:shd w:val="clear" w:color="auto" w:fill="CCEEFF"/>
          </w:tcPr>
          <w:p>
            <w:pPr>
              <w:ind w:left="8680"/>
              <w:spacing w:after="0" w:line="149" w:lineRule="exact"/>
              <w:rPr>
                <w:sz w:val="20"/>
                <w:szCs w:val="20"/>
                <w:color w:val="auto"/>
              </w:rPr>
            </w:pPr>
            <w:r>
              <w:rPr>
                <w:rFonts w:ascii="Arial" w:cs="Arial" w:eastAsia="Arial" w:hAnsi="Arial"/>
                <w:sz w:val="14"/>
                <w:szCs w:val="14"/>
                <w:b w:val="1"/>
                <w:bCs w:val="1"/>
                <w:color w:val="auto"/>
                <w:w w:val="76"/>
              </w:rPr>
              <w:t>$</w:t>
            </w: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   189</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   197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3"/>
          </w:tcPr>
          <w:p>
            <w:pPr>
              <w:spacing w:after="0" w:line="149" w:lineRule="exact"/>
              <w:rPr>
                <w:sz w:val="20"/>
                <w:szCs w:val="20"/>
                <w:color w:val="auto"/>
              </w:rPr>
            </w:pPr>
            <w:r>
              <w:rPr>
                <w:rFonts w:ascii="Arial" w:cs="Arial" w:eastAsia="Arial" w:hAnsi="Arial"/>
                <w:sz w:val="14"/>
                <w:szCs w:val="14"/>
                <w:color w:val="auto"/>
              </w:rPr>
              <w:t>Short-term investments</w:t>
            </w:r>
          </w:p>
        </w:tc>
        <w:tc>
          <w:tcPr>
            <w:tcW w:w="4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6"/>
              </w:rPr>
              <w:t>4,373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3,503</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3"/>
          </w:tcPr>
          <w:p>
            <w:pPr>
              <w:spacing w:after="0" w:line="149" w:lineRule="exact"/>
              <w:rPr>
                <w:sz w:val="20"/>
                <w:szCs w:val="20"/>
                <w:color w:val="auto"/>
              </w:rPr>
            </w:pPr>
            <w:r>
              <w:rPr>
                <w:rFonts w:ascii="Arial" w:cs="Arial" w:eastAsia="Arial" w:hAnsi="Arial"/>
                <w:sz w:val="14"/>
                <w:szCs w:val="14"/>
                <w:color w:val="auto"/>
              </w:rPr>
              <w:t>Short-term borrowings and current portion of long-term debt</w:t>
            </w:r>
          </w:p>
        </w:tc>
        <w:tc>
          <w:tcPr>
            <w:tcW w:w="640" w:type="dxa"/>
            <w:vAlign w:val="bottom"/>
            <w:gridSpan w:val="4"/>
          </w:tcPr>
          <w:p>
            <w:pPr>
              <w:jc w:val="right"/>
              <w:ind w:right="172"/>
              <w:spacing w:after="0" w:line="149" w:lineRule="exact"/>
              <w:rPr>
                <w:sz w:val="20"/>
                <w:szCs w:val="20"/>
                <w:color w:val="auto"/>
              </w:rPr>
            </w:pPr>
            <w:r>
              <w:rPr>
                <w:rFonts w:ascii="Arial" w:cs="Arial" w:eastAsia="Arial" w:hAnsi="Arial"/>
                <w:sz w:val="14"/>
                <w:szCs w:val="14"/>
                <w:b w:val="1"/>
                <w:bCs w:val="1"/>
                <w:color w:val="auto"/>
              </w:rPr>
              <w:t>(804)</w:t>
            </w:r>
          </w:p>
        </w:tc>
        <w:tc>
          <w:tcPr>
            <w:tcW w:w="240" w:type="dxa"/>
            <w:vAlign w:val="bottom"/>
          </w:tcPr>
          <w:p>
            <w:pPr>
              <w:spacing w:after="0"/>
              <w:rPr>
                <w:sz w:val="12"/>
                <w:szCs w:val="12"/>
                <w:color w:val="auto"/>
              </w:rPr>
            </w:pPr>
          </w:p>
        </w:tc>
        <w:tc>
          <w:tcPr>
            <w:tcW w:w="60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(1,598)</w:t>
            </w:r>
          </w:p>
        </w:tc>
        <w:tc>
          <w:tcPr>
            <w:tcW w:w="36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Convertible debentures</w:t>
            </w:r>
          </w:p>
        </w:tc>
        <w:tc>
          <w:tcPr>
            <w:tcW w:w="640" w:type="dxa"/>
            <w:vAlign w:val="bottom"/>
            <w:gridSpan w:val="4"/>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(321)</w:t>
            </w:r>
          </w:p>
        </w:tc>
        <w:tc>
          <w:tcPr>
            <w:tcW w:w="2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(321)</w:t>
            </w:r>
          </w:p>
        </w:tc>
        <w:tc>
          <w:tcPr>
            <w:tcW w:w="3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gridSpan w:val="3"/>
          </w:tcPr>
          <w:p>
            <w:pPr>
              <w:spacing w:after="0"/>
              <w:rPr>
                <w:sz w:val="20"/>
                <w:szCs w:val="20"/>
                <w:color w:val="auto"/>
              </w:rPr>
            </w:pPr>
            <w:r>
              <w:rPr>
                <w:rFonts w:ascii="Arial" w:cs="Arial" w:eastAsia="Arial" w:hAnsi="Arial"/>
                <w:sz w:val="14"/>
                <w:szCs w:val="14"/>
                <w:color w:val="auto"/>
              </w:rPr>
              <w:t>Other long-term debt</w:t>
            </w:r>
          </w:p>
        </w:tc>
        <w:tc>
          <w:tcPr>
            <w:tcW w:w="64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85"/>
              </w:rPr>
              <w:t>(4,355)</w:t>
            </w:r>
          </w:p>
        </w:tc>
        <w:tc>
          <w:tcPr>
            <w:tcW w:w="240" w:type="dxa"/>
            <w:vAlign w:val="bottom"/>
          </w:tcPr>
          <w:p>
            <w:pPr>
              <w:spacing w:after="0"/>
              <w:rPr>
                <w:sz w:val="15"/>
                <w:szCs w:val="15"/>
                <w:color w:val="auto"/>
              </w:rPr>
            </w:pPr>
          </w:p>
        </w:tc>
        <w:tc>
          <w:tcPr>
            <w:tcW w:w="600" w:type="dxa"/>
            <w:vAlign w:val="bottom"/>
            <w:gridSpan w:val="3"/>
          </w:tcPr>
          <w:p>
            <w:pPr>
              <w:jc w:val="right"/>
              <w:ind w:right="52"/>
              <w:spacing w:after="0"/>
              <w:rPr>
                <w:sz w:val="20"/>
                <w:szCs w:val="20"/>
                <w:color w:val="auto"/>
              </w:rPr>
            </w:pPr>
            <w:r>
              <w:rPr>
                <w:rFonts w:ascii="Arial" w:cs="Arial" w:eastAsia="Arial" w:hAnsi="Arial"/>
                <w:sz w:val="14"/>
                <w:szCs w:val="14"/>
                <w:color w:val="auto"/>
              </w:rPr>
              <w:t>(3,372)</w:t>
            </w:r>
          </w:p>
        </w:tc>
        <w:tc>
          <w:tcPr>
            <w:tcW w:w="36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(3,379)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3"/>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gridSpan w:val="2"/>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868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gridSpan w:val="2"/>
            <w:shd w:val="clear" w:color="auto" w:fill="CCEEFF"/>
          </w:tcPr>
          <w:p>
            <w:pPr>
              <w:ind w:left="8680"/>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4"/>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(126)</w:t>
            </w:r>
          </w:p>
        </w:tc>
        <w:tc>
          <w:tcPr>
            <w:tcW w:w="2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2"/>
              </w:rPr>
              <w:t>$ (1,129)</w:t>
            </w:r>
          </w:p>
        </w:tc>
        <w:tc>
          <w:tcPr>
            <w:tcW w:w="3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2"/>
              </w:rPr>
              <w:t>$ (1,857)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-1521460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-1521460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-1521460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-1521460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-1521460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-1521460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-1521460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-1521460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-1521460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Key liquidity events during 2009, 2008 and 2007 included:</w:t>
      </w:r>
    </w:p>
    <w:p>
      <w:pPr>
        <w:spacing w:after="0" w:line="77" w:lineRule="exact"/>
        <w:rPr>
          <w:sz w:val="20"/>
          <w:szCs w:val="20"/>
          <w:color w:val="auto"/>
        </w:rPr>
      </w:pPr>
    </w:p>
    <w:p>
      <w:pPr>
        <w:ind w:left="780" w:right="4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third quarter of 2009, Schlumberger issued $450 million of 3.00% Guaranteed Notes due 2013. The proceeds from these notes were used to refinance existing debt obligations.</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quarter of 2009, Schlumberger entered into a €3.0 billion Euro Medium Term Note program. This program provides for the issuance of various types of debt instruments such as fixed or floating rate notes in Euro, US dollar or other currencies.</w:t>
      </w:r>
    </w:p>
    <w:p>
      <w:pPr>
        <w:spacing w:after="0" w:line="118" w:lineRule="exact"/>
        <w:rPr>
          <w:sz w:val="20"/>
          <w:szCs w:val="20"/>
          <w:color w:val="auto"/>
        </w:rPr>
      </w:pPr>
    </w:p>
    <w:p>
      <w:pPr>
        <w:jc w:val="both"/>
        <w:ind w:left="800" w:right="20"/>
        <w:spacing w:after="0" w:line="256" w:lineRule="auto"/>
        <w:rPr>
          <w:sz w:val="20"/>
          <w:szCs w:val="20"/>
          <w:color w:val="auto"/>
        </w:rPr>
      </w:pPr>
      <w:r>
        <w:rPr>
          <w:rFonts w:ascii="Arial" w:cs="Arial" w:eastAsia="Arial" w:hAnsi="Arial"/>
          <w:sz w:val="18"/>
          <w:szCs w:val="18"/>
          <w:color w:val="auto"/>
        </w:rPr>
        <w:t>During the first quarter of 2009, Schlumberger issued €1.0 billion 4.50% Guaranteed Notes due 2014 under this program. Schlumberger entered into agreements to swap these euro notes for US dollars on the date of issue until maturity, effectively making this a US dollar denominated debt on which Schlumberger will pay interest in US dollars at a rate of 4.95%. The proceeds from these notes were used to refinance existing debt obligations and for general corporate purposes.</w:t>
      </w:r>
    </w:p>
    <w:p>
      <w:pPr>
        <w:spacing w:after="0" w:line="49" w:lineRule="exact"/>
        <w:rPr>
          <w:sz w:val="20"/>
          <w:szCs w:val="20"/>
          <w:color w:val="auto"/>
        </w:rPr>
      </w:pPr>
    </w:p>
    <w:p>
      <w:pPr>
        <w:ind w:left="780" w:right="1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September 2008, Schlumberger issued €500 million 5.25% Guaranteed Notes due 2013. Schlumberger entered into agreements to swap these Euro notes for US dollars on the date of issue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800" w:right="300"/>
        <w:spacing w:after="0" w:line="268" w:lineRule="auto"/>
        <w:rPr>
          <w:sz w:val="20"/>
          <w:szCs w:val="20"/>
          <w:color w:val="auto"/>
        </w:rPr>
      </w:pPr>
      <w:r>
        <w:rPr>
          <w:rFonts w:ascii="Arial" w:cs="Arial" w:eastAsia="Arial" w:hAnsi="Arial"/>
          <w:sz w:val="18"/>
          <w:szCs w:val="18"/>
          <w:color w:val="auto"/>
        </w:rPr>
        <w:t>until maturity, effectively making this a US dollar denominated debt on which Schlumberger will pay interest in US dollars at a rate of 4.74%. The proceeds from these notes were used to repay commercial paper borrowings.</w:t>
      </w:r>
    </w:p>
    <w:p>
      <w:pPr>
        <w:spacing w:after="0" w:line="51" w:lineRule="exact"/>
        <w:rPr>
          <w:sz w:val="20"/>
          <w:szCs w:val="20"/>
          <w:color w:val="auto"/>
        </w:rPr>
      </w:pPr>
    </w:p>
    <w:p>
      <w:pPr>
        <w:ind w:left="780" w:right="480" w:hanging="326"/>
        <w:spacing w:after="0" w:line="347"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April 20, 2006, the Schlumberger Board of Directors approved a share repurchase program of up to 40 million shares of common stock to be acquired in the open market before April 2010, subject to market conditions. This program was completed during the second quarter of 2008.</w:t>
      </w:r>
    </w:p>
    <w:p>
      <w:pPr>
        <w:spacing w:after="0" w:line="1" w:lineRule="exact"/>
        <w:rPr>
          <w:sz w:val="20"/>
          <w:szCs w:val="20"/>
          <w:color w:val="auto"/>
        </w:rPr>
      </w:pPr>
    </w:p>
    <w:p>
      <w:pPr>
        <w:ind w:left="800" w:right="60"/>
        <w:spacing w:after="0" w:line="332" w:lineRule="auto"/>
        <w:rPr>
          <w:sz w:val="20"/>
          <w:szCs w:val="20"/>
          <w:color w:val="auto"/>
        </w:rPr>
      </w:pPr>
      <w:r>
        <w:rPr>
          <w:rFonts w:ascii="Arial" w:cs="Arial" w:eastAsia="Arial" w:hAnsi="Arial"/>
          <w:sz w:val="16"/>
          <w:szCs w:val="16"/>
          <w:color w:val="auto"/>
        </w:rPr>
        <w:t>On April 17, 2008, the Schlumberger Board of Directors approved an $8 billion share repurchase program for shares of Schlumberger common stock, to be acquired in the open market before December 31, 2011, of which $1.43 billion had been repurchased as of December 31, 2009.</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the activity under these share repurchase programs during 2009, 2008 and 2007:</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(Stated in thousands except per share amounts and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68580</wp:posOffset>
            </wp:positionV>
            <wp:extent cx="54286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0"/>
              </w:rPr>
              <w:t>Total cost</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Total number</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2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of shares</w:t>
            </w:r>
          </w:p>
        </w:tc>
        <w:tc>
          <w:tcPr>
            <w:tcW w:w="12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of shares</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price paid</w:t>
            </w:r>
          </w:p>
        </w:tc>
      </w:tr>
      <w:tr>
        <w:trPr>
          <w:trHeight w:val="174"/>
        </w:trPr>
        <w:tc>
          <w:tcPr>
            <w:tcW w:w="29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purchased</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purchased</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per share</w:t>
            </w:r>
          </w:p>
        </w:tc>
      </w:tr>
      <w:tr>
        <w:trPr>
          <w:trHeight w:val="95"/>
        </w:trPr>
        <w:tc>
          <w:tcPr>
            <w:tcW w:w="29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102"/>
        </w:trPr>
        <w:tc>
          <w:tcPr>
            <w:tcW w:w="29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149"/>
        </w:trPr>
        <w:tc>
          <w:tcPr>
            <w:tcW w:w="2940" w:type="dxa"/>
            <w:vAlign w:val="bottom"/>
            <w:shd w:val="clear" w:color="auto" w:fill="CCEEFF"/>
          </w:tcPr>
          <w:p>
            <w:pPr>
              <w:jc w:val="right"/>
              <w:ind w:right="2612"/>
              <w:spacing w:after="0" w:line="149" w:lineRule="exact"/>
              <w:rPr>
                <w:sz w:val="20"/>
                <w:szCs w:val="20"/>
                <w:color w:val="auto"/>
              </w:rPr>
            </w:pPr>
            <w:r>
              <w:rPr>
                <w:rFonts w:ascii="Arial" w:cs="Arial" w:eastAsia="Arial" w:hAnsi="Arial"/>
                <w:sz w:val="14"/>
                <w:szCs w:val="14"/>
                <w:color w:val="auto"/>
                <w:w w:val="76"/>
              </w:rPr>
              <w:t>2009</w:t>
            </w:r>
          </w:p>
        </w:tc>
        <w:tc>
          <w:tcPr>
            <w:tcW w:w="2740" w:type="dxa"/>
            <w:vAlign w:val="bottom"/>
            <w:gridSpan w:val="2"/>
            <w:shd w:val="clear" w:color="auto" w:fill="CCEEFF"/>
          </w:tcPr>
          <w:p>
            <w:pPr>
              <w:ind w:left="26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500,097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7,825.0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63.91</w:t>
            </w:r>
          </w:p>
        </w:tc>
      </w:tr>
      <w:tr>
        <w:trPr>
          <w:trHeight w:val="149"/>
        </w:trPr>
        <w:tc>
          <w:tcPr>
            <w:tcW w:w="2940" w:type="dxa"/>
            <w:vAlign w:val="bottom"/>
          </w:tcPr>
          <w:p>
            <w:pPr>
              <w:jc w:val="right"/>
              <w:ind w:right="2612"/>
              <w:spacing w:after="0" w:line="149" w:lineRule="exact"/>
              <w:rPr>
                <w:sz w:val="20"/>
                <w:szCs w:val="20"/>
                <w:color w:val="auto"/>
              </w:rPr>
            </w:pPr>
            <w:r>
              <w:rPr>
                <w:rFonts w:ascii="Arial" w:cs="Arial" w:eastAsia="Arial" w:hAnsi="Arial"/>
                <w:sz w:val="14"/>
                <w:szCs w:val="14"/>
                <w:color w:val="auto"/>
                <w:w w:val="76"/>
              </w:rPr>
              <w:t>2008</w:t>
            </w:r>
          </w:p>
        </w:tc>
        <w:tc>
          <w:tcPr>
            <w:tcW w:w="2740" w:type="dxa"/>
            <w:vAlign w:val="bottom"/>
            <w:gridSpan w:val="2"/>
          </w:tcPr>
          <w:p>
            <w:pPr>
              <w:ind w:left="26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3"/>
              </w:rPr>
              <w:t>1,818,841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21,064.7</w:t>
            </w:r>
          </w:p>
        </w:tc>
        <w:tc>
          <w:tcPr>
            <w:tcW w:w="4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86.35</w:t>
            </w:r>
          </w:p>
        </w:tc>
      </w:tr>
      <w:tr>
        <w:trPr>
          <w:trHeight w:val="149"/>
        </w:trPr>
        <w:tc>
          <w:tcPr>
            <w:tcW w:w="2940" w:type="dxa"/>
            <w:vAlign w:val="bottom"/>
            <w:shd w:val="clear" w:color="auto" w:fill="CCEEFF"/>
          </w:tcPr>
          <w:p>
            <w:pPr>
              <w:jc w:val="right"/>
              <w:ind w:right="2612"/>
              <w:spacing w:after="0" w:line="149" w:lineRule="exact"/>
              <w:rPr>
                <w:sz w:val="20"/>
                <w:szCs w:val="20"/>
                <w:color w:val="auto"/>
              </w:rPr>
            </w:pPr>
            <w:r>
              <w:rPr>
                <w:rFonts w:ascii="Arial" w:cs="Arial" w:eastAsia="Arial" w:hAnsi="Arial"/>
                <w:sz w:val="14"/>
                <w:szCs w:val="14"/>
                <w:color w:val="auto"/>
                <w:w w:val="76"/>
              </w:rPr>
              <w:t>2007</w:t>
            </w:r>
          </w:p>
        </w:tc>
        <w:tc>
          <w:tcPr>
            <w:tcW w:w="2740" w:type="dxa"/>
            <w:vAlign w:val="bottom"/>
            <w:gridSpan w:val="2"/>
            <w:shd w:val="clear" w:color="auto" w:fill="CCEEFF"/>
          </w:tcPr>
          <w:p>
            <w:pPr>
              <w:ind w:left="26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3"/>
              </w:rPr>
              <w:t>1,355,000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16,336.1</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82.95</w:t>
            </w:r>
          </w:p>
        </w:tc>
      </w:tr>
    </w:tbl>
    <w:p>
      <w:pPr>
        <w:spacing w:after="0" w:line="59" w:lineRule="exact"/>
        <w:rPr>
          <w:sz w:val="20"/>
          <w:szCs w:val="20"/>
          <w:color w:val="auto"/>
        </w:rPr>
      </w:pPr>
    </w:p>
    <w:p>
      <w:pPr>
        <w:ind w:left="780" w:hanging="326"/>
        <w:spacing w:after="0" w:line="256"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 provided by operations was $5.3 billion in 2009, $6.9 billion in 2008 and $6.3 billion in 2007. The decline in cash flow from operations in 2009 as compared to 2008 was primarily driven by the decrease in net income experienced in 2009 and the significant pension plan contributions made during 2009, offset by an improvement in working capital requirements. The improvement in 2008 as compared to 2007 was driven by the net income increase experienced in 2008 offset by required investments in working capital.</w:t>
      </w:r>
    </w:p>
    <w:p>
      <w:pPr>
        <w:spacing w:after="0" w:line="4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reduction in cash flows experienced by some of Schlumberger’s customers as a result of global economic conditions could have significant</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adverse effects on their financial condition. This could result in, among other things, delay in, or nonpayment of, amounts that are owed to</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Schlumberger, which could have a material adverse effect on Schlumberger’s results of operations and cash flows. At times in recent quarters,</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Schlumberger has experienced delays in payments from certain of its customers. Schlumberger operates in approximately 80 countries. At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December 31, 2009, only three of those countries individually accounted for greater than 5% of Schlumberger’s accounts receivable balance of which</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only one represented greater than 10%.</w:t>
      </w:r>
    </w:p>
    <w:p>
      <w:pPr>
        <w:spacing w:after="0" w:line="70" w:lineRule="exact"/>
        <w:rPr>
          <w:sz w:val="20"/>
          <w:szCs w:val="20"/>
          <w:color w:val="auto"/>
        </w:rPr>
      </w:pPr>
    </w:p>
    <w:p>
      <w:pPr>
        <w:ind w:left="780" w:right="560" w:hanging="326"/>
        <w:spacing w:after="0" w:line="325"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2008 and 2007, Schlumberger announced that its Board of Directors had approved increases in the quarterly dividend of 20% and 40%, respectively. Total dividends paid during 2009, 2008 and 2007 were $1.0 billion, $964 million and $771 million, respectively.</w:t>
      </w:r>
    </w:p>
    <w:p>
      <w:pPr>
        <w:spacing w:after="0" w:line="1" w:lineRule="exact"/>
        <w:rPr>
          <w:rFonts w:ascii="Arial" w:cs="Arial" w:eastAsia="Arial" w:hAnsi="Arial"/>
          <w:sz w:val="16"/>
          <w:szCs w:val="16"/>
          <w:color w:val="auto"/>
        </w:rPr>
      </w:pPr>
    </w:p>
    <w:p>
      <w:pPr>
        <w:ind w:left="780" w:right="14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 were $2.4 billion in 2009, $3.7 billion in 2008 and $2.9 billion in 2007. Capital expenditures in 2008 and 2007 reflected the record activity levels experienced in those years. The decrease in capital expenditures in 2009 as compared to 2008 is primarily due to the significant activity decline during 2009.</w:t>
      </w:r>
    </w:p>
    <w:p>
      <w:pPr>
        <w:spacing w:after="0" w:line="46" w:lineRule="exact"/>
        <w:rPr>
          <w:sz w:val="20"/>
          <w:szCs w:val="20"/>
          <w:color w:val="auto"/>
        </w:rPr>
      </w:pPr>
    </w:p>
    <w:p>
      <w:pPr>
        <w:ind w:left="800" w:right="80"/>
        <w:spacing w:after="0" w:line="268" w:lineRule="auto"/>
        <w:rPr>
          <w:sz w:val="20"/>
          <w:szCs w:val="20"/>
          <w:color w:val="auto"/>
        </w:rPr>
      </w:pPr>
      <w:r>
        <w:rPr>
          <w:rFonts w:ascii="Arial" w:cs="Arial" w:eastAsia="Arial" w:hAnsi="Arial"/>
          <w:sz w:val="18"/>
          <w:szCs w:val="18"/>
          <w:color w:val="auto"/>
        </w:rPr>
        <w:t>Oilfield Services capital expenditures are expected to approach $2.4 billion for the full year 2010 as compared to $1.9 billion in 2009 and $3.0 billion in 2008.</w:t>
      </w:r>
    </w:p>
    <w:p>
      <w:pPr>
        <w:spacing w:after="0" w:line="37" w:lineRule="exact"/>
        <w:rPr>
          <w:sz w:val="20"/>
          <w:szCs w:val="20"/>
          <w:color w:val="auto"/>
        </w:rPr>
      </w:pPr>
    </w:p>
    <w:p>
      <w:pPr>
        <w:ind w:left="800" w:right="140"/>
        <w:spacing w:after="0" w:line="268" w:lineRule="auto"/>
        <w:rPr>
          <w:sz w:val="20"/>
          <w:szCs w:val="20"/>
          <w:color w:val="auto"/>
        </w:rPr>
      </w:pPr>
      <w:r>
        <w:rPr>
          <w:rFonts w:ascii="Arial" w:cs="Arial" w:eastAsia="Arial" w:hAnsi="Arial"/>
          <w:sz w:val="18"/>
          <w:szCs w:val="18"/>
          <w:color w:val="auto"/>
        </w:rPr>
        <w:t>WesternGeco capital expenditures are expected to approach $0.3 billion for the full year 2010 as compared to $0.5 billion in 2009 and $0.7 billion in 2008.</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780" w:right="8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2009, 2008 and 2007 Schlumberger made contributions of $1.1 billion, $290 million and $250 million, respectively, to its defined benefit pension plans. The US pension plans were 92% funded at December 31, 2009 based on the projected benefit obligation. This compares to 69% funded at December 31, 2008.</w:t>
      </w:r>
    </w:p>
    <w:p>
      <w:pPr>
        <w:spacing w:after="0" w:line="46" w:lineRule="exact"/>
        <w:rPr>
          <w:sz w:val="20"/>
          <w:szCs w:val="20"/>
          <w:color w:val="auto"/>
        </w:rPr>
      </w:pPr>
    </w:p>
    <w:p>
      <w:pPr>
        <w:ind w:left="800" w:right="720"/>
        <w:spacing w:after="0" w:line="268" w:lineRule="auto"/>
        <w:rPr>
          <w:sz w:val="20"/>
          <w:szCs w:val="20"/>
          <w:color w:val="auto"/>
        </w:rPr>
      </w:pPr>
      <w:r>
        <w:rPr>
          <w:rFonts w:ascii="Arial" w:cs="Arial" w:eastAsia="Arial" w:hAnsi="Arial"/>
          <w:sz w:val="18"/>
          <w:szCs w:val="18"/>
          <w:color w:val="auto"/>
        </w:rPr>
        <w:t>Schlumberger’s international defined benefit pension plans are a combined 85% funded at December 31, 2009 based on the projected benefit obligation. This compares to 69% funded at December 31, 2008.</w:t>
      </w:r>
    </w:p>
    <w:p>
      <w:pPr>
        <w:spacing w:after="0" w:line="37" w:lineRule="exact"/>
        <w:rPr>
          <w:sz w:val="20"/>
          <w:szCs w:val="20"/>
          <w:color w:val="auto"/>
        </w:rPr>
      </w:pPr>
    </w:p>
    <w:p>
      <w:pPr>
        <w:ind w:left="800" w:right="280"/>
        <w:spacing w:after="0" w:line="268" w:lineRule="auto"/>
        <w:rPr>
          <w:sz w:val="20"/>
          <w:szCs w:val="20"/>
          <w:color w:val="auto"/>
        </w:rPr>
      </w:pPr>
      <w:r>
        <w:rPr>
          <w:rFonts w:ascii="Arial" w:cs="Arial" w:eastAsia="Arial" w:hAnsi="Arial"/>
          <w:sz w:val="18"/>
          <w:szCs w:val="18"/>
          <w:color w:val="auto"/>
        </w:rPr>
        <w:t>Schlumberger currently anticipates contributing approximately $500 million to $600 million to its defined benefit pension plans in 2010, subject to market and business conditions.</w:t>
      </w:r>
    </w:p>
    <w:p>
      <w:pPr>
        <w:spacing w:after="0" w:line="3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Schlumberger repaid approximately $1.9 billion of debt during 2009 compared to $0.8 billion during 2008 and $0.7 billion during 2007.</w:t>
      </w:r>
    </w:p>
    <w:p>
      <w:pPr>
        <w:spacing w:after="0" w:line="103" w:lineRule="exact"/>
        <w:rPr>
          <w:rFonts w:ascii="Arial" w:cs="Arial" w:eastAsia="Arial" w:hAnsi="Arial"/>
          <w:sz w:val="18"/>
          <w:szCs w:val="18"/>
          <w:color w:val="auto"/>
        </w:rPr>
      </w:pPr>
    </w:p>
    <w:p>
      <w:pPr>
        <w:jc w:val="both"/>
        <w:ind w:left="780" w:right="60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2008 and 2007, certain holders of Schlumberger Limited 1.5% Series A Convertible Debentures due June 1, 2023 and 2.125% Series B Convertible Debentures due June 1, 2023 converted their debentures into Schlumberger common stock. The following table summarizes these conversions:</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(Stated in millions)</w:t>
      </w:r>
    </w:p>
    <w:tbl>
      <w:tblPr>
        <w:tblLayout w:type="fixed"/>
        <w:tblInd w:w="1440" w:type="dxa"/>
        <w:tblCellMar>
          <w:top w:w="0" w:type="dxa"/>
          <w:left w:w="0" w:type="dxa"/>
          <w:bottom w:w="0" w:type="dxa"/>
          <w:right w:w="0" w:type="dxa"/>
        </w:tblCellMar>
      </w:tblPr>
      <w:tr>
        <w:trPr>
          <w:trHeight w:val="174"/>
        </w:trPr>
        <w:tc>
          <w:tcPr>
            <w:tcW w:w="3840" w:type="dxa"/>
            <w:vAlign w:val="bottom"/>
            <w:tcBorders>
              <w:top w:val="single" w:sz="8" w:color="auto"/>
            </w:tcBorders>
          </w:tcPr>
          <w:p>
            <w:pPr>
              <w:spacing w:after="0"/>
              <w:rPr>
                <w:sz w:val="15"/>
                <w:szCs w:val="15"/>
                <w:color w:val="auto"/>
              </w:rPr>
            </w:pPr>
          </w:p>
        </w:tc>
        <w:tc>
          <w:tcPr>
            <w:tcW w:w="170" w:type="dxa"/>
            <w:vAlign w:val="bottom"/>
            <w:tcBorders>
              <w:top w:val="single" w:sz="8" w:color="auto"/>
            </w:tcBorders>
          </w:tcPr>
          <w:p>
            <w:pPr>
              <w:spacing w:after="0"/>
              <w:rPr>
                <w:sz w:val="15"/>
                <w:szCs w:val="15"/>
                <w:color w:val="auto"/>
              </w:rPr>
            </w:pPr>
          </w:p>
        </w:tc>
        <w:tc>
          <w:tcPr>
            <w:tcW w:w="111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76"/>
        </w:trPr>
        <w:tc>
          <w:tcPr>
            <w:tcW w:w="3840" w:type="dxa"/>
            <w:vAlign w:val="bottom"/>
          </w:tcPr>
          <w:p>
            <w:pPr>
              <w:spacing w:after="0"/>
              <w:rPr>
                <w:sz w:val="6"/>
                <w:szCs w:val="6"/>
                <w:color w:val="auto"/>
              </w:rPr>
            </w:pPr>
          </w:p>
        </w:tc>
        <w:tc>
          <w:tcPr>
            <w:tcW w:w="170" w:type="dxa"/>
            <w:vAlign w:val="bottom"/>
            <w:tcBorders>
              <w:bottom w:val="single" w:sz="8" w:color="808080"/>
            </w:tcBorders>
          </w:tcPr>
          <w:p>
            <w:pPr>
              <w:spacing w:after="0"/>
              <w:rPr>
                <w:sz w:val="6"/>
                <w:szCs w:val="6"/>
                <w:color w:val="auto"/>
              </w:rPr>
            </w:pPr>
          </w:p>
        </w:tc>
        <w:tc>
          <w:tcPr>
            <w:tcW w:w="55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Borders>
              <w:bottom w:val="single" w:sz="8" w:color="808080"/>
            </w:tcBorders>
            <w:gridSpan w:val="2"/>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r>
      <w:tr>
        <w:trPr>
          <w:trHeight w:val="263"/>
        </w:trPr>
        <w:tc>
          <w:tcPr>
            <w:tcW w:w="3840" w:type="dxa"/>
            <w:vAlign w:val="bottom"/>
          </w:tcPr>
          <w:p>
            <w:pPr>
              <w:spacing w:after="0"/>
              <w:rPr>
                <w:sz w:val="22"/>
                <w:szCs w:val="22"/>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Conversions</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Shares issued</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2"/>
              </w:rPr>
              <w:t>Conversions</w:t>
            </w:r>
          </w:p>
        </w:tc>
        <w:tc>
          <w:tcPr>
            <w:tcW w:w="5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0"/>
              </w:rPr>
              <w:t>Shares issued</w:t>
            </w:r>
          </w:p>
        </w:tc>
        <w:tc>
          <w:tcPr>
            <w:tcW w:w="20" w:type="dxa"/>
            <w:vAlign w:val="bottom"/>
          </w:tcPr>
          <w:p>
            <w:pPr>
              <w:spacing w:after="0"/>
              <w:rPr>
                <w:sz w:val="22"/>
                <w:szCs w:val="22"/>
                <w:color w:val="auto"/>
              </w:rPr>
            </w:pPr>
          </w:p>
        </w:tc>
      </w:tr>
      <w:tr>
        <w:trPr>
          <w:trHeight w:val="95"/>
        </w:trPr>
        <w:tc>
          <w:tcPr>
            <w:tcW w:w="3840" w:type="dxa"/>
            <w:vAlign w:val="bottom"/>
          </w:tcPr>
          <w:p>
            <w:pPr>
              <w:spacing w:after="0"/>
              <w:rPr>
                <w:sz w:val="8"/>
                <w:szCs w:val="8"/>
                <w:color w:val="auto"/>
              </w:rPr>
            </w:pPr>
          </w:p>
        </w:tc>
        <w:tc>
          <w:tcPr>
            <w:tcW w:w="170" w:type="dxa"/>
            <w:vAlign w:val="bottom"/>
            <w:tcBorders>
              <w:bottom w:val="single" w:sz="8" w:color="808080"/>
            </w:tcBorders>
          </w:tcPr>
          <w:p>
            <w:pPr>
              <w:spacing w:after="0"/>
              <w:rPr>
                <w:sz w:val="8"/>
                <w:szCs w:val="8"/>
                <w:color w:val="auto"/>
              </w:rPr>
            </w:pPr>
          </w:p>
        </w:tc>
        <w:tc>
          <w:tcPr>
            <w:tcW w:w="55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384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 Series A debentures</w:t>
            </w:r>
          </w:p>
        </w:tc>
        <w:tc>
          <w:tcPr>
            <w:tcW w:w="17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20" w:type="dxa"/>
            <w:vAlign w:val="bottom"/>
          </w:tcPr>
          <w:p>
            <w:pPr>
              <w:spacing w:after="0"/>
              <w:rPr>
                <w:sz w:val="12"/>
                <w:szCs w:val="12"/>
                <w:color w:val="auto"/>
              </w:rPr>
            </w:pPr>
          </w:p>
        </w:tc>
      </w:tr>
      <w:tr>
        <w:trPr>
          <w:trHeight w:val="172"/>
        </w:trPr>
        <w:tc>
          <w:tcPr>
            <w:tcW w:w="3840" w:type="dxa"/>
            <w:vAlign w:val="bottom"/>
          </w:tcPr>
          <w:p>
            <w:pPr>
              <w:spacing w:after="0"/>
              <w:rPr>
                <w:sz w:val="20"/>
                <w:szCs w:val="20"/>
                <w:color w:val="auto"/>
              </w:rPr>
            </w:pPr>
            <w:r>
              <w:rPr>
                <w:rFonts w:ascii="Arial" w:cs="Arial" w:eastAsia="Arial" w:hAnsi="Arial"/>
                <w:sz w:val="14"/>
                <w:szCs w:val="14"/>
                <w:color w:val="auto"/>
              </w:rPr>
              <w:t>2.125% Series B debentures</w:t>
            </w:r>
          </w:p>
        </w:tc>
        <w:tc>
          <w:tcPr>
            <w:tcW w:w="170" w:type="dxa"/>
            <w:vAlign w:val="bottom"/>
          </w:tcPr>
          <w:p>
            <w:pPr>
              <w:spacing w:after="0"/>
              <w:rPr>
                <w:sz w:val="14"/>
                <w:szCs w:val="14"/>
                <w:color w:val="auto"/>
              </w:rPr>
            </w:pPr>
          </w:p>
        </w:tc>
        <w:tc>
          <w:tcPr>
            <w:tcW w:w="550" w:type="dxa"/>
            <w:vAlign w:val="bottom"/>
          </w:tcPr>
          <w:p>
            <w:pPr>
              <w:jc w:val="right"/>
              <w:spacing w:after="0"/>
              <w:rPr>
                <w:sz w:val="20"/>
                <w:szCs w:val="20"/>
                <w:color w:val="auto"/>
              </w:rPr>
            </w:pPr>
            <w:r>
              <w:rPr>
                <w:rFonts w:ascii="Arial" w:cs="Arial" w:eastAsia="Arial" w:hAnsi="Arial"/>
                <w:sz w:val="14"/>
                <w:szCs w:val="14"/>
                <w:color w:val="auto"/>
              </w:rPr>
              <w:t>95</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2.36</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0.85</w:t>
            </w:r>
          </w:p>
        </w:tc>
        <w:tc>
          <w:tcPr>
            <w:tcW w:w="20" w:type="dxa"/>
            <w:vAlign w:val="bottom"/>
          </w:tcPr>
          <w:p>
            <w:pPr>
              <w:spacing w:after="0"/>
              <w:rPr>
                <w:sz w:val="14"/>
                <w:szCs w:val="14"/>
                <w:color w:val="auto"/>
              </w:rPr>
            </w:pPr>
          </w:p>
        </w:tc>
      </w:tr>
      <w:tr>
        <w:trPr>
          <w:trHeight w:val="84"/>
        </w:trPr>
        <w:tc>
          <w:tcPr>
            <w:tcW w:w="3840" w:type="dxa"/>
            <w:vAlign w:val="bottom"/>
            <w:tcBorders>
              <w:bottom w:val="single" w:sz="8" w:color="808080"/>
            </w:tcBorders>
          </w:tcPr>
          <w:p>
            <w:pPr>
              <w:spacing w:after="0"/>
              <w:rPr>
                <w:sz w:val="7"/>
                <w:szCs w:val="7"/>
                <w:color w:val="auto"/>
              </w:rPr>
            </w:pPr>
          </w:p>
        </w:tc>
        <w:tc>
          <w:tcPr>
            <w:tcW w:w="170" w:type="dxa"/>
            <w:vAlign w:val="bottom"/>
            <w:tcBorders>
              <w:bottom w:val="single" w:sz="8" w:color="808080"/>
            </w:tcBorders>
          </w:tcPr>
          <w:p>
            <w:pPr>
              <w:spacing w:after="0"/>
              <w:rPr>
                <w:sz w:val="7"/>
                <w:szCs w:val="7"/>
                <w:color w:val="auto"/>
              </w:rPr>
            </w:pPr>
          </w:p>
        </w:tc>
        <w:tc>
          <w:tcPr>
            <w:tcW w:w="55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384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384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20" w:type="dxa"/>
            <w:vAlign w:val="bottom"/>
          </w:tcPr>
          <w:p>
            <w:pPr>
              <w:spacing w:after="0"/>
              <w:rPr>
                <w:sz w:val="12"/>
                <w:szCs w:val="12"/>
                <w:color w:val="auto"/>
              </w:rPr>
            </w:pPr>
          </w:p>
        </w:tc>
      </w:tr>
      <w:tr>
        <w:trPr>
          <w:trHeight w:val="132"/>
        </w:trPr>
        <w:tc>
          <w:tcPr>
            <w:tcW w:w="3840" w:type="dxa"/>
            <w:vAlign w:val="bottom"/>
          </w:tcPr>
          <w:p>
            <w:pPr>
              <w:spacing w:after="0"/>
              <w:rPr>
                <w:sz w:val="11"/>
                <w:szCs w:val="11"/>
                <w:color w:val="auto"/>
              </w:rPr>
            </w:pPr>
          </w:p>
        </w:tc>
        <w:tc>
          <w:tcPr>
            <w:tcW w:w="170" w:type="dxa"/>
            <w:vAlign w:val="bottom"/>
            <w:tcBorders>
              <w:bottom w:val="single" w:sz="8" w:color="808080"/>
            </w:tcBorders>
          </w:tcPr>
          <w:p>
            <w:pPr>
              <w:spacing w:after="0"/>
              <w:rPr>
                <w:sz w:val="11"/>
                <w:szCs w:val="11"/>
                <w:color w:val="auto"/>
              </w:rPr>
            </w:pPr>
          </w:p>
        </w:tc>
        <w:tc>
          <w:tcPr>
            <w:tcW w:w="55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4" w:lineRule="exact"/>
        <w:rPr>
          <w:sz w:val="20"/>
          <w:szCs w:val="20"/>
          <w:color w:val="auto"/>
        </w:rPr>
      </w:pPr>
    </w:p>
    <w:p>
      <w:pPr>
        <w:ind w:left="800" w:right="1000"/>
        <w:spacing w:after="0" w:line="268" w:lineRule="auto"/>
        <w:rPr>
          <w:sz w:val="20"/>
          <w:szCs w:val="20"/>
          <w:color w:val="auto"/>
        </w:rPr>
      </w:pPr>
      <w:r>
        <w:rPr>
          <w:rFonts w:ascii="Arial" w:cs="Arial" w:eastAsia="Arial" w:hAnsi="Arial"/>
          <w:sz w:val="18"/>
          <w:szCs w:val="18"/>
          <w:color w:val="auto"/>
        </w:rPr>
        <w:t>At December 31, 2008, there were no outstanding Series A debentures. There were $321 million outstanding Series B debentures at both December 31, 2009 and 2008.</w:t>
      </w:r>
    </w:p>
    <w:p>
      <w:pPr>
        <w:spacing w:after="0" w:line="37" w:lineRule="exact"/>
        <w:rPr>
          <w:sz w:val="20"/>
          <w:szCs w:val="20"/>
          <w:color w:val="auto"/>
        </w:rPr>
      </w:pPr>
    </w:p>
    <w:p>
      <w:pPr>
        <w:ind w:left="780" w:right="16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December 10, 2007, Schlumberger completed the acquisition of Eastern Echo for $838 million in cash. Net assets acquired included $320 million of cash and investments and $182 million of long-term debt.</w:t>
      </w:r>
    </w:p>
    <w:p>
      <w:pPr>
        <w:spacing w:after="0" w:line="11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December 31, 2009, Schlumberger had approximately $4.6 billion of cash and short-term investments on hand. Schlumberger had separate committed debt facility agreements aggregating $3.8 billion with commercial banks, of which $2.8 billion was available and unused as of December 31, 2009. This included $2.5 billion of committed facilities which support commercial paper borrowings in the United States and Europe. Schlumberger believes that these amounts are sufficient to meet future business requirements for at least the next twelve months.</w:t>
      </w:r>
    </w:p>
    <w:p>
      <w:pPr>
        <w:spacing w:after="0" w:line="1"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Schlumberger’s total outstanding debt at December 31, 2009 was $5.5 billion and included approximately $0.4 billion of commercial paper borrowings. The total outstanding debt increased approximately $0.2 billion compared to December 31, 2008.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Major Contractual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62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88"/>
              </w:rPr>
              <w:t>Payment Period</w:t>
            </w:r>
          </w:p>
        </w:tc>
        <w:tc>
          <w:tcPr>
            <w:tcW w:w="3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62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gridSpan w:val="2"/>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gridSpan w:val="2"/>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60" w:type="dxa"/>
            <w:vAlign w:val="bottom"/>
          </w:tcPr>
          <w:p>
            <w:pPr>
              <w:spacing w:after="0"/>
              <w:rPr>
                <w:sz w:val="21"/>
                <w:szCs w:val="21"/>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2010</w:t>
            </w: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2"/>
              </w:rPr>
              <w:t>2011 – 2012</w:t>
            </w:r>
          </w:p>
        </w:tc>
        <w:tc>
          <w:tcPr>
            <w:tcW w:w="1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84"/>
              </w:rPr>
              <w:t>2013 – 2014</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After 2014</w:t>
            </w: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Debt</w:t>
            </w:r>
            <w:r>
              <w:rPr>
                <w:rFonts w:ascii="Arial" w:cs="Arial" w:eastAsia="Arial" w:hAnsi="Arial"/>
                <w:sz w:val="17"/>
                <w:szCs w:val="17"/>
                <w:color w:val="auto"/>
                <w:vertAlign w:val="superscript"/>
              </w:rPr>
              <w:t>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5"/>
              </w:rPr>
              <w:t>5,479</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79"/>
              </w:rPr>
              <w:t>1,125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1,680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6"/>
              </w:rPr>
              <w:t>2,674</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line="149" w:lineRule="exact"/>
              <w:rPr>
                <w:sz w:val="20"/>
                <w:szCs w:val="20"/>
                <w:color w:val="auto"/>
              </w:rPr>
            </w:pPr>
            <w:r>
              <w:rPr>
                <w:rFonts w:ascii="Arial" w:cs="Arial" w:eastAsia="Arial" w:hAnsi="Arial"/>
                <w:sz w:val="14"/>
                <w:szCs w:val="14"/>
                <w:color w:val="auto"/>
              </w:rPr>
              <w:t>Operating Leases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958</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247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313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9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140</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Purchase Obligations</w:t>
            </w:r>
            <w:r>
              <w:rPr>
                <w:rFonts w:ascii="Arial" w:cs="Arial" w:eastAsia="Arial" w:hAnsi="Arial"/>
                <w:sz w:val="17"/>
                <w:szCs w:val="17"/>
                <w:color w:val="auto"/>
                <w:vertAlign w:val="superscript"/>
              </w:rPr>
              <w:t>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925</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5"/>
              </w:rPr>
              <w:t>7,362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79"/>
              </w:rPr>
              <w:t>2,109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2,171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6"/>
              </w:rPr>
              <w:t>2,824</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-29210</wp:posOffset>
            </wp:positionV>
            <wp:extent cx="2444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2444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4330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4330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2" w:lineRule="exact"/>
        <w:rPr>
          <w:sz w:val="20"/>
          <w:szCs w:val="20"/>
          <w:color w:val="auto"/>
        </w:rPr>
      </w:pPr>
    </w:p>
    <w:p>
      <w:pPr>
        <w:ind w:left="340" w:right="240" w:hanging="332"/>
        <w:spacing w:after="0" w:line="186"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 xml:space="preserve">Excludes future payments for interest. Includes, in 2010, amounts relating to the $321 million of 2.125% Series B Convertible Debentures which are described in Note 11 of the </w:t>
      </w:r>
      <w:r>
        <w:rPr>
          <w:rFonts w:ascii="Arial" w:cs="Arial" w:eastAsia="Arial" w:hAnsi="Arial"/>
          <w:sz w:val="14"/>
          <w:szCs w:val="14"/>
          <w:i w:val="1"/>
          <w:iCs w:val="1"/>
          <w:color w:val="auto"/>
        </w:rPr>
        <w:t>Consolidated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Statements</w:t>
      </w:r>
      <w:r>
        <w:rPr>
          <w:rFonts w:ascii="Arial" w:cs="Arial" w:eastAsia="Arial" w:hAnsi="Arial"/>
          <w:sz w:val="14"/>
          <w:szCs w:val="14"/>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4" w:lineRule="exact"/>
        <w:rPr>
          <w:sz w:val="20"/>
          <w:szCs w:val="20"/>
          <w:color w:val="auto"/>
        </w:rPr>
      </w:pPr>
    </w:p>
    <w:p>
      <w:pPr>
        <w:ind w:left="340" w:right="400" w:hanging="332"/>
        <w:spacing w:after="0" w:line="186"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Represents an estimate of contractual obligations in the ordinary course of business. Although these contractual obligations are considered enforceable and legally binding, the terms generally allow Schlumberger the option to reschedule and adjust their requirements based on business needs prior to the delivery of goods.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Note 19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for details regarding Schlumberger’s pension and other postretirement benefit obligations.</w:t>
      </w:r>
    </w:p>
    <w:p>
      <w:pPr>
        <w:spacing w:after="0" w:line="38" w:lineRule="exact"/>
        <w:rPr>
          <w:sz w:val="20"/>
          <w:szCs w:val="20"/>
          <w:color w:val="auto"/>
        </w:rPr>
      </w:pPr>
    </w:p>
    <w:p>
      <w:pPr>
        <w:ind w:right="220" w:firstLine="228"/>
        <w:spacing w:after="0" w:line="281" w:lineRule="auto"/>
        <w:rPr>
          <w:sz w:val="20"/>
          <w:szCs w:val="20"/>
          <w:color w:val="auto"/>
        </w:rPr>
      </w:pPr>
      <w:r>
        <w:rPr>
          <w:rFonts w:ascii="Arial" w:cs="Arial" w:eastAsia="Arial" w:hAnsi="Arial"/>
          <w:sz w:val="16"/>
          <w:szCs w:val="16"/>
          <w:color w:val="auto"/>
        </w:rPr>
        <w:t xml:space="preserve">As discussed in Note 15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included in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December 31, 2009 is approximately $1.03 billion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3" w:lineRule="exact"/>
        <w:rPr>
          <w:sz w:val="20"/>
          <w:szCs w:val="20"/>
          <w:color w:val="auto"/>
        </w:rPr>
      </w:pPr>
    </w:p>
    <w:p>
      <w:pPr>
        <w:jc w:val="both"/>
        <w:ind w:right="220" w:firstLine="228"/>
        <w:spacing w:after="0" w:line="361" w:lineRule="auto"/>
        <w:rPr>
          <w:sz w:val="20"/>
          <w:szCs w:val="20"/>
          <w:color w:val="auto"/>
        </w:rPr>
      </w:pPr>
      <w:r>
        <w:rPr>
          <w:rFonts w:ascii="Arial" w:cs="Arial" w:eastAsia="Arial" w:hAnsi="Arial"/>
          <w:sz w:val="15"/>
          <w:szCs w:val="15"/>
          <w:color w:val="auto"/>
        </w:rPr>
        <w:t>Schlumberger has outstanding letters of credit/guarantees which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7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 A summary of all of Schlumberger’s significant accounting policies is included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7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 xml:space="preserve">The WesternGeco segment capitalizes the costs associated with obtaining multiclient seismic data. The carrying value of the multiclient seismic data library at December 31, 2009 and 2008 was $288 million and $287 million, respectively. Such costs are charged to </w:t>
      </w:r>
      <w:r>
        <w:rPr>
          <w:rFonts w:ascii="Arial" w:cs="Arial" w:eastAsia="Arial" w:hAnsi="Arial"/>
          <w:sz w:val="16"/>
          <w:szCs w:val="16"/>
          <w:i w:val="1"/>
          <w:iCs w:val="1"/>
          <w:color w:val="auto"/>
        </w:rPr>
        <w:t>Cost of revenue</w:t>
      </w:r>
      <w:r>
        <w:rPr>
          <w:rFonts w:ascii="Arial" w:cs="Arial" w:eastAsia="Arial" w:hAnsi="Arial"/>
          <w:sz w:val="16"/>
          <w:szCs w:val="16"/>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spacing w:after="0" w:line="3"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future cash flows are analyzed primarily based on two pools of surveys: United States and non-United States. The United States and non-United States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 Certain larger surveys, which are typically prefunded by customers, are analyzed for impairment on a survey by survey basis.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Schlumberger maintains an allowance for doubtful accounts in order to record accounts receivable at their net realizable value. A significant amount of judgment is involved in recording and making adjustments to this reserve. Allowances have been recorded for receivables believed to be uncollectible, including amounts for the resolution of potential credit and other collection issues such as disputed invoices. Depending on how such potential issues are resolved, or if the financial condition of Schlumberger customers were to deteriorate resulting in an impairment of their ability to make payments, adjustments to the allowance may be required.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Schlumberger records the excess of purchase price over the fair value of the tangible and identifiable intangible assets acquired as goodwill. Goodwill is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ind w:right="20" w:firstLine="228"/>
        <w:spacing w:after="0" w:line="250" w:lineRule="auto"/>
        <w:rPr>
          <w:sz w:val="20"/>
          <w:szCs w:val="20"/>
          <w:color w:val="auto"/>
        </w:rPr>
      </w:pPr>
      <w:r>
        <w:rPr>
          <w:rFonts w:ascii="Arial" w:cs="Arial" w:eastAsia="Arial" w:hAnsi="Arial"/>
          <w:sz w:val="18"/>
          <w:szCs w:val="18"/>
          <w:color w:val="auto"/>
        </w:rPr>
        <w:t>For purposes of performing the impairment test for goodwill, Schlumberger’s reporting units are primarily the geographic areas comprising the Oilfield Services segment in addition to the WesternGeco segment. Schlumberger estimates the fair value of these reporting units using a discounted cash flow analysis and/or applying various market multiples. Determining the fair value of a reporting unit is a matter of judgment and often involves the use of significant estimates and assumptions. Schlumberger’s estimates of the fair value of each of its reporting units were significantly in excess of their respective carrying values at the time of the annual goodwill impairment tests for 2009, 2008 and 2007.</w:t>
      </w:r>
    </w:p>
    <w:p>
      <w:pPr>
        <w:spacing w:after="0" w:line="2"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 Schlumberger evaluates the remaining useful life of its intangible assets on a periodic basis to determine whether events and circumstances warrant a revision to the remaining estimated amortization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Schlumberger’s tax filings are subject to regular audit by the tax authorities in most of the over 100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Benefits</w:t>
      </w:r>
    </w:p>
    <w:p>
      <w:pPr>
        <w:spacing w:after="0" w:line="7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Schlumberger’s pension and postretirement benefit obligations are described in detail in Note 19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obligations and related costs are calculated using actuarial concepts, which include critical assumptions related to the discount rate, expected return on plan assets and medical cost trend rates. These assumptions are important elements of expense and/or liability measurement and are updated on an annual basis, or upon the occurrence of significant events.</w:t>
      </w:r>
    </w:p>
    <w:p>
      <w:pPr>
        <w:spacing w:after="0" w:line="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The discount rate Schlumberger uses reflects the prevailing market rate of a portfolio of high-quality debt instruments with maturities matching the expected timing of the payment of the benefit obligations. The following summarizes the discount rates utilized by Schlumberger for its various pension and postretirement benefit plans:</w:t>
      </w:r>
    </w:p>
    <w:p>
      <w:pPr>
        <w:spacing w:after="0" w:line="50" w:lineRule="exact"/>
        <w:rPr>
          <w:sz w:val="20"/>
          <w:szCs w:val="20"/>
          <w:color w:val="auto"/>
        </w:rPr>
      </w:pPr>
    </w:p>
    <w:p>
      <w:pPr>
        <w:ind w:left="780" w:right="34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discount rate utilized to determine the liability for Schlumberger’s United States pension plans and postretirement medical plans was 6.00% at December 31, 2009 and 6.50% at December 31, 2008.</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the liability for Schlumberger’s international pension plans was 5.89% at December 31, 2009 and 6.48% at December 31, 2008.</w:t>
      </w:r>
    </w:p>
    <w:p>
      <w:pPr>
        <w:spacing w:after="0" w:line="37"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expense for Schlumberger’s United States pension plans and postretirement medical plans increased from 6.50% in 2008 to 6.94% in 2009.</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expense for Schlumberger’s international pension plans was increased from 5.80% in 2008 to 6.81% in 2009.</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higher discount rate decreases the present value of benefit obligations and decreases expense.</w:t>
      </w:r>
    </w:p>
    <w:p>
      <w:pPr>
        <w:spacing w:after="0" w:line="15"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The expected rate of return for our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expectations regarding future rates of return for the investment portfolio, with consideration given to the distribution of investments by asset class and historical rates of return for each individual asset class. The expected rate of return on plan assets for the United States pension plans was 8.50% in both 2009 and 2008. The weighted average expected rate of return on plan assets for the international plans was 8.35% in 2009 and 8.00% in 2008. A lower expected rate of return would increase pension expense.</w:t>
      </w:r>
    </w:p>
    <w:p>
      <w:pPr>
        <w:spacing w:after="0" w:line="3" w:lineRule="exact"/>
        <w:rPr>
          <w:sz w:val="20"/>
          <w:szCs w:val="20"/>
          <w:color w:val="auto"/>
        </w:rPr>
      </w:pPr>
    </w:p>
    <w:p>
      <w:pPr>
        <w:jc w:val="both"/>
        <w:ind w:right="180" w:firstLine="228"/>
        <w:spacing w:after="0" w:line="250" w:lineRule="auto"/>
        <w:rPr>
          <w:sz w:val="20"/>
          <w:szCs w:val="20"/>
          <w:color w:val="auto"/>
        </w:rPr>
      </w:pPr>
      <w:r>
        <w:rPr>
          <w:rFonts w:ascii="Arial" w:cs="Arial" w:eastAsia="Arial" w:hAnsi="Arial"/>
          <w:sz w:val="18"/>
          <w:szCs w:val="18"/>
          <w:color w:val="auto"/>
        </w:rPr>
        <w:t>Schlumberger’s medical cost trend rate assumptions are developed based on historical cost data, the near-term outlook and an assessment of likely long-term trends. The overall medical cost trend rate assumption utilized to determine both the 2009 postretirement medical expense as well as the postretirement medical liability as of December 31, 2009 was 8% graded to 5% over the next six years.</w:t>
      </w:r>
    </w:p>
    <w:p>
      <w:pPr>
        <w:spacing w:after="0" w:line="1" w:lineRule="exact"/>
        <w:rPr>
          <w:sz w:val="20"/>
          <w:szCs w:val="20"/>
          <w:color w:val="auto"/>
        </w:rPr>
      </w:pPr>
    </w:p>
    <w:p>
      <w:pPr>
        <w:ind w:right="480" w:firstLine="228"/>
        <w:spacing w:after="0" w:line="261"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the United States and international pension plans: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4340" w:type="dxa"/>
            <w:vAlign w:val="bottom"/>
            <w:tcBorders>
              <w:top w:val="single" w:sz="8" w:color="auto"/>
            </w:tcBorders>
          </w:tcPr>
          <w:p>
            <w:pPr>
              <w:spacing w:after="0"/>
              <w:rPr>
                <w:sz w:val="11"/>
                <w:szCs w:val="11"/>
                <w:color w:val="auto"/>
              </w:rPr>
            </w:pPr>
          </w:p>
        </w:tc>
        <w:tc>
          <w:tcPr>
            <w:tcW w:w="5800" w:type="dxa"/>
            <w:vAlign w:val="bottom"/>
            <w:tcBorders>
              <w:top w:val="single" w:sz="8" w:color="auto"/>
            </w:tcBorders>
          </w:tcPr>
          <w:p>
            <w:pPr>
              <w:jc w:val="right"/>
              <w:ind w:right="452"/>
              <w:spacing w:after="0" w:line="129" w:lineRule="exact"/>
              <w:rPr>
                <w:sz w:val="20"/>
                <w:szCs w:val="20"/>
                <w:color w:val="auto"/>
              </w:rPr>
            </w:pPr>
            <w:r>
              <w:rPr>
                <w:rFonts w:ascii="Arial" w:cs="Arial" w:eastAsia="Arial" w:hAnsi="Arial"/>
                <w:sz w:val="14"/>
                <w:szCs w:val="14"/>
                <w:b w:val="1"/>
                <w:bCs w:val="1"/>
                <w:color w:val="auto"/>
              </w:rPr>
              <w:t>Effect on 2009</w:t>
            </w:r>
          </w:p>
        </w:tc>
        <w:tc>
          <w:tcPr>
            <w:tcW w:w="1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Effect on</w:t>
            </w:r>
          </w:p>
        </w:tc>
      </w:tr>
      <w:tr>
        <w:trPr>
          <w:trHeight w:val="149"/>
        </w:trPr>
        <w:tc>
          <w:tcPr>
            <w:tcW w:w="4340" w:type="dxa"/>
            <w:vAlign w:val="bottom"/>
          </w:tcPr>
          <w:p>
            <w:pPr>
              <w:spacing w:after="0"/>
              <w:rPr>
                <w:sz w:val="12"/>
                <w:szCs w:val="12"/>
                <w:color w:val="auto"/>
              </w:rPr>
            </w:pPr>
          </w:p>
        </w:tc>
        <w:tc>
          <w:tcPr>
            <w:tcW w:w="580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Pretax Pension</w:t>
            </w:r>
          </w:p>
        </w:tc>
        <w:tc>
          <w:tcPr>
            <w:tcW w:w="1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Dec. 31, 2009</w:t>
            </w:r>
          </w:p>
        </w:tc>
      </w:tr>
      <w:tr>
        <w:trPr>
          <w:trHeight w:val="174"/>
        </w:trPr>
        <w:tc>
          <w:tcPr>
            <w:tcW w:w="4340" w:type="dxa"/>
            <w:vAlign w:val="bottom"/>
          </w:tcPr>
          <w:p>
            <w:pPr>
              <w:spacing w:after="0"/>
              <w:rPr>
                <w:sz w:val="20"/>
                <w:szCs w:val="20"/>
                <w:color w:val="auto"/>
              </w:rPr>
            </w:pPr>
            <w:r>
              <w:rPr>
                <w:rFonts w:ascii="Arial" w:cs="Arial" w:eastAsia="Arial" w:hAnsi="Arial"/>
                <w:sz w:val="14"/>
                <w:szCs w:val="14"/>
                <w:b w:val="1"/>
                <w:bCs w:val="1"/>
                <w:color w:val="auto"/>
              </w:rPr>
              <w:t>Change in Assumption</w:t>
            </w:r>
          </w:p>
        </w:tc>
        <w:tc>
          <w:tcPr>
            <w:tcW w:w="5800" w:type="dxa"/>
            <w:vAlign w:val="bottom"/>
          </w:tcPr>
          <w:p>
            <w:pPr>
              <w:jc w:val="right"/>
              <w:ind w:right="452"/>
              <w:spacing w:after="0"/>
              <w:rPr>
                <w:sz w:val="20"/>
                <w:szCs w:val="20"/>
                <w:color w:val="auto"/>
              </w:rPr>
            </w:pPr>
            <w:r>
              <w:rPr>
                <w:rFonts w:ascii="Arial" w:cs="Arial" w:eastAsia="Arial" w:hAnsi="Arial"/>
                <w:sz w:val="14"/>
                <w:szCs w:val="14"/>
                <w:b w:val="1"/>
                <w:bCs w:val="1"/>
                <w:color w:val="auto"/>
              </w:rPr>
              <w:t>Expense</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Liability</w:t>
            </w:r>
          </w:p>
        </w:tc>
      </w:tr>
      <w:tr>
        <w:trPr>
          <w:trHeight w:val="244"/>
        </w:trPr>
        <w:tc>
          <w:tcPr>
            <w:tcW w:w="4340" w:type="dxa"/>
            <w:vAlign w:val="bottom"/>
          </w:tcPr>
          <w:p>
            <w:pPr>
              <w:spacing w:after="0"/>
              <w:rPr>
                <w:sz w:val="20"/>
                <w:szCs w:val="20"/>
                <w:color w:val="auto"/>
              </w:rPr>
            </w:pPr>
            <w:r>
              <w:rPr>
                <w:rFonts w:ascii="Arial" w:cs="Arial" w:eastAsia="Arial" w:hAnsi="Arial"/>
                <w:sz w:val="14"/>
                <w:szCs w:val="14"/>
                <w:color w:val="auto"/>
              </w:rPr>
              <w:t>25 basis point decrease in discount rate</w:t>
            </w:r>
          </w:p>
        </w:tc>
        <w:tc>
          <w:tcPr>
            <w:tcW w:w="5800" w:type="dxa"/>
            <w:vAlign w:val="bottom"/>
          </w:tcPr>
          <w:p>
            <w:pPr>
              <w:jc w:val="right"/>
              <w:ind w:right="452"/>
              <w:spacing w:after="0"/>
              <w:rPr>
                <w:sz w:val="20"/>
                <w:szCs w:val="20"/>
                <w:color w:val="auto"/>
              </w:rPr>
            </w:pPr>
            <w:r>
              <w:rPr>
                <w:rFonts w:ascii="Arial" w:cs="Arial" w:eastAsia="Arial" w:hAnsi="Arial"/>
                <w:sz w:val="14"/>
                <w:szCs w:val="14"/>
                <w:color w:val="auto"/>
              </w:rPr>
              <w:t>+$13</w:t>
            </w:r>
          </w:p>
        </w:tc>
        <w:tc>
          <w:tcPr>
            <w:tcW w:w="128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580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 $13</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$210</w:t>
            </w: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4"/>
                <w:szCs w:val="14"/>
                <w:color w:val="auto"/>
              </w:rPr>
              <w:t>25 basis point decrease in expected return on plan assets</w:t>
            </w:r>
          </w:p>
        </w:tc>
        <w:tc>
          <w:tcPr>
            <w:tcW w:w="58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+$11</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increase in expected return on plan assets</w:t>
            </w:r>
          </w:p>
        </w:tc>
        <w:tc>
          <w:tcPr>
            <w:tcW w:w="580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 $11</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310"/>
        </w:trPr>
        <w:tc>
          <w:tcPr>
            <w:tcW w:w="4340" w:type="dxa"/>
            <w:vAlign w:val="bottom"/>
          </w:tcPr>
          <w:p>
            <w:pPr>
              <w:spacing w:after="0"/>
              <w:rPr>
                <w:sz w:val="24"/>
                <w:szCs w:val="24"/>
                <w:color w:val="auto"/>
              </w:rPr>
            </w:pPr>
          </w:p>
        </w:tc>
        <w:tc>
          <w:tcPr>
            <w:tcW w:w="5800" w:type="dxa"/>
            <w:vAlign w:val="bottom"/>
          </w:tcPr>
          <w:p>
            <w:pPr>
              <w:jc w:val="right"/>
              <w:ind w:right="4292"/>
              <w:spacing w:after="0"/>
              <w:rPr>
                <w:sz w:val="20"/>
                <w:szCs w:val="20"/>
                <w:color w:val="auto"/>
              </w:rPr>
            </w:pPr>
            <w:r>
              <w:rPr>
                <w:rFonts w:ascii="Arial" w:cs="Arial" w:eastAsia="Arial" w:hAnsi="Arial"/>
                <w:sz w:val="14"/>
                <w:szCs w:val="14"/>
                <w:color w:val="auto"/>
              </w:rPr>
              <w:t>32</w:t>
            </w:r>
          </w:p>
        </w:tc>
        <w:tc>
          <w:tcPr>
            <w:tcW w:w="1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 7A</w:t>
      </w:r>
    </w:p>
    <w:p>
      <w:pPr>
        <w:spacing w:after="0" w:line="206" w:lineRule="exact"/>
        <w:rPr>
          <w:sz w:val="20"/>
          <w:szCs w:val="20"/>
          <w:color w:val="auto"/>
        </w:rPr>
      </w:pPr>
    </w:p>
    <w:p>
      <w:pPr>
        <w:ind w:right="820" w:firstLine="228"/>
        <w:spacing w:after="0" w:line="268"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postretirement medical plans: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5760" w:type="dxa"/>
            <w:vAlign w:val="bottom"/>
            <w:tcBorders>
              <w:top w:val="single" w:sz="8" w:color="auto"/>
            </w:tcBorders>
          </w:tcPr>
          <w:p>
            <w:pPr>
              <w:spacing w:after="0"/>
              <w:rPr>
                <w:sz w:val="11"/>
                <w:szCs w:val="11"/>
                <w:color w:val="auto"/>
              </w:rPr>
            </w:pPr>
          </w:p>
        </w:tc>
        <w:tc>
          <w:tcPr>
            <w:tcW w:w="4300" w:type="dxa"/>
            <w:vAlign w:val="bottom"/>
            <w:tcBorders>
              <w:top w:val="single" w:sz="8" w:color="auto"/>
            </w:tcBorders>
          </w:tcPr>
          <w:p>
            <w:pPr>
              <w:jc w:val="right"/>
              <w:ind w:right="552"/>
              <w:spacing w:after="0" w:line="129" w:lineRule="exact"/>
              <w:rPr>
                <w:sz w:val="20"/>
                <w:szCs w:val="20"/>
                <w:color w:val="auto"/>
              </w:rPr>
            </w:pPr>
            <w:r>
              <w:rPr>
                <w:rFonts w:ascii="Arial" w:cs="Arial" w:eastAsia="Arial" w:hAnsi="Arial"/>
                <w:sz w:val="14"/>
                <w:szCs w:val="14"/>
                <w:b w:val="1"/>
                <w:bCs w:val="1"/>
                <w:color w:val="auto"/>
              </w:rPr>
              <w:t>Effect on 2009</w:t>
            </w:r>
          </w:p>
        </w:tc>
        <w:tc>
          <w:tcPr>
            <w:tcW w:w="1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Effect on</w:t>
            </w:r>
          </w:p>
        </w:tc>
      </w:tr>
      <w:tr>
        <w:trPr>
          <w:trHeight w:val="149"/>
        </w:trPr>
        <w:tc>
          <w:tcPr>
            <w:tcW w:w="5760" w:type="dxa"/>
            <w:vAlign w:val="bottom"/>
          </w:tcPr>
          <w:p>
            <w:pPr>
              <w:spacing w:after="0"/>
              <w:rPr>
                <w:sz w:val="12"/>
                <w:szCs w:val="12"/>
                <w:color w:val="auto"/>
              </w:rPr>
            </w:pPr>
          </w:p>
        </w:tc>
        <w:tc>
          <w:tcPr>
            <w:tcW w:w="430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Pretax Postretirement</w:t>
            </w: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Dec. 31, 2009</w:t>
            </w:r>
          </w:p>
        </w:tc>
      </w:tr>
      <w:tr>
        <w:trPr>
          <w:trHeight w:val="174"/>
        </w:trPr>
        <w:tc>
          <w:tcPr>
            <w:tcW w:w="5760" w:type="dxa"/>
            <w:vAlign w:val="bottom"/>
          </w:tcPr>
          <w:p>
            <w:pPr>
              <w:spacing w:after="0"/>
              <w:rPr>
                <w:sz w:val="20"/>
                <w:szCs w:val="20"/>
                <w:color w:val="auto"/>
              </w:rPr>
            </w:pPr>
            <w:r>
              <w:rPr>
                <w:rFonts w:ascii="Arial" w:cs="Arial" w:eastAsia="Arial" w:hAnsi="Arial"/>
                <w:sz w:val="14"/>
                <w:szCs w:val="14"/>
                <w:b w:val="1"/>
                <w:bCs w:val="1"/>
                <w:color w:val="auto"/>
              </w:rPr>
              <w:t>Change in Assumption</w:t>
            </w:r>
          </w:p>
        </w:tc>
        <w:tc>
          <w:tcPr>
            <w:tcW w:w="4300" w:type="dxa"/>
            <w:vAlign w:val="bottom"/>
          </w:tcPr>
          <w:p>
            <w:pPr>
              <w:jc w:val="right"/>
              <w:ind w:right="552"/>
              <w:spacing w:after="0"/>
              <w:rPr>
                <w:sz w:val="20"/>
                <w:szCs w:val="20"/>
                <w:color w:val="auto"/>
              </w:rPr>
            </w:pPr>
            <w:r>
              <w:rPr>
                <w:rFonts w:ascii="Arial" w:cs="Arial" w:eastAsia="Arial" w:hAnsi="Arial"/>
                <w:sz w:val="14"/>
                <w:szCs w:val="14"/>
                <w:b w:val="1"/>
                <w:bCs w:val="1"/>
                <w:color w:val="auto"/>
              </w:rPr>
              <w:t>Medical Expense</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Liability</w:t>
            </w:r>
          </w:p>
        </w:tc>
      </w:tr>
      <w:tr>
        <w:trPr>
          <w:trHeight w:val="244"/>
        </w:trPr>
        <w:tc>
          <w:tcPr>
            <w:tcW w:w="5760" w:type="dxa"/>
            <w:vAlign w:val="bottom"/>
          </w:tcPr>
          <w:p>
            <w:pPr>
              <w:spacing w:after="0"/>
              <w:rPr>
                <w:sz w:val="20"/>
                <w:szCs w:val="20"/>
                <w:color w:val="auto"/>
              </w:rPr>
            </w:pPr>
            <w:r>
              <w:rPr>
                <w:rFonts w:ascii="Arial" w:cs="Arial" w:eastAsia="Arial" w:hAnsi="Arial"/>
                <w:sz w:val="14"/>
                <w:szCs w:val="14"/>
                <w:color w:val="auto"/>
              </w:rPr>
              <w:t>25 basis point decrease in discount rate</w:t>
            </w:r>
          </w:p>
        </w:tc>
        <w:tc>
          <w:tcPr>
            <w:tcW w:w="4300" w:type="dxa"/>
            <w:vAlign w:val="bottom"/>
          </w:tcPr>
          <w:p>
            <w:pPr>
              <w:jc w:val="right"/>
              <w:ind w:right="552"/>
              <w:spacing w:after="0"/>
              <w:rPr>
                <w:sz w:val="20"/>
                <w:szCs w:val="20"/>
                <w:color w:val="auto"/>
              </w:rPr>
            </w:pPr>
            <w:r>
              <w:rPr>
                <w:rFonts w:ascii="Arial" w:cs="Arial" w:eastAsia="Arial" w:hAnsi="Arial"/>
                <w:sz w:val="14"/>
                <w:szCs w:val="14"/>
                <w:color w:val="auto"/>
              </w:rPr>
              <w:t>+$3</w:t>
            </w:r>
          </w:p>
        </w:tc>
        <w:tc>
          <w:tcPr>
            <w:tcW w:w="13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430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 $2</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$33</w:t>
            </w: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color w:val="auto"/>
              </w:rPr>
              <w:t>100 basis point decrease per annum in medical cost trend rate</w:t>
            </w:r>
          </w:p>
        </w:tc>
        <w:tc>
          <w:tcPr>
            <w:tcW w:w="430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 $14</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 $126</w:t>
            </w: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basis point increase per annum in medical cost trend rate</w:t>
            </w:r>
          </w:p>
        </w:tc>
        <w:tc>
          <w:tcPr>
            <w:tcW w:w="430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+$21</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Schlumberger is subject to market risks primarily associated with changes in foreign currency exchange rates, commodity prices and interest rates.</w:t>
      </w:r>
    </w:p>
    <w:p>
      <w:pPr>
        <w:spacing w:after="0" w:line="38"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As a multinational company, Schlumberger conducts business in approximately 80 countries. Schlumberger’s functional currency is primarily the US dollar, which is consistent with the oil and gas industry. Approximately 80% of Schlumberger’s revenue in 2009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3"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A 5% increase or decrease in the average exchange rates of all the foreign currencies in 2009 would have changed revenue by approximately 1%. If the 2009 average exchange rates of the US dollar against all foreign currencies had strengthened by 5%, Schlumberger’s income from continuing operations would have increased by approximately 4%. Conversely, a 5% weakening of the US dollar average exchange rates would have decreased income from continuing operations by approximately 4%.</w:t>
      </w:r>
    </w:p>
    <w:p>
      <w:pPr>
        <w:spacing w:after="0" w:line="2"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Although the functional currency of Schlumberger’s operations in Venezuela is the US dollar, a portion of the transactions are denominated in local currency. For financial reporting purposes, such transactions are remeasured into US dollars at the official exchange rate, which until January 2010 was fixed at 2.15 Venezuelan bolivares fuertes per US dollar, despite significant inflation in recent periods. In January 2010, Venezuela’s currency was devalued and a new currency exchange rate system was announced. Schlumberger is in the process of evaluating what exchange rate will apply to Schlumberger’s local currency denominated transactions. Such rate is expected to be between 2.6 and 4.3 Venezuelan bolivars fuertes per US dollar. Schlumberger does not expect the immediate impact of this devaluation to have a significant impact on its first quarter 2010 results of operations. Going forward, although this devaluation will result in a reduction in the US dollar reported amount of local currency denominated revenues and expenses, the impact will not be material to Schlumberger’s consolidated financial statements.</w:t>
      </w:r>
    </w:p>
    <w:p>
      <w:pPr>
        <w:spacing w:after="0" w:line="5"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Schlumberger maintains a foreign-currency risk management strategy that uses derivative instruments to protect its interests from unanticipated fluctuations in earnings and cash flows caused by volatility in currency exchange rates. Foreign currency forward contracts and foreign currency options to provide a hedge against currency fluctuations either on monetary assets/liabilities denominated in other than a functional currency or on expenses.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2009, contracts were outstanding for the US dollar equivalent of $4.3 billion in various foreign currencies.</w:t>
      </w:r>
    </w:p>
    <w:p>
      <w:pPr>
        <w:spacing w:after="0" w:line="9"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Schlumberger is subject to the risk of market price fluctuations of certain commodities, such as metals and fuel. Schlumberger utilizes forward contracts to manage a small percentage of the price risk associated with forecast metal purchases. As of December 31, 2009, $4 million of commodity forward contracts were outstanding.</w:t>
      </w:r>
    </w:p>
    <w:p>
      <w:pPr>
        <w:spacing w:after="0" w:line="1" w:lineRule="exact"/>
        <w:rPr>
          <w:sz w:val="20"/>
          <w:szCs w:val="20"/>
          <w:color w:val="auto"/>
        </w:rPr>
      </w:pPr>
    </w:p>
    <w:p>
      <w:pPr>
        <w:ind w:right="20" w:firstLine="228"/>
        <w:spacing w:after="0" w:line="323" w:lineRule="auto"/>
        <w:rPr>
          <w:sz w:val="20"/>
          <w:szCs w:val="20"/>
          <w:color w:val="auto"/>
        </w:rPr>
      </w:pPr>
      <w:r>
        <w:rPr>
          <w:rFonts w:ascii="Arial" w:cs="Arial" w:eastAsia="Arial" w:hAnsi="Arial"/>
          <w:sz w:val="16"/>
          <w:szCs w:val="16"/>
          <w:color w:val="auto"/>
        </w:rPr>
        <w:t>Schlumberger is subject to interest rate risk on its debt and its investment portfolio. Schlumberger maintains an interest rate risk management strategy that uses a mix of variable and fixed rate debt combined with its investment portfolio and interest rate swaps to mitigate the exposure to changes in interest rates. At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7A</w:t>
      </w:r>
    </w:p>
    <w:p>
      <w:pPr>
        <w:spacing w:after="0" w:line="206"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color w:val="auto"/>
        </w:rPr>
        <w:t>December 31, 2009, Schlumberger had fixed rate debt aggregating approximately $4.2 billion and variable rate debt aggregating approximately $1.3 billion. Schlumberger has entered into interest rate swaps relating to $1.1 billion of its fixed rate debt as of December 31, 2009 whereby Schlumberger will receive interest at a fixed rate and pay interest at a variable rate.</w:t>
      </w:r>
    </w:p>
    <w:p>
      <w:pPr>
        <w:ind w:right="240" w:firstLine="228"/>
        <w:spacing w:after="0" w:line="254" w:lineRule="auto"/>
        <w:rPr>
          <w:sz w:val="20"/>
          <w:szCs w:val="20"/>
          <w:color w:val="auto"/>
        </w:rPr>
      </w:pPr>
      <w:r>
        <w:rPr>
          <w:rFonts w:ascii="Arial" w:cs="Arial" w:eastAsia="Arial" w:hAnsi="Arial"/>
          <w:sz w:val="18"/>
          <w:szCs w:val="18"/>
          <w:color w:val="auto"/>
        </w:rPr>
        <w:t xml:space="preserve">Schlumberger’s exposure to interest rate risk associated with its debt is also partially mitigated by its investment portfolio. Both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Fixed income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held to maturity</w:t>
      </w:r>
      <w:r>
        <w:rPr>
          <w:rFonts w:ascii="Arial" w:cs="Arial" w:eastAsia="Arial" w:hAnsi="Arial"/>
          <w:sz w:val="18"/>
          <w:szCs w:val="18"/>
          <w:color w:val="auto"/>
        </w:rPr>
        <w:t>, which totaled approximately $5.1 billion at December 31, 2009, are comprised primarily of money market funds,</w:t>
      </w:r>
      <w:r>
        <w:rPr>
          <w:rFonts w:ascii="Arial" w:cs="Arial" w:eastAsia="Arial" w:hAnsi="Arial"/>
          <w:sz w:val="18"/>
          <w:szCs w:val="18"/>
          <w:i w:val="1"/>
          <w:iCs w:val="1"/>
          <w:color w:val="auto"/>
        </w:rPr>
        <w:t xml:space="preserve"> </w:t>
      </w:r>
      <w:r>
        <w:rPr>
          <w:rFonts w:ascii="Arial" w:cs="Arial" w:eastAsia="Arial" w:hAnsi="Arial"/>
          <w:sz w:val="18"/>
          <w:szCs w:val="18"/>
          <w:color w:val="auto"/>
        </w:rPr>
        <w:t>eurodollar time deposits, certificates of deposit, commercial paper, euro notes and Eurobonds and are substantially all denominated in US dollars. The average return on investment was 1.4% in 2009.</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represents principal amounts of Schlumberger’s debt at December 31, 2009 by year of maturity: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4"/>
              </w:rPr>
              <w:t>Expected Maturity Dates</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Fixed rate debt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Arial" w:cs="Arial" w:eastAsia="Arial" w:hAnsi="Arial"/>
                <w:sz w:val="14"/>
                <w:szCs w:val="14"/>
                <w:color w:val="auto"/>
              </w:rPr>
              <w:t>2.125% Series B Convertible Debentures</w:t>
            </w: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321</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5.14%</w:t>
            </w:r>
          </w:p>
        </w:tc>
        <w:tc>
          <w:tcPr>
            <w:tcW w:w="6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Guaranteed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Arial" w:cs="Arial" w:eastAsia="Arial" w:hAnsi="Arial"/>
                <w:sz w:val="14"/>
                <w:szCs w:val="14"/>
                <w:color w:val="auto"/>
              </w:rPr>
              <w:t>5.875% Guaranteed Bonds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$ 362</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6.5%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649</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w w:val="85"/>
              </w:rPr>
              <w:t>5.25%</w:t>
            </w:r>
          </w:p>
        </w:tc>
        <w:tc>
          <w:tcPr>
            <w:tcW w:w="6800" w:type="dxa"/>
            <w:vAlign w:val="bottom"/>
          </w:tcPr>
          <w:p>
            <w:pPr>
              <w:ind w:left="20"/>
              <w:spacing w:after="0" w:line="149" w:lineRule="exact"/>
              <w:rPr>
                <w:sz w:val="20"/>
                <w:szCs w:val="20"/>
                <w:color w:val="auto"/>
              </w:rPr>
            </w:pPr>
            <w:r>
              <w:rPr>
                <w:rFonts w:ascii="Arial" w:cs="Arial" w:eastAsia="Arial" w:hAnsi="Arial"/>
                <w:sz w:val="14"/>
                <w:szCs w:val="14"/>
                <w:color w:val="auto"/>
              </w:rPr>
              <w:t>Guaranteed Bonds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727</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3.00%</w:t>
            </w:r>
          </w:p>
        </w:tc>
        <w:tc>
          <w:tcPr>
            <w:tcW w:w="6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Guaranteed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color w:val="auto"/>
                <w:w w:val="85"/>
              </w:rPr>
              <w:t>4.50%</w:t>
            </w:r>
          </w:p>
        </w:tc>
        <w:tc>
          <w:tcPr>
            <w:tcW w:w="6800" w:type="dxa"/>
            <w:vAlign w:val="bottom"/>
          </w:tcPr>
          <w:p>
            <w:pPr>
              <w:ind w:left="20"/>
              <w:spacing w:after="0"/>
              <w:rPr>
                <w:sz w:val="20"/>
                <w:szCs w:val="20"/>
                <w:color w:val="auto"/>
              </w:rPr>
            </w:pPr>
            <w:r>
              <w:rPr>
                <w:rFonts w:ascii="Arial" w:cs="Arial" w:eastAsia="Arial" w:hAnsi="Arial"/>
                <w:sz w:val="14"/>
                <w:szCs w:val="14"/>
                <w:color w:val="auto"/>
              </w:rPr>
              <w:t>Guaranteed Bonds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1,449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16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fixed rate debt</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559</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$ 362</w:t>
            </w:r>
          </w:p>
        </w:tc>
        <w:tc>
          <w:tcPr>
            <w:tcW w:w="400" w:type="dxa"/>
            <w:vAlign w:val="bottom"/>
            <w:gridSpan w:val="2"/>
            <w:shd w:val="clear" w:color="auto" w:fill="CCEEFF"/>
          </w:tcPr>
          <w:p>
            <w:pPr>
              <w:ind w:left="340"/>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649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1,176</w:t>
            </w:r>
          </w:p>
        </w:tc>
        <w:tc>
          <w:tcPr>
            <w:tcW w:w="3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1,449</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4,195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Variable rate debt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567</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$ 294</w:t>
            </w:r>
          </w:p>
        </w:tc>
        <w:tc>
          <w:tcPr>
            <w:tcW w:w="400" w:type="dxa"/>
            <w:vAlign w:val="bottom"/>
            <w:gridSpan w:val="2"/>
          </w:tcPr>
          <w:p>
            <w:pPr>
              <w:ind w:left="340"/>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375</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32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68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68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1,126</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$ 656</w:t>
            </w:r>
          </w:p>
        </w:tc>
        <w:tc>
          <w:tcPr>
            <w:tcW w:w="400" w:type="dxa"/>
            <w:vAlign w:val="bottom"/>
            <w:gridSpan w:val="2"/>
            <w:shd w:val="clear" w:color="auto" w:fill="CCEEFF"/>
          </w:tcPr>
          <w:p>
            <w:pPr>
              <w:ind w:left="340"/>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96"/>
              </w:rPr>
              <w:t>1,024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1,196</w:t>
            </w:r>
          </w:p>
        </w:tc>
        <w:tc>
          <w:tcPr>
            <w:tcW w:w="3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1,478</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5,480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7876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30416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pacing w:after="0" w:line="225" w:lineRule="exact"/>
        <w:rPr>
          <w:sz w:val="20"/>
          <w:szCs w:val="20"/>
          <w:color w:val="auto"/>
        </w:rPr>
      </w:pPr>
    </w:p>
    <w:p>
      <w:pPr>
        <w:ind w:right="280" w:firstLine="228"/>
        <w:spacing w:after="0" w:line="254" w:lineRule="auto"/>
        <w:rPr>
          <w:sz w:val="20"/>
          <w:szCs w:val="20"/>
          <w:color w:val="auto"/>
        </w:rPr>
      </w:pPr>
      <w:r>
        <w:rPr>
          <w:rFonts w:ascii="Arial" w:cs="Arial" w:eastAsia="Arial" w:hAnsi="Arial"/>
          <w:sz w:val="18"/>
          <w:szCs w:val="18"/>
          <w:color w:val="auto"/>
        </w:rPr>
        <w:t>The fair market value of the outstanding fixed rate debt was approximately $4.6 billion as of December 31, 2009. The weighted average interest rate on the variable rate debt as of December 31, 2009 was approximately 1.7%.</w:t>
      </w:r>
    </w:p>
    <w:p>
      <w:pPr>
        <w:ind w:left="240"/>
        <w:spacing w:after="0"/>
        <w:rPr>
          <w:sz w:val="20"/>
          <w:szCs w:val="20"/>
          <w:color w:val="auto"/>
        </w:rPr>
      </w:pPr>
      <w:r>
        <w:rPr>
          <w:rFonts w:ascii="Arial" w:cs="Arial" w:eastAsia="Arial" w:hAnsi="Arial"/>
          <w:sz w:val="18"/>
          <w:szCs w:val="18"/>
          <w:color w:val="auto"/>
        </w:rPr>
        <w:t>Schlumberger does not enter into derivatives for speculative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Form 10-K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oil and gas prices; operating margins; capital expenditures by Schlumberger and the oil and gas industry; the business strategies of Schlumberger’s customers; future global economic conditions expected pension and post-retirement funding; expected stock compensation costs;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pricing erosion; seasonal factors; and other risks and uncertainties described elsewhere in this Form 10-K, including under “Item 1A. Risk Factors”.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INCOME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tbl>
      <w:tblPr>
        <w:tblLayout w:type="fixed"/>
        <w:tblInd w:w="0" w:type="dxa"/>
        <w:tblCellMar>
          <w:top w:w="0" w:type="dxa"/>
          <w:left w:w="0" w:type="dxa"/>
          <w:bottom w:w="0" w:type="dxa"/>
          <w:right w:w="0" w:type="dxa"/>
        </w:tblCellMar>
      </w:tblPr>
      <w:tr>
        <w:trPr>
          <w:trHeight w:val="174"/>
        </w:trPr>
        <w:tc>
          <w:tcPr>
            <w:tcW w:w="92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Revenue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22,702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27,163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23,277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i w:val="1"/>
                <w:iCs w:val="1"/>
                <w:color w:val="auto"/>
              </w:rPr>
              <w:t>Interest and other income, net</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320"/>
              <w:spacing w:after="0" w:line="149" w:lineRule="exact"/>
              <w:rPr>
                <w:sz w:val="20"/>
                <w:szCs w:val="20"/>
                <w:color w:val="auto"/>
              </w:rPr>
            </w:pPr>
            <w:r>
              <w:rPr>
                <w:rFonts w:ascii="Arial" w:cs="Arial" w:eastAsia="Arial" w:hAnsi="Arial"/>
                <w:sz w:val="14"/>
                <w:szCs w:val="14"/>
                <w:color w:val="auto"/>
              </w:rPr>
              <w:t>Cost of revenue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17,395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3"/>
              </w:rPr>
              <w:t>18,968</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15,481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Research &amp; engineering</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320"/>
              <w:spacing w:after="0" w:line="149" w:lineRule="exact"/>
              <w:rPr>
                <w:sz w:val="20"/>
                <w:szCs w:val="20"/>
                <w:color w:val="auto"/>
              </w:rPr>
            </w:pPr>
            <w:r>
              <w:rPr>
                <w:rFonts w:ascii="Arial" w:cs="Arial" w:eastAsia="Arial" w:hAnsi="Arial"/>
                <w:sz w:val="14"/>
                <w:szCs w:val="14"/>
                <w:color w:val="auto"/>
              </w:rPr>
              <w:t>Marketing</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General &amp; administrative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ind w:left="32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221</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247</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2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taxes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3,934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ind w:left="320"/>
              <w:spacing w:after="0"/>
              <w:rPr>
                <w:sz w:val="20"/>
                <w:szCs w:val="20"/>
                <w:color w:val="auto"/>
              </w:rPr>
            </w:pPr>
            <w:r>
              <w:rPr>
                <w:rFonts w:ascii="Arial" w:cs="Arial" w:eastAsia="Arial" w:hAnsi="Arial"/>
                <w:sz w:val="14"/>
                <w:szCs w:val="14"/>
                <w:color w:val="auto"/>
              </w:rPr>
              <w:t>Taxes on income</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770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1,430</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1,448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2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3,164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20"/>
                <w:szCs w:val="20"/>
                <w:color w:val="auto"/>
              </w:rPr>
            </w:pPr>
            <w:r>
              <w:rPr>
                <w:rFonts w:ascii="Arial" w:cs="Arial" w:eastAsia="Arial" w:hAnsi="Arial"/>
                <w:sz w:val="14"/>
                <w:szCs w:val="14"/>
                <w:i w:val="1"/>
                <w:iCs w:val="1"/>
                <w:color w:val="auto"/>
              </w:rPr>
              <w:t>Income (Loss) from Discontinued Operations</w:t>
            </w:r>
          </w:p>
        </w:tc>
        <w:tc>
          <w:tcPr>
            <w:tcW w:w="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38</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2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3,142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5,460</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ind w:left="320"/>
              <w:spacing w:after="0"/>
              <w:rPr>
                <w:sz w:val="20"/>
                <w:szCs w:val="20"/>
                <w:color w:val="auto"/>
              </w:rPr>
            </w:pPr>
            <w:r>
              <w:rPr>
                <w:rFonts w:ascii="Arial" w:cs="Arial" w:eastAsia="Arial" w:hAnsi="Arial"/>
                <w:sz w:val="14"/>
                <w:szCs w:val="14"/>
                <w:color w:val="auto"/>
              </w:rPr>
              <w:t>Net income attributable to noncontrolling interests</w:t>
            </w:r>
          </w:p>
        </w:tc>
        <w:tc>
          <w:tcPr>
            <w:tcW w:w="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2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 attributable to Schlumberger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3,134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Schlumberger amounts attributable to:</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320"/>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3,156</w:t>
            </w:r>
          </w:p>
        </w:tc>
        <w:tc>
          <w:tcPr>
            <w:tcW w:w="3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5,397</w:t>
            </w: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(22)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3,134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Basic earnings per share of Schlumberger:</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320"/>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2.63</w:t>
            </w:r>
          </w:p>
        </w:tc>
        <w:tc>
          <w:tcPr>
            <w:tcW w:w="3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4.51</w:t>
            </w: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(0.02)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Net Income</w:t>
            </w:r>
            <w:r>
              <w:rPr>
                <w:rFonts w:ascii="Arial" w:cs="Arial" w:eastAsia="Arial" w:hAnsi="Arial"/>
                <w:sz w:val="17"/>
                <w:szCs w:val="17"/>
                <w:color w:val="auto"/>
                <w:vertAlign w:val="superscript"/>
              </w:rPr>
              <w:t>(1)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earnings per share of Schlumberger:</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320"/>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2.61</w:t>
            </w:r>
          </w:p>
        </w:tc>
        <w:tc>
          <w:tcPr>
            <w:tcW w:w="3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4.42</w:t>
            </w: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(0.02)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Average shares outstanding</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1,198</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1,196</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Assuming dilution</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1,214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-2711450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-2711450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-2711450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-2711450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-2711450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-2711450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-2711450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-2711450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-2711450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-1956435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-1956435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-1956435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-1956435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-1956435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-1956435</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-1956435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-1956435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-1956435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-1202055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-1202055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-1202055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-1202055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-1202055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-1202055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-1202055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-1202055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-1202055</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-447675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-447675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-447675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-447675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-447675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-447675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-447675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-447675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-447675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240" w:type="dxa"/>
            <w:vAlign w:val="bottom"/>
          </w:tcPr>
          <w:p>
            <w:pPr>
              <w:spacing w:after="0"/>
              <w:rPr>
                <w:sz w:val="20"/>
                <w:szCs w:val="20"/>
                <w:color w:val="auto"/>
              </w:rPr>
            </w:pPr>
            <w:r>
              <w:rPr>
                <w:rFonts w:ascii="Arial" w:cs="Arial" w:eastAsia="Arial" w:hAnsi="Arial"/>
                <w:sz w:val="11"/>
                <w:szCs w:val="11"/>
                <w:color w:val="auto"/>
              </w:rPr>
              <w:t>(1)</w:t>
            </w:r>
          </w:p>
        </w:tc>
        <w:tc>
          <w:tcPr>
            <w:tcW w:w="5540" w:type="dxa"/>
            <w:vAlign w:val="bottom"/>
            <w:vMerge w:val="restart"/>
          </w:tcPr>
          <w:p>
            <w:pPr>
              <w:jc w:val="right"/>
              <w:ind w:right="3292"/>
              <w:spacing w:after="0"/>
              <w:rPr>
                <w:sz w:val="20"/>
                <w:szCs w:val="20"/>
                <w:color w:val="auto"/>
              </w:rPr>
            </w:pPr>
            <w:r>
              <w:rPr>
                <w:rFonts w:ascii="Arial" w:cs="Arial" w:eastAsia="Arial" w:hAnsi="Arial"/>
                <w:sz w:val="14"/>
                <w:szCs w:val="14"/>
                <w:color w:val="auto"/>
                <w:w w:val="90"/>
              </w:rPr>
              <w:t>Amounts may not add due to rounding</w:t>
            </w:r>
          </w:p>
        </w:tc>
        <w:tc>
          <w:tcPr>
            <w:tcW w:w="0" w:type="dxa"/>
            <w:vAlign w:val="bottom"/>
          </w:tcPr>
          <w:p>
            <w:pPr>
              <w:spacing w:after="0"/>
              <w:rPr>
                <w:sz w:val="1"/>
                <w:szCs w:val="1"/>
                <w:color w:val="auto"/>
              </w:rPr>
            </w:pPr>
          </w:p>
        </w:tc>
      </w:tr>
      <w:tr>
        <w:trPr>
          <w:trHeight w:val="76"/>
        </w:trPr>
        <w:tc>
          <w:tcPr>
            <w:tcW w:w="240" w:type="dxa"/>
            <w:vAlign w:val="bottom"/>
          </w:tcPr>
          <w:p>
            <w:pPr>
              <w:spacing w:after="0"/>
              <w:rPr>
                <w:sz w:val="6"/>
                <w:szCs w:val="6"/>
                <w:color w:val="auto"/>
              </w:rPr>
            </w:pPr>
          </w:p>
        </w:tc>
        <w:tc>
          <w:tcPr>
            <w:tcW w:w="5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55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99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9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ASSETS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spacing w:after="0" w:line="149" w:lineRule="exact"/>
              <w:rPr>
                <w:sz w:val="20"/>
                <w:szCs w:val="20"/>
                <w:color w:val="auto"/>
              </w:rPr>
            </w:pPr>
            <w:r>
              <w:rPr>
                <w:rFonts w:ascii="Arial" w:cs="Arial" w:eastAsia="Arial" w:hAnsi="Arial"/>
                <w:sz w:val="14"/>
                <w:szCs w:val="14"/>
                <w:i w:val="1"/>
                <w:iCs w:val="1"/>
                <w:color w:val="auto"/>
              </w:rPr>
              <w:t>Current Assets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243</w:t>
            </w: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320"/>
              <w:spacing w:after="0" w:line="14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4,373</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3,503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Receivables less allowance for doubtful accounts</w:t>
            </w:r>
          </w:p>
        </w:tc>
        <w:tc>
          <w:tcPr>
            <w:tcW w:w="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6,088</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9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(2009 – $160; 2008 – $133)</w:t>
            </w:r>
          </w:p>
        </w:tc>
        <w:tc>
          <w:tcPr>
            <w:tcW w:w="8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6,258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1,866</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154</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00" w:type="dxa"/>
            <w:vAlign w:val="bottom"/>
          </w:tcPr>
          <w:p>
            <w:pPr>
              <w:ind w:left="320"/>
              <w:spacing w:after="0"/>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926</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9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13,650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12,986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spacing w:after="0" w:line="149" w:lineRule="exact"/>
              <w:rPr>
                <w:sz w:val="20"/>
                <w:szCs w:val="20"/>
                <w:color w:val="auto"/>
              </w:rPr>
            </w:pPr>
            <w:r>
              <w:rPr>
                <w:rFonts w:ascii="Arial" w:cs="Arial" w:eastAsia="Arial" w:hAnsi="Arial"/>
                <w:sz w:val="14"/>
                <w:szCs w:val="14"/>
                <w:i w:val="1"/>
                <w:iCs w:val="1"/>
                <w:color w:val="auto"/>
              </w:rPr>
              <w:t>Fixed Income Investments, held to maturity</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738</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Investments in Affiliated Companies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2,306</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spacing w:after="0" w:line="149" w:lineRule="exact"/>
              <w:rPr>
                <w:sz w:val="20"/>
                <w:szCs w:val="20"/>
                <w:color w:val="auto"/>
              </w:rPr>
            </w:pPr>
            <w:r>
              <w:rPr>
                <w:rFonts w:ascii="Arial" w:cs="Arial" w:eastAsia="Arial" w:hAnsi="Arial"/>
                <w:sz w:val="14"/>
                <w:szCs w:val="14"/>
                <w:i w:val="1"/>
                <w:iCs w:val="1"/>
                <w:color w:val="auto"/>
              </w:rPr>
              <w:t>Fixed Assets less accumulated depreciation</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9,660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9,690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Multiclient Seismic Data</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288</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spacing w:after="0" w:line="149" w:lineRule="exact"/>
              <w:rPr>
                <w:sz w:val="20"/>
                <w:szCs w:val="20"/>
                <w:color w:val="auto"/>
              </w:rPr>
            </w:pPr>
            <w:r>
              <w:rPr>
                <w:rFonts w:ascii="Arial" w:cs="Arial" w:eastAsia="Arial" w:hAnsi="Arial"/>
                <w:sz w:val="14"/>
                <w:szCs w:val="14"/>
                <w:i w:val="1"/>
                <w:iCs w:val="1"/>
                <w:color w:val="auto"/>
              </w:rPr>
              <w:t>Goodwill</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5,305</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5,189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Intangible Assets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786</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376</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Assets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356</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33,465</w:t>
            </w: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32,094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9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20"/>
                <w:szCs w:val="20"/>
                <w:color w:val="auto"/>
              </w:rPr>
            </w:pPr>
            <w:r>
              <w:rPr>
                <w:rFonts w:ascii="Arial" w:cs="Arial" w:eastAsia="Arial" w:hAnsi="Arial"/>
                <w:sz w:val="14"/>
                <w:szCs w:val="14"/>
                <w:b w:val="1"/>
                <w:bCs w:val="1"/>
                <w:i w:val="1"/>
                <w:iCs w:val="1"/>
                <w:color w:val="auto"/>
              </w:rPr>
              <w:t>LIABILITIES AND EQUITY</w:t>
            </w: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i w:val="1"/>
                <w:iCs w:val="1"/>
                <w:color w:val="auto"/>
              </w:rPr>
              <w:t>Current Liabilities</w:t>
            </w:r>
          </w:p>
        </w:tc>
        <w:tc>
          <w:tcPr>
            <w:tcW w:w="4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$ 5,003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20" w:type="dxa"/>
            <w:vAlign w:val="bottom"/>
          </w:tcPr>
          <w:p>
            <w:pPr>
              <w:ind w:left="340"/>
              <w:spacing w:after="0" w:line="147" w:lineRule="exact"/>
              <w:rPr>
                <w:sz w:val="20"/>
                <w:szCs w:val="20"/>
                <w:color w:val="auto"/>
              </w:rPr>
            </w:pPr>
            <w:r>
              <w:rPr>
                <w:rFonts w:ascii="Arial" w:cs="Arial" w:eastAsia="Arial" w:hAnsi="Arial"/>
                <w:sz w:val="14"/>
                <w:szCs w:val="14"/>
                <w:color w:val="auto"/>
              </w:rPr>
              <w:t>Accounts payable and accrued liabilities</w:t>
            </w:r>
          </w:p>
        </w:tc>
        <w:tc>
          <w:tcPr>
            <w:tcW w:w="4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340"/>
              <w:spacing w:after="0" w:line="149" w:lineRule="exact"/>
              <w:rPr>
                <w:sz w:val="20"/>
                <w:szCs w:val="20"/>
                <w:color w:val="auto"/>
              </w:rPr>
            </w:pPr>
            <w:r>
              <w:rPr>
                <w:rFonts w:ascii="Arial" w:cs="Arial" w:eastAsia="Arial" w:hAnsi="Arial"/>
                <w:sz w:val="14"/>
                <w:szCs w:val="14"/>
                <w:color w:val="auto"/>
              </w:rPr>
              <w:t>Estimated liability for taxes on income</w:t>
            </w:r>
          </w:p>
        </w:tc>
        <w:tc>
          <w:tcPr>
            <w:tcW w:w="4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340"/>
              <w:spacing w:after="0" w:line="149" w:lineRule="exact"/>
              <w:rPr>
                <w:sz w:val="20"/>
                <w:szCs w:val="20"/>
                <w:color w:val="auto"/>
              </w:rPr>
            </w:pPr>
            <w:r>
              <w:rPr>
                <w:rFonts w:ascii="Arial" w:cs="Arial" w:eastAsia="Arial" w:hAnsi="Arial"/>
                <w:sz w:val="14"/>
                <w:szCs w:val="14"/>
                <w:color w:val="auto"/>
              </w:rPr>
              <w:t>Dividend payable</w:t>
            </w:r>
          </w:p>
        </w:tc>
        <w:tc>
          <w:tcPr>
            <w:tcW w:w="4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340"/>
              <w:spacing w:after="0" w:line="149" w:lineRule="exact"/>
              <w:rPr>
                <w:sz w:val="20"/>
                <w:szCs w:val="20"/>
                <w:color w:val="auto"/>
              </w:rPr>
            </w:pPr>
            <w:r>
              <w:rPr>
                <w:rFonts w:ascii="Arial" w:cs="Arial" w:eastAsia="Arial" w:hAnsi="Arial"/>
                <w:sz w:val="14"/>
                <w:szCs w:val="14"/>
                <w:color w:val="auto"/>
              </w:rPr>
              <w:t>Long-term debt – current portion</w:t>
            </w:r>
          </w:p>
        </w:tc>
        <w:tc>
          <w:tcPr>
            <w:tcW w:w="4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340"/>
              <w:spacing w:after="0" w:line="149" w:lineRule="exact"/>
              <w:rPr>
                <w:sz w:val="20"/>
                <w:szCs w:val="20"/>
                <w:color w:val="auto"/>
              </w:rPr>
            </w:pPr>
            <w:r>
              <w:rPr>
                <w:rFonts w:ascii="Arial" w:cs="Arial" w:eastAsia="Arial" w:hAnsi="Arial"/>
                <w:sz w:val="14"/>
                <w:szCs w:val="14"/>
                <w:color w:val="auto"/>
              </w:rPr>
              <w:t>Short-term borrowings</w:t>
            </w:r>
          </w:p>
        </w:tc>
        <w:tc>
          <w:tcPr>
            <w:tcW w:w="4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220" w:type="dxa"/>
            <w:vAlign w:val="bottom"/>
          </w:tcPr>
          <w:p>
            <w:pPr>
              <w:ind w:left="340"/>
              <w:spacing w:after="0"/>
              <w:rPr>
                <w:sz w:val="20"/>
                <w:szCs w:val="20"/>
                <w:color w:val="auto"/>
              </w:rPr>
            </w:pPr>
            <w:r>
              <w:rPr>
                <w:rFonts w:ascii="Arial" w:cs="Arial" w:eastAsia="Arial" w:hAnsi="Arial"/>
                <w:sz w:val="14"/>
                <w:szCs w:val="14"/>
                <w:color w:val="auto"/>
              </w:rPr>
              <w:t>Convertible debentures</w:t>
            </w:r>
          </w:p>
        </w:tc>
        <w:tc>
          <w:tcPr>
            <w:tcW w:w="4180" w:type="dxa"/>
            <w:vAlign w:val="bottom"/>
          </w:tcPr>
          <w:p>
            <w:pPr>
              <w:jc w:val="right"/>
              <w:spacing w:after="0"/>
              <w:rPr>
                <w:sz w:val="20"/>
                <w:szCs w:val="20"/>
                <w:color w:val="auto"/>
              </w:rPr>
            </w:pPr>
            <w:r>
              <w:rPr>
                <w:rFonts w:ascii="Arial" w:cs="Arial" w:eastAsia="Arial" w:hAnsi="Arial"/>
                <w:sz w:val="14"/>
                <w:szCs w:val="14"/>
                <w:b w:val="1"/>
                <w:bCs w:val="1"/>
                <w:color w:val="auto"/>
              </w:rPr>
              <w:t>321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20" w:type="dxa"/>
            <w:vAlign w:val="bottom"/>
            <w:tcBorders>
              <w:bottom w:val="single" w:sz="8" w:color="808080"/>
            </w:tcBorders>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Arial" w:cs="Arial" w:eastAsia="Arial" w:hAnsi="Arial"/>
                <w:sz w:val="14"/>
                <w:szCs w:val="14"/>
                <w:b w:val="1"/>
                <w:bCs w:val="1"/>
                <w:color w:val="auto"/>
              </w:rPr>
              <w:t>7,259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i w:val="1"/>
                <w:iCs w:val="1"/>
                <w:color w:val="auto"/>
              </w:rPr>
              <w:t>Convertible Debentures</w:t>
            </w:r>
          </w:p>
        </w:tc>
        <w:tc>
          <w:tcPr>
            <w:tcW w:w="42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i w:val="1"/>
                <w:iCs w:val="1"/>
                <w:color w:val="auto"/>
              </w:rPr>
              <w:t>Other Long-term Debt</w:t>
            </w:r>
          </w:p>
        </w:tc>
        <w:tc>
          <w:tcPr>
            <w:tcW w:w="4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i w:val="1"/>
                <w:iCs w:val="1"/>
                <w:color w:val="auto"/>
              </w:rPr>
              <w:t>Postretirement Benefits</w:t>
            </w:r>
          </w:p>
        </w:tc>
        <w:tc>
          <w:tcPr>
            <w:tcW w:w="4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220" w:type="dxa"/>
            <w:vAlign w:val="bottom"/>
          </w:tcPr>
          <w:p>
            <w:pPr>
              <w:spacing w:after="0"/>
              <w:rPr>
                <w:sz w:val="20"/>
                <w:szCs w:val="20"/>
                <w:color w:val="auto"/>
              </w:rPr>
            </w:pPr>
            <w:r>
              <w:rPr>
                <w:rFonts w:ascii="Arial" w:cs="Arial" w:eastAsia="Arial" w:hAnsi="Arial"/>
                <w:sz w:val="14"/>
                <w:szCs w:val="14"/>
                <w:i w:val="1"/>
                <w:iCs w:val="1"/>
                <w:color w:val="auto"/>
              </w:rPr>
              <w:t>Other Liabilities</w:t>
            </w:r>
          </w:p>
        </w:tc>
        <w:tc>
          <w:tcPr>
            <w:tcW w:w="4180" w:type="dxa"/>
            <w:vAlign w:val="bottom"/>
          </w:tcPr>
          <w:p>
            <w:pPr>
              <w:jc w:val="right"/>
              <w:spacing w:after="0"/>
              <w:rPr>
                <w:sz w:val="20"/>
                <w:szCs w:val="20"/>
                <w:color w:val="auto"/>
              </w:rPr>
            </w:pPr>
            <w:r>
              <w:rPr>
                <w:rFonts w:ascii="Arial" w:cs="Arial" w:eastAsia="Arial" w:hAnsi="Arial"/>
                <w:sz w:val="14"/>
                <w:szCs w:val="14"/>
                <w:b w:val="1"/>
                <w:bCs w:val="1"/>
                <w:color w:val="auto"/>
              </w:rPr>
              <w:t>962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20" w:type="dxa"/>
            <w:vAlign w:val="bottom"/>
            <w:tcBorders>
              <w:bottom w:val="single" w:sz="8" w:color="808080"/>
            </w:tcBorders>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220" w:type="dxa"/>
            <w:vAlign w:val="bottom"/>
          </w:tcPr>
          <w:p>
            <w:pPr>
              <w:spacing w:after="0"/>
              <w:rPr>
                <w:sz w:val="22"/>
                <w:szCs w:val="22"/>
                <w:color w:val="auto"/>
              </w:rPr>
            </w:pPr>
          </w:p>
        </w:tc>
        <w:tc>
          <w:tcPr>
            <w:tcW w:w="4180" w:type="dxa"/>
            <w:vAlign w:val="bottom"/>
          </w:tcPr>
          <w:p>
            <w:pPr>
              <w:jc w:val="right"/>
              <w:spacing w:after="0"/>
              <w:rPr>
                <w:sz w:val="20"/>
                <w:szCs w:val="20"/>
                <w:color w:val="auto"/>
              </w:rPr>
            </w:pPr>
            <w:r>
              <w:rPr>
                <w:rFonts w:ascii="Arial" w:cs="Arial" w:eastAsia="Arial" w:hAnsi="Arial"/>
                <w:sz w:val="14"/>
                <w:szCs w:val="14"/>
                <w:b w:val="1"/>
                <w:bCs w:val="1"/>
                <w:color w:val="auto"/>
              </w:rPr>
              <w:t>14,236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220" w:type="dxa"/>
            <w:vAlign w:val="bottom"/>
            <w:tcBorders>
              <w:bottom w:val="single" w:sz="8" w:color="808080"/>
            </w:tcBorders>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220" w:type="dxa"/>
            <w:vAlign w:val="bottom"/>
          </w:tcPr>
          <w:p>
            <w:pPr>
              <w:spacing w:after="0"/>
              <w:rPr>
                <w:sz w:val="20"/>
                <w:szCs w:val="20"/>
                <w:color w:val="auto"/>
              </w:rPr>
            </w:pPr>
            <w:r>
              <w:rPr>
                <w:rFonts w:ascii="Arial" w:cs="Arial" w:eastAsia="Arial" w:hAnsi="Arial"/>
                <w:sz w:val="14"/>
                <w:szCs w:val="14"/>
                <w:i w:val="1"/>
                <w:iCs w:val="1"/>
                <w:color w:val="auto"/>
              </w:rPr>
              <w:t>Equity</w:t>
            </w:r>
          </w:p>
        </w:tc>
        <w:tc>
          <w:tcPr>
            <w:tcW w:w="4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6220" w:type="dxa"/>
            <w:vAlign w:val="bottom"/>
          </w:tcPr>
          <w:p>
            <w:pPr>
              <w:ind w:left="340"/>
              <w:spacing w:after="0" w:line="147" w:lineRule="exact"/>
              <w:rPr>
                <w:sz w:val="20"/>
                <w:szCs w:val="20"/>
                <w:color w:val="auto"/>
              </w:rPr>
            </w:pPr>
            <w:r>
              <w:rPr>
                <w:rFonts w:ascii="Arial" w:cs="Arial" w:eastAsia="Arial" w:hAnsi="Arial"/>
                <w:sz w:val="14"/>
                <w:szCs w:val="14"/>
                <w:color w:val="auto"/>
              </w:rPr>
              <w:t>Common stock</w:t>
            </w:r>
          </w:p>
        </w:tc>
        <w:tc>
          <w:tcPr>
            <w:tcW w:w="4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340"/>
              <w:spacing w:after="0" w:line="149" w:lineRule="exact"/>
              <w:rPr>
                <w:sz w:val="20"/>
                <w:szCs w:val="20"/>
                <w:color w:val="auto"/>
              </w:rPr>
            </w:pPr>
            <w:r>
              <w:rPr>
                <w:rFonts w:ascii="Arial" w:cs="Arial" w:eastAsia="Arial" w:hAnsi="Arial"/>
                <w:sz w:val="14"/>
                <w:szCs w:val="14"/>
                <w:color w:val="auto"/>
              </w:rPr>
              <w:t>Treasury stock</w:t>
            </w:r>
          </w:p>
        </w:tc>
        <w:tc>
          <w:tcPr>
            <w:tcW w:w="4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(5,002)</w:t>
            </w:r>
          </w:p>
        </w:tc>
        <w:tc>
          <w:tcPr>
            <w:tcW w:w="0" w:type="dxa"/>
            <w:vAlign w:val="bottom"/>
          </w:tcPr>
          <w:p>
            <w:pPr>
              <w:spacing w:after="0"/>
              <w:rPr>
                <w:sz w:val="1"/>
                <w:szCs w:val="1"/>
                <w:color w:val="auto"/>
              </w:rPr>
            </w:pPr>
          </w:p>
        </w:tc>
      </w:tr>
      <w:tr>
        <w:trPr>
          <w:trHeight w:val="149"/>
        </w:trPr>
        <w:tc>
          <w:tcPr>
            <w:tcW w:w="6220" w:type="dxa"/>
            <w:vAlign w:val="bottom"/>
          </w:tcPr>
          <w:p>
            <w:pPr>
              <w:ind w:left="340"/>
              <w:spacing w:after="0" w:line="149" w:lineRule="exact"/>
              <w:rPr>
                <w:sz w:val="20"/>
                <w:szCs w:val="20"/>
                <w:color w:val="auto"/>
              </w:rPr>
            </w:pPr>
            <w:r>
              <w:rPr>
                <w:rFonts w:ascii="Arial" w:cs="Arial" w:eastAsia="Arial" w:hAnsi="Arial"/>
                <w:sz w:val="14"/>
                <w:szCs w:val="14"/>
                <w:color w:val="auto"/>
              </w:rPr>
              <w:t>Retained earnings</w:t>
            </w:r>
          </w:p>
        </w:tc>
        <w:tc>
          <w:tcPr>
            <w:tcW w:w="4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220" w:type="dxa"/>
            <w:vAlign w:val="bottom"/>
          </w:tcPr>
          <w:p>
            <w:pPr>
              <w:ind w:left="340"/>
              <w:spacing w:after="0"/>
              <w:rPr>
                <w:sz w:val="20"/>
                <w:szCs w:val="20"/>
                <w:color w:val="auto"/>
              </w:rPr>
            </w:pPr>
            <w:r>
              <w:rPr>
                <w:rFonts w:ascii="Arial" w:cs="Arial" w:eastAsia="Arial" w:hAnsi="Arial"/>
                <w:sz w:val="14"/>
                <w:szCs w:val="14"/>
                <w:color w:val="auto"/>
              </w:rPr>
              <w:t>Accumulated other comprehensive loss</w:t>
            </w:r>
          </w:p>
        </w:tc>
        <w:tc>
          <w:tcPr>
            <w:tcW w:w="4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(2,674)</w:t>
            </w:r>
          </w:p>
        </w:tc>
        <w:tc>
          <w:tcPr>
            <w:tcW w:w="0" w:type="dxa"/>
            <w:vAlign w:val="bottom"/>
          </w:tcPr>
          <w:p>
            <w:pPr>
              <w:spacing w:after="0"/>
              <w:rPr>
                <w:sz w:val="1"/>
                <w:szCs w:val="1"/>
                <w:color w:val="auto"/>
              </w:rPr>
            </w:pPr>
          </w:p>
        </w:tc>
      </w:tr>
      <w:tr>
        <w:trPr>
          <w:trHeight w:val="95"/>
        </w:trPr>
        <w:tc>
          <w:tcPr>
            <w:tcW w:w="6220" w:type="dxa"/>
            <w:vAlign w:val="bottom"/>
            <w:tcBorders>
              <w:bottom w:val="single" w:sz="8" w:color="808080"/>
            </w:tcBorders>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340"/>
              <w:spacing w:after="0"/>
              <w:rPr>
                <w:sz w:val="20"/>
                <w:szCs w:val="20"/>
                <w:color w:val="auto"/>
              </w:rPr>
            </w:pPr>
            <w:r>
              <w:rPr>
                <w:rFonts w:ascii="Arial" w:cs="Arial" w:eastAsia="Arial" w:hAnsi="Arial"/>
                <w:sz w:val="14"/>
                <w:szCs w:val="14"/>
                <w:color w:val="auto"/>
              </w:rPr>
              <w:t>Schlumberger stockholders’ equity</w:t>
            </w:r>
          </w:p>
        </w:tc>
        <w:tc>
          <w:tcPr>
            <w:tcW w:w="4180" w:type="dxa"/>
            <w:vAlign w:val="bottom"/>
          </w:tcPr>
          <w:p>
            <w:pPr>
              <w:jc w:val="right"/>
              <w:spacing w:after="0"/>
              <w:rPr>
                <w:sz w:val="20"/>
                <w:szCs w:val="20"/>
                <w:color w:val="auto"/>
              </w:rPr>
            </w:pPr>
            <w:r>
              <w:rPr>
                <w:rFonts w:ascii="Arial" w:cs="Arial" w:eastAsia="Arial" w:hAnsi="Arial"/>
                <w:sz w:val="14"/>
                <w:szCs w:val="14"/>
                <w:b w:val="1"/>
                <w:bCs w:val="1"/>
                <w:color w:val="auto"/>
              </w:rPr>
              <w:t>19,120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220" w:type="dxa"/>
            <w:vAlign w:val="bottom"/>
          </w:tcPr>
          <w:p>
            <w:pPr>
              <w:ind w:left="340"/>
              <w:spacing w:after="0"/>
              <w:rPr>
                <w:sz w:val="20"/>
                <w:szCs w:val="20"/>
                <w:color w:val="auto"/>
              </w:rPr>
            </w:pPr>
            <w:r>
              <w:rPr>
                <w:rFonts w:ascii="Arial" w:cs="Arial" w:eastAsia="Arial" w:hAnsi="Arial"/>
                <w:sz w:val="14"/>
                <w:szCs w:val="14"/>
                <w:color w:val="auto"/>
              </w:rPr>
              <w:t>Noncontrolling interests</w:t>
            </w:r>
          </w:p>
        </w:tc>
        <w:tc>
          <w:tcPr>
            <w:tcW w:w="418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-2571750</wp:posOffset>
            </wp:positionV>
            <wp:extent cx="7246620" cy="946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-2383155</wp:posOffset>
            </wp:positionV>
            <wp:extent cx="7246620" cy="946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-2194560</wp:posOffset>
            </wp:positionV>
            <wp:extent cx="7246620" cy="946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-2005965</wp:posOffset>
            </wp:positionV>
            <wp:extent cx="7246620" cy="946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-1671320</wp:posOffset>
            </wp:positionV>
            <wp:extent cx="7246620" cy="946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-1482725</wp:posOffset>
            </wp:positionV>
            <wp:extent cx="7246620" cy="946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-1294130</wp:posOffset>
            </wp:positionV>
            <wp:extent cx="7246620" cy="946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7246620" cy="946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246620" cy="946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246620" cy="946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246620" cy="946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946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660336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47" w:hanging="147"/>
        <w:spacing w:after="0"/>
        <w:tabs>
          <w:tab w:leader="none" w:pos="147" w:val="left"/>
        </w:tabs>
        <w:numPr>
          <w:ilvl w:val="0"/>
          <w:numId w:val="21"/>
        </w:numPr>
        <w:rPr>
          <w:rFonts w:ascii="Arial" w:cs="Arial" w:eastAsia="Arial" w:hAnsi="Arial"/>
          <w:sz w:val="12"/>
          <w:szCs w:val="12"/>
          <w:color w:val="auto"/>
        </w:rPr>
      </w:pPr>
      <w:r>
        <w:rPr>
          <w:rFonts w:ascii="Arial" w:cs="Arial" w:eastAsia="Arial" w:hAnsi="Arial"/>
          <w:sz w:val="12"/>
          <w:szCs w:val="12"/>
          <w:color w:val="auto"/>
        </w:rPr>
        <w:t>5,318</w:t>
      </w:r>
    </w:p>
    <w:p>
      <w:pPr>
        <w:spacing w:after="0" w:line="22" w:lineRule="exact"/>
        <w:rPr>
          <w:rFonts w:ascii="Arial" w:cs="Arial" w:eastAsia="Arial" w:hAnsi="Arial"/>
          <w:sz w:val="12"/>
          <w:szCs w:val="12"/>
          <w:color w:val="auto"/>
        </w:rPr>
      </w:pPr>
    </w:p>
    <w:p>
      <w:pPr>
        <w:ind w:left="147"/>
        <w:spacing w:after="0"/>
        <w:rPr>
          <w:rFonts w:ascii="Arial" w:cs="Arial" w:eastAsia="Arial" w:hAnsi="Arial"/>
          <w:sz w:val="12"/>
          <w:szCs w:val="12"/>
          <w:color w:val="auto"/>
        </w:rPr>
      </w:pPr>
      <w:r>
        <w:rPr>
          <w:rFonts w:ascii="Arial" w:cs="Arial" w:eastAsia="Arial" w:hAnsi="Arial"/>
          <w:sz w:val="12"/>
          <w:szCs w:val="12"/>
          <w:color w:val="auto"/>
        </w:rPr>
        <w:t>1,007</w:t>
      </w:r>
    </w:p>
    <w:p>
      <w:pPr>
        <w:spacing w:after="0" w:line="10" w:lineRule="exact"/>
        <w:rPr>
          <w:rFonts w:ascii="Arial" w:cs="Arial" w:eastAsia="Arial" w:hAnsi="Arial"/>
          <w:sz w:val="12"/>
          <w:szCs w:val="12"/>
          <w:color w:val="auto"/>
        </w:rPr>
      </w:pPr>
    </w:p>
    <w:p>
      <w:pPr>
        <w:ind w:left="247"/>
        <w:spacing w:after="0" w:line="221" w:lineRule="auto"/>
        <w:rPr>
          <w:rFonts w:ascii="Arial" w:cs="Arial" w:eastAsia="Arial" w:hAnsi="Arial"/>
          <w:sz w:val="12"/>
          <w:szCs w:val="12"/>
          <w:color w:val="auto"/>
        </w:rPr>
      </w:pPr>
      <w:r>
        <w:rPr>
          <w:rFonts w:ascii="Arial" w:cs="Arial" w:eastAsia="Arial" w:hAnsi="Arial"/>
          <w:sz w:val="14"/>
          <w:szCs w:val="14"/>
          <w:color w:val="auto"/>
        </w:rPr>
        <w:t>252</w:t>
      </w:r>
    </w:p>
    <w:p>
      <w:pPr>
        <w:ind w:left="147"/>
        <w:spacing w:after="0"/>
        <w:rPr>
          <w:rFonts w:ascii="Arial" w:cs="Arial" w:eastAsia="Arial" w:hAnsi="Arial"/>
          <w:sz w:val="12"/>
          <w:szCs w:val="12"/>
          <w:color w:val="auto"/>
        </w:rPr>
      </w:pPr>
      <w:r>
        <w:rPr>
          <w:rFonts w:ascii="Arial" w:cs="Arial" w:eastAsia="Arial" w:hAnsi="Arial"/>
          <w:sz w:val="12"/>
          <w:szCs w:val="12"/>
          <w:color w:val="auto"/>
        </w:rPr>
        <w:t>1,139</w:t>
      </w:r>
    </w:p>
    <w:p>
      <w:pPr>
        <w:spacing w:after="0" w:line="10" w:lineRule="exact"/>
        <w:rPr>
          <w:rFonts w:ascii="Arial" w:cs="Arial" w:eastAsia="Arial" w:hAnsi="Arial"/>
          <w:sz w:val="12"/>
          <w:szCs w:val="12"/>
          <w:color w:val="auto"/>
        </w:rPr>
      </w:pPr>
    </w:p>
    <w:p>
      <w:pPr>
        <w:ind w:left="247"/>
        <w:spacing w:after="0" w:line="221" w:lineRule="auto"/>
        <w:rPr>
          <w:rFonts w:ascii="Arial" w:cs="Arial" w:eastAsia="Arial" w:hAnsi="Arial"/>
          <w:sz w:val="12"/>
          <w:szCs w:val="12"/>
          <w:color w:val="auto"/>
        </w:rPr>
      </w:pPr>
      <w:r>
        <w:rPr>
          <w:rFonts w:ascii="Arial" w:cs="Arial" w:eastAsia="Arial" w:hAnsi="Arial"/>
          <w:sz w:val="14"/>
          <w:szCs w:val="14"/>
          <w:color w:val="auto"/>
        </w:rPr>
        <w:t>459</w:t>
      </w:r>
    </w:p>
    <w:p>
      <w:pPr>
        <w:ind w:left="387"/>
        <w:spacing w:after="0"/>
        <w:rPr>
          <w:rFonts w:ascii="Arial" w:cs="Arial" w:eastAsia="Arial" w:hAnsi="Arial"/>
          <w:sz w:val="12"/>
          <w:szCs w:val="12"/>
          <w:color w:val="auto"/>
        </w:rPr>
      </w:pPr>
      <w:r>
        <w:rPr>
          <w:rFonts w:ascii="Arial" w:cs="Arial" w:eastAsia="Arial" w:hAnsi="Arial"/>
          <w:sz w:val="14"/>
          <w:szCs w:val="14"/>
          <w:color w:val="auto"/>
        </w:rPr>
        <w:t>–</w:t>
      </w:r>
    </w:p>
    <w:p>
      <w:pPr>
        <w:spacing w:after="0" w:line="205" w:lineRule="exact"/>
        <w:rPr>
          <w:rFonts w:ascii="Arial" w:cs="Arial" w:eastAsia="Arial" w:hAnsi="Arial"/>
          <w:sz w:val="12"/>
          <w:szCs w:val="12"/>
          <w:color w:val="auto"/>
        </w:rPr>
      </w:pPr>
    </w:p>
    <w:p>
      <w:pPr>
        <w:ind w:left="147"/>
        <w:spacing w:after="0"/>
        <w:rPr>
          <w:rFonts w:ascii="Arial" w:cs="Arial" w:eastAsia="Arial" w:hAnsi="Arial"/>
          <w:sz w:val="12"/>
          <w:szCs w:val="12"/>
          <w:color w:val="auto"/>
        </w:rPr>
      </w:pPr>
      <w:r>
        <w:rPr>
          <w:rFonts w:ascii="Arial" w:cs="Arial" w:eastAsia="Arial" w:hAnsi="Arial"/>
          <w:sz w:val="12"/>
          <w:szCs w:val="12"/>
          <w:color w:val="auto"/>
        </w:rPr>
        <w:t>8,175</w:t>
      </w:r>
    </w:p>
    <w:p>
      <w:pPr>
        <w:spacing w:after="0" w:line="22" w:lineRule="exact"/>
        <w:rPr>
          <w:rFonts w:ascii="Arial" w:cs="Arial" w:eastAsia="Arial" w:hAnsi="Arial"/>
          <w:sz w:val="12"/>
          <w:szCs w:val="12"/>
          <w:color w:val="auto"/>
        </w:rPr>
      </w:pPr>
    </w:p>
    <w:p>
      <w:pPr>
        <w:ind w:left="247"/>
        <w:spacing w:after="0" w:line="221" w:lineRule="auto"/>
        <w:rPr>
          <w:rFonts w:ascii="Arial" w:cs="Arial" w:eastAsia="Arial" w:hAnsi="Arial"/>
          <w:sz w:val="12"/>
          <w:szCs w:val="12"/>
          <w:color w:val="auto"/>
        </w:rPr>
      </w:pPr>
      <w:r>
        <w:rPr>
          <w:rFonts w:ascii="Arial" w:cs="Arial" w:eastAsia="Arial" w:hAnsi="Arial"/>
          <w:sz w:val="14"/>
          <w:szCs w:val="14"/>
          <w:color w:val="auto"/>
        </w:rPr>
        <w:t>321</w:t>
      </w:r>
    </w:p>
    <w:p>
      <w:pPr>
        <w:ind w:left="147"/>
        <w:spacing w:after="0"/>
        <w:rPr>
          <w:rFonts w:ascii="Arial" w:cs="Arial" w:eastAsia="Arial" w:hAnsi="Arial"/>
          <w:sz w:val="12"/>
          <w:szCs w:val="12"/>
          <w:color w:val="auto"/>
        </w:rPr>
      </w:pPr>
      <w:r>
        <w:rPr>
          <w:rFonts w:ascii="Arial" w:cs="Arial" w:eastAsia="Arial" w:hAnsi="Arial"/>
          <w:sz w:val="12"/>
          <w:szCs w:val="12"/>
          <w:color w:val="auto"/>
        </w:rPr>
        <w:t>3,372</w:t>
      </w:r>
    </w:p>
    <w:p>
      <w:pPr>
        <w:spacing w:after="0" w:line="10" w:lineRule="exact"/>
        <w:rPr>
          <w:rFonts w:ascii="Arial" w:cs="Arial" w:eastAsia="Arial" w:hAnsi="Arial"/>
          <w:sz w:val="12"/>
          <w:szCs w:val="12"/>
          <w:color w:val="auto"/>
        </w:rPr>
      </w:pPr>
    </w:p>
    <w:p>
      <w:pPr>
        <w:ind w:left="147"/>
        <w:spacing w:after="0"/>
        <w:rPr>
          <w:rFonts w:ascii="Arial" w:cs="Arial" w:eastAsia="Arial" w:hAnsi="Arial"/>
          <w:sz w:val="12"/>
          <w:szCs w:val="12"/>
          <w:color w:val="auto"/>
        </w:rPr>
      </w:pPr>
      <w:r>
        <w:rPr>
          <w:rFonts w:ascii="Arial" w:cs="Arial" w:eastAsia="Arial" w:hAnsi="Arial"/>
          <w:sz w:val="12"/>
          <w:szCs w:val="12"/>
          <w:color w:val="auto"/>
        </w:rPr>
        <w:t>2,369</w:t>
      </w:r>
    </w:p>
    <w:p>
      <w:pPr>
        <w:spacing w:after="0" w:line="10" w:lineRule="exact"/>
        <w:rPr>
          <w:rFonts w:ascii="Arial" w:cs="Arial" w:eastAsia="Arial" w:hAnsi="Arial"/>
          <w:sz w:val="12"/>
          <w:szCs w:val="12"/>
          <w:color w:val="auto"/>
        </w:rPr>
      </w:pPr>
    </w:p>
    <w:p>
      <w:pPr>
        <w:ind w:left="247"/>
        <w:spacing w:after="0"/>
        <w:rPr>
          <w:rFonts w:ascii="Arial" w:cs="Arial" w:eastAsia="Arial" w:hAnsi="Arial"/>
          <w:sz w:val="12"/>
          <w:szCs w:val="12"/>
          <w:color w:val="auto"/>
        </w:rPr>
      </w:pPr>
      <w:r>
        <w:rPr>
          <w:rFonts w:ascii="Arial" w:cs="Arial" w:eastAsia="Arial" w:hAnsi="Arial"/>
          <w:sz w:val="14"/>
          <w:szCs w:val="14"/>
          <w:color w:val="auto"/>
        </w:rPr>
        <w:t>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-556895</wp:posOffset>
            </wp:positionV>
            <wp:extent cx="30861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59690</wp:posOffset>
            </wp:positionV>
            <wp:extent cx="30861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85" w:lineRule="exact"/>
        <w:rPr>
          <w:sz w:val="20"/>
          <w:szCs w:val="20"/>
          <w:color w:val="auto"/>
        </w:rPr>
      </w:pPr>
    </w:p>
    <w:p>
      <w:pPr>
        <w:ind w:left="67"/>
        <w:spacing w:after="0"/>
        <w:rPr>
          <w:sz w:val="20"/>
          <w:szCs w:val="20"/>
          <w:color w:val="auto"/>
        </w:rPr>
      </w:pPr>
      <w:r>
        <w:rPr>
          <w:rFonts w:ascii="Arial" w:cs="Arial" w:eastAsia="Arial" w:hAnsi="Arial"/>
          <w:sz w:val="12"/>
          <w:szCs w:val="12"/>
          <w:color w:val="auto"/>
        </w:rPr>
        <w:t>15,160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30861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369" w:lineRule="exact"/>
        <w:rPr>
          <w:sz w:val="20"/>
          <w:szCs w:val="20"/>
          <w:color w:val="auto"/>
        </w:rPr>
      </w:pPr>
    </w:p>
    <w:p>
      <w:pPr>
        <w:ind w:left="147"/>
        <w:spacing w:after="0"/>
        <w:rPr>
          <w:sz w:val="20"/>
          <w:szCs w:val="20"/>
          <w:color w:val="auto"/>
        </w:rPr>
      </w:pPr>
      <w:r>
        <w:rPr>
          <w:rFonts w:ascii="Arial" w:cs="Arial" w:eastAsia="Arial" w:hAnsi="Arial"/>
          <w:sz w:val="12"/>
          <w:szCs w:val="12"/>
          <w:color w:val="auto"/>
        </w:rPr>
        <w:t>4,668</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(4,796)</w:t>
      </w:r>
    </w:p>
    <w:p>
      <w:pPr>
        <w:ind w:left="67"/>
        <w:spacing w:after="0"/>
        <w:rPr>
          <w:sz w:val="20"/>
          <w:szCs w:val="20"/>
          <w:color w:val="auto"/>
        </w:rPr>
      </w:pPr>
      <w:r>
        <w:rPr>
          <w:rFonts w:ascii="Arial" w:cs="Arial" w:eastAsia="Arial" w:hAnsi="Arial"/>
          <w:sz w:val="12"/>
          <w:szCs w:val="12"/>
          <w:color w:val="auto"/>
        </w:rPr>
        <w:t>19,891</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30861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85"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16,862</w:t>
      </w:r>
    </w:p>
    <w:p>
      <w:pPr>
        <w:jc w:val="right"/>
        <w:ind w:right="80"/>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30861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20" w:space="473"/>
            <w:col w:w="527"/>
          </w:cols>
          <w:pgMar w:left="240" w:top="459" w:right="239" w:bottom="1440" w:gutter="0" w:footer="0" w:header="0"/>
          <w:type w:val="continuous"/>
        </w:sectPr>
      </w:pPr>
    </w:p>
    <w:p>
      <w:pPr>
        <w:spacing w:after="0" w:line="3" w:lineRule="exact"/>
        <w:rPr>
          <w:sz w:val="20"/>
          <w:szCs w:val="20"/>
          <w:color w:val="auto"/>
        </w:rPr>
      </w:pPr>
    </w:p>
    <w:p>
      <w:pPr>
        <w:jc w:val="both"/>
        <w:ind w:left="10000"/>
        <w:spacing w:after="0"/>
        <w:tabs>
          <w:tab w:leader="none" w:pos="10940" w:val="left"/>
        </w:tabs>
        <w:rPr>
          <w:sz w:val="20"/>
          <w:szCs w:val="20"/>
          <w:color w:val="auto"/>
        </w:rPr>
      </w:pPr>
      <w:r>
        <w:rPr>
          <w:rFonts w:ascii="Arial" w:cs="Arial" w:eastAsia="Arial" w:hAnsi="Arial"/>
          <w:sz w:val="14"/>
          <w:szCs w:val="14"/>
          <w:b w:val="1"/>
          <w:bCs w:val="1"/>
          <w:color w:val="auto"/>
        </w:rPr>
        <w:t>19,229</w:t>
      </w:r>
      <w:r>
        <w:rPr>
          <w:sz w:val="20"/>
          <w:szCs w:val="20"/>
          <w:color w:val="auto"/>
        </w:rPr>
        <w:tab/>
      </w:r>
      <w:r>
        <w:rPr>
          <w:rFonts w:ascii="Arial" w:cs="Arial" w:eastAsia="Arial" w:hAnsi="Arial"/>
          <w:sz w:val="14"/>
          <w:szCs w:val="14"/>
          <w:color w:val="auto"/>
        </w:rPr>
        <w:t>16,934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2058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197" w:lineRule="exact"/>
        <w:rPr>
          <w:sz w:val="20"/>
          <w:szCs w:val="20"/>
          <w:color w:val="auto"/>
        </w:rPr>
      </w:pPr>
    </w:p>
    <w:p>
      <w:pPr>
        <w:jc w:val="right"/>
        <w:ind w:right="80"/>
        <w:spacing w:after="0"/>
        <w:tabs>
          <w:tab w:leader="none" w:pos="420" w:val="left"/>
        </w:tabs>
        <w:rPr>
          <w:sz w:val="20"/>
          <w:szCs w:val="20"/>
          <w:color w:val="auto"/>
        </w:rPr>
      </w:pPr>
      <w:r>
        <w:rPr>
          <w:rFonts w:ascii="Arial" w:cs="Arial" w:eastAsia="Arial" w:hAnsi="Arial"/>
          <w:sz w:val="14"/>
          <w:szCs w:val="14"/>
          <w:b w:val="1"/>
          <w:bCs w:val="1"/>
          <w:color w:val="auto"/>
        </w:rPr>
        <w:t>$33,465</w:t>
      </w:r>
      <w:r>
        <w:rPr>
          <w:sz w:val="20"/>
          <w:szCs w:val="20"/>
          <w:color w:val="auto"/>
        </w:rPr>
        <w:tab/>
      </w:r>
      <w:r>
        <w:rPr>
          <w:rFonts w:ascii="Arial" w:cs="Arial" w:eastAsia="Arial" w:hAnsi="Arial"/>
          <w:sz w:val="12"/>
          <w:szCs w:val="12"/>
          <w:color w:val="auto"/>
        </w:rPr>
        <w:t>$32,094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66675</wp:posOffset>
            </wp:positionV>
            <wp:extent cx="31305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66675</wp:posOffset>
            </wp:positionV>
            <wp:extent cx="31305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CASH FLOWS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906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04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3,142</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1"/>
              </w:rPr>
              <w:t>5,460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96"/>
              </w:rPr>
              <w:t>5,177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660"/>
              <w:spacing w:after="0" w:line="149" w:lineRule="exact"/>
              <w:rPr>
                <w:sz w:val="20"/>
                <w:szCs w:val="20"/>
                <w:color w:val="auto"/>
              </w:rPr>
            </w:pPr>
            <w:r>
              <w:rPr>
                <w:rFonts w:ascii="Arial" w:cs="Arial" w:eastAsia="Arial" w:hAnsi="Arial"/>
                <w:sz w:val="11"/>
                <w:szCs w:val="11"/>
                <w:color w:val="auto"/>
              </w:rPr>
              <w:t>Depreciation and amortization</w:t>
            </w:r>
            <w:r>
              <w:rPr>
                <w:rFonts w:ascii="Arial" w:cs="Arial" w:eastAsia="Arial" w:hAnsi="Arial"/>
                <w:sz w:val="17"/>
                <w:szCs w:val="17"/>
                <w:color w:val="auto"/>
                <w:vertAlign w:val="superscript"/>
              </w:rPr>
              <w:t>1</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2,476</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1"/>
              </w:rPr>
              <w:t>2,269</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96"/>
              </w:rPr>
              <w:t>1,954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Earnings of companies carried at equity, less dividends received</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(103)</w:t>
            </w: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(235)</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660"/>
              <w:spacing w:after="0" w:line="149" w:lineRule="exact"/>
              <w:rPr>
                <w:sz w:val="20"/>
                <w:szCs w:val="20"/>
                <w:color w:val="auto"/>
              </w:rPr>
            </w:pPr>
            <w:r>
              <w:rPr>
                <w:rFonts w:ascii="Arial" w:cs="Arial" w:eastAsia="Arial" w:hAnsi="Arial"/>
                <w:sz w:val="14"/>
                <w:szCs w:val="14"/>
                <w:color w:val="auto"/>
              </w:rPr>
              <w:t>Deferred income taxes</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373</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660"/>
              <w:spacing w:after="0" w:line="149" w:lineRule="exact"/>
              <w:rPr>
                <w:sz w:val="20"/>
                <w:szCs w:val="20"/>
                <w:color w:val="auto"/>
              </w:rPr>
            </w:pPr>
            <w:r>
              <w:rPr>
                <w:rFonts w:ascii="Arial" w:cs="Arial" w:eastAsia="Arial" w:hAnsi="Arial"/>
                <w:sz w:val="14"/>
                <w:szCs w:val="14"/>
                <w:color w:val="auto"/>
              </w:rPr>
              <w:t>Pension and other postretirement benefits expense</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306</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Pension and other postretirement benefits curtailment charge</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660"/>
              <w:spacing w:after="0" w:line="149" w:lineRule="exact"/>
              <w:rPr>
                <w:sz w:val="20"/>
                <w:szCs w:val="20"/>
                <w:color w:val="auto"/>
              </w:rPr>
            </w:pPr>
            <w:r>
              <w:rPr>
                <w:rFonts w:ascii="Arial" w:cs="Arial" w:eastAsia="Arial" w:hAnsi="Arial"/>
                <w:sz w:val="14"/>
                <w:szCs w:val="14"/>
                <w:color w:val="auto"/>
              </w:rPr>
              <w:t>Pension and other postretirement benefits funding</w:t>
            </w:r>
          </w:p>
        </w:tc>
        <w:tc>
          <w:tcPr>
            <w:tcW w:w="6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(1,149)</w:t>
            </w:r>
          </w:p>
        </w:tc>
        <w:tc>
          <w:tcPr>
            <w:tcW w:w="80" w:type="dxa"/>
            <w:vAlign w:val="bottom"/>
          </w:tcPr>
          <w:p>
            <w:pPr>
              <w:spacing w:after="0"/>
              <w:rPr>
                <w:sz w:val="12"/>
                <w:szCs w:val="12"/>
                <w:color w:val="auto"/>
              </w:rPr>
            </w:pPr>
          </w:p>
        </w:tc>
        <w:tc>
          <w:tcPr>
            <w:tcW w:w="8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(318)</w:t>
            </w: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Other non-cash items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220"/>
              <w:spacing w:after="0" w:line="149" w:lineRule="exact"/>
              <w:rPr>
                <w:sz w:val="20"/>
                <w:szCs w:val="20"/>
                <w:color w:val="auto"/>
              </w:rPr>
            </w:pPr>
            <w:r>
              <w:rPr>
                <w:rFonts w:ascii="Arial" w:cs="Arial" w:eastAsia="Arial" w:hAnsi="Arial"/>
                <w:sz w:val="11"/>
                <w:szCs w:val="11"/>
                <w:color w:val="auto"/>
              </w:rPr>
              <w:t xml:space="preserve">Change in operating assets and liabilities: </w:t>
            </w:r>
            <w:r>
              <w:rPr>
                <w:rFonts w:ascii="Arial" w:cs="Arial" w:eastAsia="Arial" w:hAnsi="Arial"/>
                <w:sz w:val="17"/>
                <w:szCs w:val="17"/>
                <w:color w:val="auto"/>
                <w:vertAlign w:val="superscript"/>
              </w:rPr>
              <w:t>2</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Decrease (increase) in receivables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(944)</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660"/>
              <w:spacing w:after="0" w:line="149" w:lineRule="exact"/>
              <w:rPr>
                <w:sz w:val="20"/>
                <w:szCs w:val="20"/>
                <w:color w:val="auto"/>
              </w:rPr>
            </w:pPr>
            <w:r>
              <w:rPr>
                <w:rFonts w:ascii="Arial" w:cs="Arial" w:eastAsia="Arial" w:hAnsi="Arial"/>
                <w:sz w:val="14"/>
                <w:szCs w:val="14"/>
                <w:color w:val="auto"/>
              </w:rPr>
              <w:t>Decrease (increase) in inventories</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(299)</w:t>
            </w: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Decrease (increase) in other current assets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(198)</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660"/>
              <w:spacing w:after="0" w:line="149" w:lineRule="exact"/>
              <w:rPr>
                <w:sz w:val="20"/>
                <w:szCs w:val="20"/>
                <w:color w:val="auto"/>
              </w:rPr>
            </w:pPr>
            <w:r>
              <w:rPr>
                <w:rFonts w:ascii="Arial" w:cs="Arial" w:eastAsia="Arial" w:hAnsi="Arial"/>
                <w:sz w:val="14"/>
                <w:szCs w:val="14"/>
                <w:color w:val="auto"/>
              </w:rPr>
              <w:t>(Decrease) increase in accounts payable and accrued liabilities</w:t>
            </w:r>
          </w:p>
        </w:tc>
        <w:tc>
          <w:tcPr>
            <w:tcW w:w="6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(293)</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(Decrease) increase in estimated liability for taxes on income</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(361)</w:t>
            </w: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(94)</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660"/>
              <w:spacing w:after="0" w:line="149" w:lineRule="exact"/>
              <w:rPr>
                <w:sz w:val="20"/>
                <w:szCs w:val="20"/>
                <w:color w:val="auto"/>
              </w:rPr>
            </w:pPr>
            <w:r>
              <w:rPr>
                <w:rFonts w:ascii="Arial" w:cs="Arial" w:eastAsia="Arial" w:hAnsi="Arial"/>
                <w:sz w:val="14"/>
                <w:szCs w:val="14"/>
                <w:color w:val="auto"/>
              </w:rPr>
              <w:t>Increase in other liabilities</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Other – net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5,311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6,899</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6,287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220"/>
              <w:spacing w:after="0" w:line="149" w:lineRule="exact"/>
              <w:rPr>
                <w:sz w:val="20"/>
                <w:szCs w:val="20"/>
                <w:color w:val="auto"/>
              </w:rPr>
            </w:pPr>
            <w:r>
              <w:rPr>
                <w:rFonts w:ascii="Arial" w:cs="Arial" w:eastAsia="Arial" w:hAnsi="Arial"/>
                <w:sz w:val="14"/>
                <w:szCs w:val="14"/>
                <w:color w:val="auto"/>
              </w:rPr>
              <w:t>Capital expenditures</w:t>
            </w:r>
          </w:p>
        </w:tc>
        <w:tc>
          <w:tcPr>
            <w:tcW w:w="6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(2,395)</w:t>
            </w:r>
          </w:p>
        </w:tc>
        <w:tc>
          <w:tcPr>
            <w:tcW w:w="80" w:type="dxa"/>
            <w:vAlign w:val="bottom"/>
          </w:tcPr>
          <w:p>
            <w:pPr>
              <w:spacing w:after="0"/>
              <w:rPr>
                <w:sz w:val="12"/>
                <w:szCs w:val="12"/>
                <w:color w:val="auto"/>
              </w:rPr>
            </w:pPr>
          </w:p>
        </w:tc>
        <w:tc>
          <w:tcPr>
            <w:tcW w:w="8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w w:val="85"/>
              </w:rPr>
              <w:t>(3,723)</w:t>
            </w: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(2,931)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Multiclient seismic data capitalized</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(230)</w:t>
            </w: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(345)</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220"/>
              <w:spacing w:after="0" w:line="149" w:lineRule="exact"/>
              <w:rPr>
                <w:sz w:val="20"/>
                <w:szCs w:val="20"/>
                <w:color w:val="auto"/>
              </w:rPr>
            </w:pPr>
            <w:r>
              <w:rPr>
                <w:rFonts w:ascii="Arial" w:cs="Arial" w:eastAsia="Arial" w:hAnsi="Arial"/>
                <w:sz w:val="14"/>
                <w:szCs w:val="14"/>
                <w:color w:val="auto"/>
              </w:rPr>
              <w:t>Acquisition of Eastern Echo, net of cash acquired</w:t>
            </w:r>
          </w:p>
        </w:tc>
        <w:tc>
          <w:tcPr>
            <w:tcW w:w="6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6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business acquisitions and investments, net of cash acquired</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(514)</w:t>
            </w: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(345)</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220"/>
              <w:spacing w:after="0" w:line="149" w:lineRule="exact"/>
              <w:rPr>
                <w:sz w:val="20"/>
                <w:szCs w:val="20"/>
                <w:color w:val="auto"/>
              </w:rPr>
            </w:pPr>
            <w:r>
              <w:rPr>
                <w:rFonts w:ascii="Arial" w:cs="Arial" w:eastAsia="Arial" w:hAnsi="Arial"/>
                <w:sz w:val="14"/>
                <w:szCs w:val="14"/>
                <w:color w:val="auto"/>
              </w:rPr>
              <w:t>Purchase of investments, net</w:t>
            </w:r>
          </w:p>
        </w:tc>
        <w:tc>
          <w:tcPr>
            <w:tcW w:w="6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(1,113)</w:t>
            </w:r>
          </w:p>
        </w:tc>
        <w:tc>
          <w:tcPr>
            <w:tcW w:w="80" w:type="dxa"/>
            <w:vAlign w:val="bottom"/>
          </w:tcPr>
          <w:p>
            <w:pPr>
              <w:spacing w:after="0"/>
              <w:rPr>
                <w:sz w:val="12"/>
                <w:szCs w:val="12"/>
                <w:color w:val="auto"/>
              </w:rPr>
            </w:pPr>
          </w:p>
        </w:tc>
        <w:tc>
          <w:tcPr>
            <w:tcW w:w="8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(598)</w:t>
            </w: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228</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(132)</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(4,024)</w:t>
            </w: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5"/>
              </w:rPr>
              <w:t>(5,143)</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(4,629)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220"/>
              <w:spacing w:after="0" w:line="149" w:lineRule="exact"/>
              <w:rPr>
                <w:sz w:val="20"/>
                <w:szCs w:val="20"/>
                <w:color w:val="auto"/>
              </w:rPr>
            </w:pPr>
            <w:r>
              <w:rPr>
                <w:rFonts w:ascii="Arial" w:cs="Arial" w:eastAsia="Arial" w:hAnsi="Arial"/>
                <w:sz w:val="14"/>
                <w:szCs w:val="14"/>
                <w:color w:val="auto"/>
              </w:rPr>
              <w:t>Dividends paid</w:t>
            </w:r>
          </w:p>
        </w:tc>
        <w:tc>
          <w:tcPr>
            <w:tcW w:w="6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(1,006)</w:t>
            </w:r>
          </w:p>
        </w:tc>
        <w:tc>
          <w:tcPr>
            <w:tcW w:w="80" w:type="dxa"/>
            <w:vAlign w:val="bottom"/>
          </w:tcPr>
          <w:p>
            <w:pPr>
              <w:spacing w:after="0"/>
              <w:rPr>
                <w:sz w:val="12"/>
                <w:szCs w:val="12"/>
                <w:color w:val="auto"/>
              </w:rPr>
            </w:pPr>
          </w:p>
        </w:tc>
        <w:tc>
          <w:tcPr>
            <w:tcW w:w="8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(964)</w:t>
            </w: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220"/>
              <w:spacing w:after="0" w:line="149" w:lineRule="exact"/>
              <w:rPr>
                <w:sz w:val="20"/>
                <w:szCs w:val="20"/>
                <w:color w:val="auto"/>
              </w:rPr>
            </w:pPr>
            <w:r>
              <w:rPr>
                <w:rFonts w:ascii="Arial" w:cs="Arial" w:eastAsia="Arial" w:hAnsi="Arial"/>
                <w:sz w:val="14"/>
                <w:szCs w:val="14"/>
                <w:color w:val="auto"/>
              </w:rPr>
              <w:t>Proceeds from exercise of stock options</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Tax benefit on stock options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220"/>
              <w:spacing w:after="0" w:line="149" w:lineRule="exact"/>
              <w:rPr>
                <w:sz w:val="20"/>
                <w:szCs w:val="20"/>
                <w:color w:val="auto"/>
              </w:rPr>
            </w:pPr>
            <w:r>
              <w:rPr>
                <w:rFonts w:ascii="Arial" w:cs="Arial" w:eastAsia="Arial" w:hAnsi="Arial"/>
                <w:sz w:val="14"/>
                <w:szCs w:val="14"/>
                <w:color w:val="auto"/>
              </w:rPr>
              <w:t>Stock repurchase program</w:t>
            </w:r>
          </w:p>
        </w:tc>
        <w:tc>
          <w:tcPr>
            <w:tcW w:w="6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(500)</w:t>
            </w:r>
          </w:p>
        </w:tc>
        <w:tc>
          <w:tcPr>
            <w:tcW w:w="80" w:type="dxa"/>
            <w:vAlign w:val="bottom"/>
          </w:tcPr>
          <w:p>
            <w:pPr>
              <w:spacing w:after="0"/>
              <w:rPr>
                <w:sz w:val="12"/>
                <w:szCs w:val="12"/>
                <w:color w:val="auto"/>
              </w:rPr>
            </w:pPr>
          </w:p>
        </w:tc>
        <w:tc>
          <w:tcPr>
            <w:tcW w:w="8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w w:val="85"/>
              </w:rPr>
              <w:t>(1,819)</w:t>
            </w: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issuance of long-term debt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1,973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1,281</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220"/>
              <w:spacing w:after="0" w:line="149" w:lineRule="exact"/>
              <w:rPr>
                <w:sz w:val="20"/>
                <w:szCs w:val="20"/>
                <w:color w:val="auto"/>
              </w:rPr>
            </w:pPr>
            <w:r>
              <w:rPr>
                <w:rFonts w:ascii="Arial" w:cs="Arial" w:eastAsia="Arial" w:hAnsi="Arial"/>
                <w:sz w:val="14"/>
                <w:szCs w:val="14"/>
                <w:color w:val="auto"/>
              </w:rPr>
              <w:t>Repayment of long-term debt</w:t>
            </w:r>
          </w:p>
        </w:tc>
        <w:tc>
          <w:tcPr>
            <w:tcW w:w="6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(1,754)</w:t>
            </w:r>
          </w:p>
        </w:tc>
        <w:tc>
          <w:tcPr>
            <w:tcW w:w="80" w:type="dxa"/>
            <w:vAlign w:val="bottom"/>
          </w:tcPr>
          <w:p>
            <w:pPr>
              <w:spacing w:after="0"/>
              <w:rPr>
                <w:sz w:val="12"/>
                <w:szCs w:val="12"/>
                <w:color w:val="auto"/>
              </w:rPr>
            </w:pPr>
          </w:p>
        </w:tc>
        <w:tc>
          <w:tcPr>
            <w:tcW w:w="8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(601)</w:t>
            </w: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(decrease) increase in short-term borrowings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(111)</w:t>
            </w: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(210)</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(1,188)</w:t>
            </w: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5"/>
              </w:rPr>
              <w:t>(1,825)</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(1,630)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 from discontinued operations – operating activities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(45)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before translation effect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2"/>
          </w:tcPr>
          <w:p>
            <w:pPr>
              <w:spacing w:after="0" w:line="149" w:lineRule="exact"/>
              <w:rPr>
                <w:sz w:val="20"/>
                <w:szCs w:val="20"/>
                <w:color w:val="auto"/>
              </w:rPr>
            </w:pPr>
            <w:r>
              <w:rPr>
                <w:rFonts w:ascii="Arial" w:cs="Arial" w:eastAsia="Arial" w:hAnsi="Arial"/>
                <w:sz w:val="14"/>
                <w:szCs w:val="14"/>
                <w:color w:val="auto"/>
              </w:rPr>
              <w:t>Translation effect on cash</w:t>
            </w:r>
          </w:p>
        </w:tc>
        <w:tc>
          <w:tcPr>
            <w:tcW w:w="6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beginning of year</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end of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8840" w:type="dxa"/>
            <w:vAlign w:val="bottom"/>
            <w:vMerge w:val="restart"/>
          </w:tcPr>
          <w:p>
            <w:pPr>
              <w:ind w:left="120"/>
              <w:spacing w:after="0"/>
              <w:rPr>
                <w:sz w:val="20"/>
                <w:szCs w:val="20"/>
                <w:color w:val="auto"/>
              </w:rPr>
            </w:pPr>
            <w:r>
              <w:rPr>
                <w:rFonts w:ascii="Arial" w:cs="Arial" w:eastAsia="Arial" w:hAnsi="Arial"/>
                <w:sz w:val="14"/>
                <w:szCs w:val="14"/>
                <w:color w:val="auto"/>
              </w:rPr>
              <w:t>Includes multiclient seismic data costs.</w:t>
            </w:r>
          </w:p>
        </w:tc>
        <w:tc>
          <w:tcPr>
            <w:tcW w:w="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220" w:type="dxa"/>
            <w:vAlign w:val="bottom"/>
            <w:gridSpan w:val="2"/>
            <w:vMerge w:val="continue"/>
          </w:tcPr>
          <w:p>
            <w:pPr>
              <w:spacing w:after="0"/>
              <w:rPr>
                <w:sz w:val="23"/>
                <w:szCs w:val="23"/>
                <w:color w:val="auto"/>
              </w:rPr>
            </w:pPr>
          </w:p>
        </w:tc>
        <w:tc>
          <w:tcPr>
            <w:tcW w:w="88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-203835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-203835</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-203835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-203835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-203835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-203835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-203835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-203835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-203835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220" w:type="dxa"/>
            <w:vAlign w:val="bottom"/>
          </w:tcPr>
          <w:p>
            <w:pPr>
              <w:spacing w:after="0"/>
              <w:rPr>
                <w:sz w:val="20"/>
                <w:szCs w:val="20"/>
                <w:color w:val="auto"/>
              </w:rPr>
            </w:pPr>
            <w:r>
              <w:rPr>
                <w:rFonts w:ascii="Arial" w:cs="Arial" w:eastAsia="Arial" w:hAnsi="Arial"/>
                <w:sz w:val="11"/>
                <w:szCs w:val="11"/>
                <w:color w:val="auto"/>
              </w:rPr>
              <w:t>2.</w:t>
            </w:r>
          </w:p>
        </w:tc>
        <w:tc>
          <w:tcPr>
            <w:tcW w:w="5560" w:type="dxa"/>
            <w:vAlign w:val="bottom"/>
            <w:vMerge w:val="restart"/>
          </w:tcPr>
          <w:p>
            <w:pPr>
              <w:jc w:val="right"/>
              <w:ind w:right="3152"/>
              <w:spacing w:after="0"/>
              <w:rPr>
                <w:sz w:val="20"/>
                <w:szCs w:val="20"/>
                <w:color w:val="auto"/>
              </w:rPr>
            </w:pPr>
            <w:r>
              <w:rPr>
                <w:rFonts w:ascii="Arial" w:cs="Arial" w:eastAsia="Arial" w:hAnsi="Arial"/>
                <w:sz w:val="14"/>
                <w:szCs w:val="14"/>
                <w:color w:val="auto"/>
                <w:w w:val="91"/>
              </w:rPr>
              <w:t>Net of the effect of business acquisitions.</w:t>
            </w:r>
          </w:p>
        </w:tc>
        <w:tc>
          <w:tcPr>
            <w:tcW w:w="0" w:type="dxa"/>
            <w:vAlign w:val="bottom"/>
          </w:tcPr>
          <w:p>
            <w:pPr>
              <w:spacing w:after="0"/>
              <w:rPr>
                <w:sz w:val="1"/>
                <w:szCs w:val="1"/>
                <w:color w:val="auto"/>
              </w:rPr>
            </w:pPr>
          </w:p>
        </w:tc>
      </w:tr>
      <w:tr>
        <w:trPr>
          <w:trHeight w:val="66"/>
        </w:trPr>
        <w:tc>
          <w:tcPr>
            <w:tcW w:w="220" w:type="dxa"/>
            <w:vAlign w:val="bottom"/>
          </w:tcPr>
          <w:p>
            <w:pPr>
              <w:spacing w:after="0"/>
              <w:rPr>
                <w:sz w:val="5"/>
                <w:szCs w:val="5"/>
                <w:color w:val="auto"/>
              </w:rPr>
            </w:pPr>
          </w:p>
        </w:tc>
        <w:tc>
          <w:tcPr>
            <w:tcW w:w="5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STOCKHOLDERS’ EQUITY</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9"/>
              </w:rPr>
              <w:t>Common Stock</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Borders>
              <w:top w:val="single" w:sz="8" w:color="auto"/>
            </w:tcBorders>
          </w:tcPr>
          <w:p>
            <w:pPr>
              <w:spacing w:after="0"/>
              <w:rPr>
                <w:sz w:val="15"/>
                <w:szCs w:val="15"/>
                <w:color w:val="auto"/>
              </w:rPr>
            </w:pPr>
          </w:p>
        </w:tc>
        <w:tc>
          <w:tcPr>
            <w:tcW w:w="210" w:type="dxa"/>
            <w:vAlign w:val="bottom"/>
            <w:tcBorders>
              <w:top w:val="single" w:sz="8" w:color="auto"/>
            </w:tcBorders>
          </w:tcPr>
          <w:p>
            <w:pPr>
              <w:spacing w:after="0"/>
              <w:rPr>
                <w:sz w:val="15"/>
                <w:szCs w:val="15"/>
                <w:color w:val="auto"/>
              </w:rPr>
            </w:pPr>
          </w:p>
        </w:tc>
        <w:tc>
          <w:tcPr>
            <w:tcW w:w="71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10" w:type="dxa"/>
            <w:vAlign w:val="bottom"/>
          </w:tcPr>
          <w:p>
            <w:pPr>
              <w:spacing w:after="0"/>
              <w:rPr>
                <w:sz w:val="3"/>
                <w:szCs w:val="3"/>
                <w:color w:val="auto"/>
              </w:rPr>
            </w:pPr>
          </w:p>
        </w:tc>
        <w:tc>
          <w:tcPr>
            <w:tcW w:w="71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6260" w:type="dxa"/>
            <w:vAlign w:val="bottom"/>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3"/>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3"/>
                <w:szCs w:val="3"/>
                <w:color w:val="auto"/>
              </w:rPr>
            </w:pPr>
          </w:p>
        </w:tc>
        <w:tc>
          <w:tcPr>
            <w:tcW w:w="210" w:type="dxa"/>
            <w:vAlign w:val="bottom"/>
          </w:tcPr>
          <w:p>
            <w:pPr>
              <w:spacing w:after="0"/>
              <w:rPr>
                <w:sz w:val="3"/>
                <w:szCs w:val="3"/>
                <w:color w:val="auto"/>
              </w:rPr>
            </w:pPr>
          </w:p>
        </w:tc>
        <w:tc>
          <w:tcPr>
            <w:tcW w:w="71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10" w:type="dxa"/>
            <w:vAlign w:val="bottom"/>
          </w:tcPr>
          <w:p>
            <w:pPr>
              <w:spacing w:after="0"/>
              <w:rPr>
                <w:sz w:val="7"/>
                <w:szCs w:val="7"/>
                <w:color w:val="auto"/>
              </w:rPr>
            </w:pPr>
          </w:p>
        </w:tc>
        <w:tc>
          <w:tcPr>
            <w:tcW w:w="71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18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Issued</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4"/>
              </w:rPr>
              <w:t>Income (Loss)</w:t>
            </w:r>
          </w:p>
        </w:tc>
        <w:tc>
          <w:tcPr>
            <w:tcW w:w="2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950" w:type="dxa"/>
            <w:vAlign w:val="bottom"/>
            <w:gridSpan w:val="2"/>
          </w:tcPr>
          <w:p>
            <w:pPr>
              <w:ind w:left="150"/>
              <w:spacing w:after="0"/>
              <w:rPr>
                <w:sz w:val="20"/>
                <w:szCs w:val="20"/>
                <w:color w:val="auto"/>
              </w:rPr>
            </w:pPr>
            <w:r>
              <w:rPr>
                <w:rFonts w:ascii="Arial" w:cs="Arial" w:eastAsia="Arial" w:hAnsi="Arial"/>
                <w:sz w:val="14"/>
                <w:szCs w:val="14"/>
                <w:b w:val="1"/>
                <w:bCs w:val="1"/>
                <w:color w:val="auto"/>
              </w:rPr>
              <w:t>Interests</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2007</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$3,381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(2,911)</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11,118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(1,169)</w:t>
            </w:r>
          </w:p>
        </w:tc>
        <w:tc>
          <w:tcPr>
            <w:tcW w:w="23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$10,421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340"/>
              <w:spacing w:after="0" w:line="149" w:lineRule="exact"/>
              <w:rPr>
                <w:sz w:val="20"/>
                <w:szCs w:val="20"/>
                <w:color w:val="auto"/>
              </w:rPr>
            </w:pPr>
            <w:r>
              <w:rPr>
                <w:rFonts w:ascii="Arial" w:cs="Arial" w:eastAsia="Arial" w:hAnsi="Arial"/>
                <w:sz w:val="14"/>
                <w:szCs w:val="14"/>
                <w:color w:val="auto"/>
              </w:rPr>
              <w:t>Currency translation adjustments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Changes in fair value of derivatives</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340"/>
              <w:spacing w:after="0" w:line="149" w:lineRule="exact"/>
              <w:rPr>
                <w:sz w:val="20"/>
                <w:szCs w:val="20"/>
                <w:color w:val="auto"/>
              </w:rPr>
            </w:pPr>
            <w:r>
              <w:rPr>
                <w:rFonts w:ascii="Arial" w:cs="Arial" w:eastAsia="Arial" w:hAnsi="Arial"/>
                <w:sz w:val="14"/>
                <w:szCs w:val="14"/>
                <w:color w:val="auto"/>
              </w:rPr>
              <w:t>Deferred employee benefits liabilities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program</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(1,355)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Acquisition of noncontrolling interest</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Dividends declared ($0.70 per share)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(833)</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 w:type="dxa"/>
            <w:vAlign w:val="bottom"/>
            <w:tcBorders>
              <w:bottom w:val="single" w:sz="8" w:color="808080"/>
            </w:tcBorders>
          </w:tcPr>
          <w:p>
            <w:pPr>
              <w:spacing w:after="0"/>
              <w:rPr>
                <w:sz w:val="9"/>
                <w:szCs w:val="9"/>
                <w:color w:val="auto"/>
              </w:rPr>
            </w:pPr>
          </w:p>
        </w:tc>
        <w:tc>
          <w:tcPr>
            <w:tcW w:w="71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2007</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(3,549)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15,462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(1,173)</w:t>
            </w: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14,938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340"/>
              <w:spacing w:after="0" w:line="149" w:lineRule="exact"/>
              <w:rPr>
                <w:sz w:val="20"/>
                <w:szCs w:val="20"/>
                <w:color w:val="auto"/>
              </w:rPr>
            </w:pPr>
            <w:r>
              <w:rPr>
                <w:rFonts w:ascii="Arial" w:cs="Arial" w:eastAsia="Arial" w:hAnsi="Arial"/>
                <w:sz w:val="14"/>
                <w:szCs w:val="14"/>
                <w:color w:val="auto"/>
              </w:rPr>
              <w:t>Currency translation adjustments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95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Changes in fair value of derivatives</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w:t>
            </w: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340"/>
              <w:spacing w:after="0" w:line="149" w:lineRule="exact"/>
              <w:rPr>
                <w:sz w:val="20"/>
                <w:szCs w:val="20"/>
                <w:color w:val="auto"/>
              </w:rPr>
            </w:pPr>
            <w:r>
              <w:rPr>
                <w:rFonts w:ascii="Arial" w:cs="Arial" w:eastAsia="Arial" w:hAnsi="Arial"/>
                <w:sz w:val="14"/>
                <w:szCs w:val="14"/>
                <w:color w:val="auto"/>
              </w:rPr>
              <w:t>Deferred employee benefits liabilities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(1,511)</w:t>
            </w: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program</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(1,819)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95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($0.84 per share)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(1,006)</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420" w:type="dxa"/>
            <w:vAlign w:val="bottom"/>
          </w:tcPr>
          <w:p>
            <w:pPr>
              <w:jc w:val="right"/>
              <w:spacing w:after="0"/>
              <w:rPr>
                <w:sz w:val="20"/>
                <w:szCs w:val="20"/>
                <w:color w:val="auto"/>
              </w:rPr>
            </w:pPr>
            <w:r>
              <w:rPr>
                <w:rFonts w:ascii="Arial" w:cs="Arial" w:eastAsia="Arial" w:hAnsi="Arial"/>
                <w:sz w:val="14"/>
                <w:szCs w:val="14"/>
                <w:color w:val="auto"/>
              </w:rPr>
              <w:t>137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0" w:type="dxa"/>
            <w:vAlign w:val="bottom"/>
            <w:tcBorders>
              <w:bottom w:val="single" w:sz="8" w:color="808080"/>
            </w:tcBorders>
          </w:tcPr>
          <w:p>
            <w:pPr>
              <w:spacing w:after="0"/>
              <w:rPr>
                <w:sz w:val="7"/>
                <w:szCs w:val="7"/>
                <w:color w:val="auto"/>
              </w:rPr>
            </w:pPr>
          </w:p>
        </w:tc>
        <w:tc>
          <w:tcPr>
            <w:tcW w:w="71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2008</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(4,796)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19,891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(2,901)</w:t>
            </w: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16,934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340"/>
              <w:spacing w:after="0" w:line="149" w:lineRule="exact"/>
              <w:rPr>
                <w:sz w:val="20"/>
                <w:szCs w:val="20"/>
                <w:color w:val="auto"/>
              </w:rPr>
            </w:pPr>
            <w:r>
              <w:rPr>
                <w:rFonts w:ascii="Arial" w:cs="Arial" w:eastAsia="Arial" w:hAnsi="Arial"/>
                <w:sz w:val="14"/>
                <w:szCs w:val="14"/>
                <w:color w:val="auto"/>
              </w:rPr>
              <w:t>Currency translation adjustments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Changes in fair value of derivatives</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340"/>
              <w:spacing w:after="0" w:line="149" w:lineRule="exact"/>
              <w:rPr>
                <w:sz w:val="20"/>
                <w:szCs w:val="20"/>
                <w:color w:val="auto"/>
              </w:rPr>
            </w:pPr>
            <w:r>
              <w:rPr>
                <w:rFonts w:ascii="Arial" w:cs="Arial" w:eastAsia="Arial" w:hAnsi="Arial"/>
                <w:sz w:val="14"/>
                <w:szCs w:val="14"/>
                <w:color w:val="auto"/>
              </w:rPr>
              <w:t>Deferred employee benefits liabilities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Vesting of restricted stock</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Stock repurchase program</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71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4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($0.84 per share)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(1,006)</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0" w:type="dxa"/>
            <w:vAlign w:val="bottom"/>
            <w:tcBorders>
              <w:bottom w:val="single" w:sz="8" w:color="808080"/>
            </w:tcBorders>
          </w:tcPr>
          <w:p>
            <w:pPr>
              <w:spacing w:after="0"/>
              <w:rPr>
                <w:sz w:val="7"/>
                <w:szCs w:val="7"/>
                <w:color w:val="auto"/>
              </w:rPr>
            </w:pPr>
          </w:p>
        </w:tc>
        <w:tc>
          <w:tcPr>
            <w:tcW w:w="71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2009</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$4,777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(5,002)</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22,019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(2,674)</w:t>
            </w:r>
          </w:p>
        </w:tc>
        <w:tc>
          <w:tcPr>
            <w:tcW w:w="23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$19,229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10" w:type="dxa"/>
            <w:vAlign w:val="bottom"/>
            <w:tcBorders>
              <w:bottom w:val="single" w:sz="8" w:color="808080"/>
            </w:tcBorders>
          </w:tcPr>
          <w:p>
            <w:pPr>
              <w:spacing w:after="0"/>
              <w:rPr>
                <w:sz w:val="11"/>
                <w:szCs w:val="11"/>
                <w:color w:val="auto"/>
              </w:rPr>
            </w:pPr>
          </w:p>
        </w:tc>
        <w:tc>
          <w:tcPr>
            <w:tcW w:w="71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OF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Issued</w:t>
            </w: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In Treasury</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2007</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(156)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110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6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11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line="149" w:lineRule="exact"/>
              <w:rPr>
                <w:sz w:val="20"/>
                <w:szCs w:val="20"/>
                <w:color w:val="auto"/>
              </w:rPr>
            </w:pPr>
            <w:r>
              <w:rPr>
                <w:rFonts w:ascii="Arial" w:cs="Arial" w:eastAsia="Arial" w:hAnsi="Arial"/>
                <w:sz w:val="14"/>
                <w:szCs w:val="14"/>
                <w:color w:val="auto"/>
              </w:rPr>
              <w:t>Stock repurchase program</w:t>
            </w:r>
          </w:p>
        </w:tc>
        <w:tc>
          <w:tcPr>
            <w:tcW w:w="110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(16)</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Issued on conversions of debentures</w:t>
            </w:r>
          </w:p>
        </w:tc>
        <w:tc>
          <w:tcPr>
            <w:tcW w:w="11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2007</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(138)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110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11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line="149" w:lineRule="exact"/>
              <w:rPr>
                <w:sz w:val="20"/>
                <w:szCs w:val="20"/>
                <w:color w:val="auto"/>
              </w:rPr>
            </w:pPr>
            <w:r>
              <w:rPr>
                <w:rFonts w:ascii="Arial" w:cs="Arial" w:eastAsia="Arial" w:hAnsi="Arial"/>
                <w:sz w:val="14"/>
                <w:szCs w:val="14"/>
                <w:color w:val="auto"/>
              </w:rPr>
              <w:t>Stock repurchase program</w:t>
            </w:r>
          </w:p>
        </w:tc>
        <w:tc>
          <w:tcPr>
            <w:tcW w:w="110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(21)</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Issued on conversions of debentures</w:t>
            </w:r>
          </w:p>
        </w:tc>
        <w:tc>
          <w:tcPr>
            <w:tcW w:w="11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2008</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(140)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110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6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stock</w:t>
            </w:r>
          </w:p>
        </w:tc>
        <w:tc>
          <w:tcPr>
            <w:tcW w:w="11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110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6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program</w:t>
            </w:r>
          </w:p>
        </w:tc>
        <w:tc>
          <w:tcPr>
            <w:tcW w:w="110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2009</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(139)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Schlumberger Limited (Schlumberger N.V., incorporated in the Netherlands Antilles) and its subsidiaries (collectively, “Schlumberger”) form the world’s leading supplier of technology, integrated project management, and information solutions to customers in the oil and gas industry worldwide, providing the industry’s widest range of services and products from exploration through production. Schlumberger consists of two business segments: Oilfield Services and WesternGeco. The Oilfield Services segment provides the industry’s widest range of exploration and production services required during the life of an oil and gas reservoir. WesternGeco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w:t>
      </w:r>
    </w:p>
    <w:p>
      <w:pPr>
        <w:spacing w:after="0" w:line="12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w:t>
      </w:r>
    </w:p>
    <w:p>
      <w:pPr>
        <w:spacing w:after="0" w:line="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Schlumberger have been prepared in accordance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Schlumberger, its wholly-owned subsidiaries, and subsidiaries over which it exercises a controlling financial interest. All significant intercompany transactions and balances have been eliminated. Investments in entities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Investments in which Schlumberger does not have the ability to exercise significant influence are accounted for using the cost method. Both equity and cost method investments are classified in </w:t>
      </w:r>
      <w:r>
        <w:rPr>
          <w:rFonts w:ascii="Arial" w:cs="Arial" w:eastAsia="Arial" w:hAnsi="Arial"/>
          <w:sz w:val="18"/>
          <w:szCs w:val="18"/>
          <w:i w:val="1"/>
          <w:iCs w:val="1"/>
          <w:color w:val="auto"/>
        </w:rPr>
        <w:t>Investments in Affiliated</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On an on-going basis, Schlumberger evaluates its estimates, including those related to collectibility of accounts receivable; valuation of inventories and investments; recoverability of goodwill, intangible assets and investments in affiliates; income taxes; multiclient seismic data; contingencies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Oilfield Services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and Products Revenue</w:t>
      </w:r>
    </w:p>
    <w:p>
      <w:pPr>
        <w:spacing w:after="0" w:line="7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Schlumberger recognizes revenue for services and products based upon purchase orders, contracts or other persuasive evidence of an arrangement with the customer that include fixed or determinable prices. Revenue is recognized for services when they are rendered and collectibility is reasonably assured. Revenue is recognized for products upon delivery, customer acceptance and when collectibility is reasonably assured.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Revenue derived from the sale of licenses of Schlumberger software may include installation, maintenance, consulting and training services.</w:t>
      </w:r>
    </w:p>
    <w:p>
      <w:pPr>
        <w:spacing w:after="0" w:line="15"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2" w:lineRule="exact"/>
        <w:rPr>
          <w:sz w:val="20"/>
          <w:szCs w:val="20"/>
          <w:color w:val="auto"/>
        </w:rPr>
      </w:pPr>
    </w:p>
    <w:p>
      <w:pPr>
        <w:ind w:right="1020" w:firstLine="228"/>
        <w:spacing w:after="0" w:line="372" w:lineRule="auto"/>
        <w:rPr>
          <w:sz w:val="20"/>
          <w:szCs w:val="20"/>
          <w:color w:val="auto"/>
        </w:rPr>
      </w:pPr>
      <w:r>
        <w:rPr>
          <w:rFonts w:ascii="Arial" w:cs="Arial" w:eastAsia="Arial" w:hAnsi="Arial"/>
          <w:sz w:val="18"/>
          <w:szCs w:val="18"/>
          <w:color w:val="auto"/>
        </w:rPr>
        <w:t xml:space="preserve">The percentage of completion method of accounting is applied to contracts whereby software is being customized to a customer’s specifications. </w:t>
      </w:r>
      <w:r>
        <w:rPr>
          <w:rFonts w:ascii="Arial" w:cs="Arial" w:eastAsia="Arial" w:hAnsi="Arial"/>
          <w:sz w:val="18"/>
          <w:szCs w:val="18"/>
          <w:i w:val="1"/>
          <w:iCs w:val="1"/>
          <w:color w:val="auto"/>
        </w:rPr>
        <w:t>WesternGeco</w:t>
      </w:r>
    </w:p>
    <w:p>
      <w:pPr>
        <w:spacing w:after="0" w:line="254" w:lineRule="auto"/>
        <w:rPr>
          <w:sz w:val="20"/>
          <w:szCs w:val="20"/>
          <w:color w:val="auto"/>
        </w:rPr>
      </w:pPr>
      <w:r>
        <w:rPr>
          <w:rFonts w:ascii="Arial" w:cs="Arial" w:eastAsia="Arial" w:hAnsi="Arial"/>
          <w:sz w:val="18"/>
          <w:szCs w:val="18"/>
          <w:color w:val="auto"/>
        </w:rPr>
        <w:t>Revenue from all services is recognized when persuasive evidence of an arrangement exists, the price is fixed or determinable and collectibility is reasonably assured. Revenue from contract services performed on a dayrate basis is recognized as the service is performed. Revenue from other contract services, including pre-funded multiclient surveys, is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 on completed multiclient data surveys is recognized upon obtaining a signed licensing agreement and providing customers with access to such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Deliverable Arrangements</w:t>
      </w:r>
    </w:p>
    <w:p>
      <w:pPr>
        <w:spacing w:after="0" w:line="7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Revenue in both segments may be generated from contractual arrangements that include multiple deliverables. Revenue from these arrangements is recognized as each item is delivered based on their relative fair value and when the delivered items have stand-alone value to the customer.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7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Taxes assessed by governmental authorities that are imposed concurrently on specific revenue-producing transaction, such as sales and value added taxes, are excluded from revenue in the </w:t>
      </w:r>
      <w:r>
        <w:rPr>
          <w:rFonts w:ascii="Arial" w:cs="Arial" w:eastAsia="Arial" w:hAnsi="Arial"/>
          <w:sz w:val="18"/>
          <w:szCs w:val="18"/>
          <w:i w:val="1"/>
          <w:iCs w:val="1"/>
          <w:color w:val="auto"/>
        </w:rPr>
        <w:t>Consolidated Statement of Income.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Non-United States Currencies</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functional currency of Schlumberger is primarily the US dollar. All assets and liabilities recorded in functional currencies other than US dollars are translated at current exchange rates. The resulting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adjustments are charged or credited directly to the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section of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Revenue and expenses are translated at the weighted-average exchange rates for the period. All realized and unrealized transaction gains and losses are included in income in the period in which they occur. Transaction gains, net of hedging activities, of $73 million, $8 million and $17 million were recognized in 2009, 2008 and 2007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7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reflects the Schlumberger investment portfolio separated between current and long term, based on maturity. Under normal circumstances it is the intent of Schlumberger to hold the investments until maturity, with the exception of investments that are considered trading (December 31, 2009 – $184 million; December 31, 2008 – $194 million). Both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 Income Investments, held to maturity</w:t>
      </w:r>
      <w:r>
        <w:rPr>
          <w:rFonts w:ascii="Arial" w:cs="Arial" w:eastAsia="Arial" w:hAnsi="Arial"/>
          <w:sz w:val="16"/>
          <w:szCs w:val="16"/>
          <w:color w:val="auto"/>
        </w:rPr>
        <w:t xml:space="preserve"> are comprised primarily of money market funds, eurodollar time deposits, certificates of deposit, commercial paper, euro notes and Eurobonds, and are substantially denominated in US dollars. They are stated at cost plus accrued interest, which approximates market. Short-term investments that are designated as trading are stated at fair value, which is estimated using quoted market prices for those or similar investments. The unrealized gains/losses on investments designated as trading were not significant at both December 31, 2009 and 2008.</w:t>
      </w:r>
    </w:p>
    <w:p>
      <w:pPr>
        <w:ind w:right="300" w:firstLine="228"/>
        <w:spacing w:after="0" w:line="250" w:lineRule="auto"/>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Schlumberger does not consider short-term investments to be cash equivalents as a significant portion have original maturities in excess of three months.</w:t>
      </w:r>
    </w:p>
    <w:p>
      <w:pPr>
        <w:spacing w:after="0" w:line="1" w:lineRule="exact"/>
        <w:rPr>
          <w:sz w:val="20"/>
          <w:szCs w:val="20"/>
          <w:color w:val="auto"/>
        </w:rPr>
      </w:pPr>
    </w:p>
    <w:p>
      <w:pPr>
        <w:ind w:right="20" w:firstLine="228"/>
        <w:spacing w:after="0" w:line="261" w:lineRule="auto"/>
        <w:rPr>
          <w:sz w:val="20"/>
          <w:szCs w:val="20"/>
          <w:color w:val="auto"/>
        </w:rPr>
      </w:pPr>
      <w:r>
        <w:rPr>
          <w:rFonts w:ascii="Arial" w:cs="Arial" w:eastAsia="Arial" w:hAnsi="Arial"/>
          <w:sz w:val="18"/>
          <w:szCs w:val="18"/>
          <w:i w:val="1"/>
          <w:iCs w:val="1"/>
          <w:color w:val="auto"/>
        </w:rPr>
        <w:t xml:space="preserve">Fixed Income Investments, held to maturity </w:t>
      </w:r>
      <w:r>
        <w:rPr>
          <w:rFonts w:ascii="Arial" w:cs="Arial" w:eastAsia="Arial" w:hAnsi="Arial"/>
          <w:sz w:val="18"/>
          <w:szCs w:val="18"/>
          <w:color w:val="auto"/>
        </w:rPr>
        <w:t>at December 31, 2009 of $738 million mature as follows: $274 million in 2011, $289 million in 2012, $60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2013 and $115 million in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Inventories are stated at average cost or at market, whichever is lower. Inventory consists of materials, supplies and finished goods. Costs included in inventories consist of materials, direct labor and manufacturing overhead.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and Depreciation</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Fixed assets are stated at cost less accumulated depreciation, which is provided for by charges to income over the estimated useful lives of the assets using the straight-line method. Fixed assets include the manufacturing cost of oilfield technical equipment manufactured or assembled by subsidiaries of Schlumberger. Expenditures for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72"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 xml:space="preserve">The multiclient library consists of completed and in-process seismic surveys that are licensed on a nonexclusive basis. This data may be acquired and/or processed by Schlumberger or subcontractors. Multiclient surveys are primarily generated utilizing Schlumberger resources. Schlumberger capitalizes costs directly incurred in acquiring and processing the multiclient seismic data. Such costs are charged to </w:t>
      </w:r>
      <w:r>
        <w:rPr>
          <w:rFonts w:ascii="Arial" w:cs="Arial" w:eastAsia="Arial" w:hAnsi="Arial"/>
          <w:sz w:val="16"/>
          <w:szCs w:val="16"/>
          <w:i w:val="1"/>
          <w:iCs w:val="1"/>
          <w:color w:val="auto"/>
        </w:rPr>
        <w:t>Cost of revenue</w:t>
      </w:r>
      <w:r>
        <w:rPr>
          <w:rFonts w:ascii="Arial" w:cs="Arial" w:eastAsia="Arial" w:hAnsi="Arial"/>
          <w:sz w:val="16"/>
          <w:szCs w:val="16"/>
          <w:color w:val="auto"/>
        </w:rPr>
        <w:t xml:space="preserve"> based on the percentage of the total costs to the estimated total revenue that Schlumberger expects to receive from the sales of such data. However, under no circumstance will an individual survey carry a net book value greater than a 4- year straight-line amortized value.</w:t>
      </w:r>
    </w:p>
    <w:p>
      <w:pPr>
        <w:spacing w:after="0" w:line="2" w:lineRule="exact"/>
        <w:rPr>
          <w:sz w:val="20"/>
          <w:szCs w:val="20"/>
          <w:color w:val="auto"/>
        </w:rPr>
      </w:pPr>
    </w:p>
    <w:p>
      <w:pPr>
        <w:jc w:val="both"/>
        <w:ind w:right="140" w:firstLine="228"/>
        <w:spacing w:after="0" w:line="255" w:lineRule="auto"/>
        <w:rPr>
          <w:sz w:val="20"/>
          <w:szCs w:val="20"/>
          <w:color w:val="auto"/>
        </w:rPr>
      </w:pPr>
      <w:r>
        <w:rPr>
          <w:rFonts w:ascii="Arial" w:cs="Arial" w:eastAsia="Arial" w:hAnsi="Arial"/>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involves significant judgment on the</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part of Schlumberger, would not be sufficient to recover the carrying value of the surveys. Significant adverse changes in Schlumberger’s estimated future cash flows could result in impairment charges in a future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Other Intangibles and Long-lived Assets</w:t>
      </w:r>
    </w:p>
    <w:p>
      <w:pPr>
        <w:spacing w:after="0" w:line="7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Schlumberger records the excess of purchase price over the fair value of the tangible and identifiable intangible assets acquired as goodwill. Goodwill is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ind w:right="120" w:firstLine="228"/>
        <w:spacing w:after="0" w:line="281" w:lineRule="auto"/>
        <w:rPr>
          <w:sz w:val="20"/>
          <w:szCs w:val="20"/>
          <w:color w:val="auto"/>
        </w:rPr>
      </w:pPr>
      <w:r>
        <w:rPr>
          <w:rFonts w:ascii="Arial" w:cs="Arial" w:eastAsia="Arial" w:hAnsi="Arial"/>
          <w:sz w:val="16"/>
          <w:szCs w:val="16"/>
          <w:color w:val="auto"/>
        </w:rPr>
        <w:t>For purposes of performing the impairment test for goodwill, the Schlumberger reporting units are primarily the geographic areas comprising the Oilfield Services segment in addition to the WesternGeco segment. Schlumberger estimates the fair value of these reporting units using a discounted cash flow analysis and/or applying various market multiples. Determining the fair value of a reporting unit is a matter of judgment and involves the use of significant estimates and assumptions. Schlumberger’s estimates of the fair value of each of its reporting units were significantly in excess of their respective carrying values for 2009, 2008 and 2007. Schlumberger performs the annual goodwill impairment test of its WesternGeco reporting unit on October 1</w:t>
      </w:r>
      <w:r>
        <w:rPr>
          <w:rFonts w:ascii="Arial" w:cs="Arial" w:eastAsia="Arial" w:hAnsi="Arial"/>
          <w:sz w:val="10"/>
          <w:szCs w:val="10"/>
          <w:color w:val="auto"/>
        </w:rPr>
        <w:t>st</w:t>
      </w:r>
      <w:r>
        <w:rPr>
          <w:rFonts w:ascii="Arial" w:cs="Arial" w:eastAsia="Arial" w:hAnsi="Arial"/>
          <w:sz w:val="16"/>
          <w:szCs w:val="16"/>
          <w:color w:val="auto"/>
        </w:rPr>
        <w:t xml:space="preserve"> of every year while the reporting units comprising the Oilfield Services segment are tested as of December 31 </w:t>
      </w:r>
      <w:r>
        <w:rPr>
          <w:rFonts w:ascii="Arial" w:cs="Arial" w:eastAsia="Arial" w:hAnsi="Arial"/>
          <w:sz w:val="10"/>
          <w:szCs w:val="10"/>
          <w:color w:val="auto"/>
        </w:rPr>
        <w:t>st</w:t>
      </w:r>
      <w:r>
        <w:rPr>
          <w:rFonts w:ascii="Arial" w:cs="Arial" w:eastAsia="Arial" w:hAnsi="Arial"/>
          <w:sz w:val="16"/>
          <w:szCs w:val="16"/>
          <w:color w:val="auto"/>
        </w:rPr>
        <w:t>.</w:t>
      </w:r>
    </w:p>
    <w:p>
      <w:pPr>
        <w:spacing w:after="0" w:line="4"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4" w:lineRule="exact"/>
        <w:rPr>
          <w:sz w:val="20"/>
          <w:szCs w:val="20"/>
          <w:color w:val="auto"/>
        </w:rPr>
      </w:pPr>
    </w:p>
    <w:p>
      <w:pPr>
        <w:ind w:right="20" w:firstLine="228"/>
        <w:spacing w:after="0" w:line="295" w:lineRule="auto"/>
        <w:rPr>
          <w:sz w:val="20"/>
          <w:szCs w:val="20"/>
          <w:color w:val="auto"/>
        </w:rPr>
      </w:pPr>
      <w:r>
        <w:rPr>
          <w:rFonts w:ascii="Arial" w:cs="Arial" w:eastAsia="Arial" w:hAnsi="Arial"/>
          <w:sz w:val="16"/>
          <w:szCs w:val="16"/>
          <w:color w:val="auto"/>
        </w:rPr>
        <w:t>Schlumberger capitalizes certain costs of internally developed software. Capitalized costs include purchased materials and services, payroll and payroll related costs. The costs of internally developed software are amortized on a straight-line basis over the estimated useful life, which is principally 5 to 7 years. Other intangible assets consist primarily of technology and customer relationships acquired in business combinations. Acquired technology is generally amortized over periods ranging from 5 to 15 years and acquired customer relationships are generally amortized over periods ranging from 7 years to 20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7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Schlumberger computes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 w:lineRule="exact"/>
        <w:rPr>
          <w:sz w:val="20"/>
          <w:szCs w:val="20"/>
          <w:color w:val="auto"/>
        </w:rPr>
      </w:pPr>
    </w:p>
    <w:p>
      <w:pPr>
        <w:ind w:right="100" w:firstLine="228"/>
        <w:spacing w:after="0" w:line="261" w:lineRule="auto"/>
        <w:rPr>
          <w:sz w:val="20"/>
          <w:szCs w:val="20"/>
          <w:color w:val="auto"/>
        </w:rPr>
      </w:pPr>
      <w:r>
        <w:rPr>
          <w:rFonts w:ascii="Arial" w:cs="Arial" w:eastAsia="Arial" w:hAnsi="Arial"/>
          <w:sz w:val="18"/>
          <w:szCs w:val="18"/>
          <w:color w:val="auto"/>
        </w:rPr>
        <w:t>Schlumberger’s tax filings are subject to regular audit by the tax authorities in most of the jurisdictions in which it conducts business. These audits may result in assessments for additional taxes which are resolved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4" w:lineRule="exact"/>
        <w:rPr>
          <w:sz w:val="20"/>
          <w:szCs w:val="20"/>
          <w:color w:val="auto"/>
        </w:rPr>
      </w:pPr>
    </w:p>
    <w:p>
      <w:pPr>
        <w:jc w:val="both"/>
        <w:ind w:right="200" w:firstLine="228"/>
        <w:spacing w:after="0" w:line="302" w:lineRule="auto"/>
        <w:rPr>
          <w:sz w:val="20"/>
          <w:szCs w:val="20"/>
          <w:color w:val="auto"/>
        </w:rPr>
      </w:pPr>
      <w:r>
        <w:rPr>
          <w:rFonts w:ascii="Arial" w:cs="Arial" w:eastAsia="Arial" w:hAnsi="Arial"/>
          <w:sz w:val="16"/>
          <w:szCs w:val="16"/>
          <w:color w:val="auto"/>
        </w:rPr>
        <w:t>At December 31, 2009, approximately $18 billion of consolidated income retained for use in the business represented undistributed earnings of consolidated subsidiaries and Schlumberger’s share of equity method investees. Schlumberger has not recorded deferred taxes relating to any of its undistributed earnings as they are all considered to be either indefinitely reinvested or earnings that would not be taxed when remitted.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Schlumberger’s assets that are exposed to concentrations of credit risk consist primarily of cash, short-term investments, fixed income investments held to maturity,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The receivables from clients are spread over many countries and customers. Schlumberger maintains an allowance for uncollectible accounts receivable based on expected collectibility and performs ongoing credit evaluations of its customers’ financial condition. By using derivative financial instruments to hedge exposure to changes in exchange rates and, commodity prices,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Engineering</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research and engineering expenditures are expensed as incurred.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earnings per share is calculated by dividing net income by the weighted average number of common shares outstanding during the year. Diluted earnings per share is calculated by first adding back to net income the interest expense on the convertible debentures and then dividing this adjusted net income attributable to Schlumberger by the sum of (i) unvested restricted stock units; and (ii) the weighted average number of common shares outstanding assuming dilution. The weighted average number of common shares outstanding assuming dilution assumes (a) that all stock options which are in the money are exercised at the beginning of the period and that the proceeds are used by Schlumberger to purchase shares at the average market price for the period, and (b) the conversion of the convertible debentures.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is a reconciliation from basic earnings per share to diluted earnings per share from continuing operations for each of the last three years: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 except per share amounts)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7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86"/>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6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Schlumberger</w:t>
            </w:r>
          </w:p>
        </w:tc>
        <w:tc>
          <w:tcPr>
            <w:tcW w:w="15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2"/>
                <w:szCs w:val="12"/>
                <w:color w:val="auto"/>
              </w:rPr>
            </w:pPr>
          </w:p>
        </w:tc>
        <w:tc>
          <w:tcPr>
            <w:tcW w:w="6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w w:val="85"/>
              </w:rPr>
              <w:t>Income from</w:t>
            </w:r>
          </w:p>
        </w:tc>
        <w:tc>
          <w:tcPr>
            <w:tcW w:w="15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5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9"/>
              </w:rPr>
              <w:t>Operations</w:t>
            </w: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gridSpan w:val="4"/>
          </w:tcPr>
          <w:p>
            <w:pPr>
              <w:ind w:left="20"/>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Pr>
          <w:p>
            <w:pPr>
              <w:spacing w:after="0"/>
              <w:rPr>
                <w:sz w:val="20"/>
                <w:szCs w:val="20"/>
                <w:color w:val="auto"/>
              </w:rPr>
            </w:pPr>
            <w:r>
              <w:rPr>
                <w:rFonts w:ascii="Arial" w:cs="Arial" w:eastAsia="Arial" w:hAnsi="Arial"/>
                <w:sz w:val="14"/>
                <w:szCs w:val="14"/>
                <w:b w:val="1"/>
                <w:bCs w:val="1"/>
                <w:color w:val="auto"/>
              </w:rPr>
              <w:t>Basic</w:t>
            </w: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3,156</w:t>
            </w: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1,198</w:t>
            </w:r>
          </w:p>
        </w:tc>
        <w:tc>
          <w:tcPr>
            <w:tcW w:w="8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Assumed conversion of debentures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b w:val="1"/>
                <w:bCs w:val="1"/>
                <w:color w:val="auto"/>
              </w:rPr>
              <w:t>Assumed exercise of stock options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Unvested restricted stock</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3,164</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1,214</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5,397</w:t>
            </w:r>
          </w:p>
        </w:tc>
        <w:tc>
          <w:tcPr>
            <w:tcW w:w="8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1,196</w:t>
            </w:r>
          </w:p>
        </w:tc>
        <w:tc>
          <w:tcPr>
            <w:tcW w:w="8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5,409</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5,177</w:t>
            </w:r>
          </w:p>
        </w:tc>
        <w:tc>
          <w:tcPr>
            <w:tcW w:w="8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1,188</w:t>
            </w:r>
          </w:p>
        </w:tc>
        <w:tc>
          <w:tcPr>
            <w:tcW w:w="8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5,201</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6829425</wp:posOffset>
            </wp:positionH>
            <wp:positionV relativeFrom="paragraph">
              <wp:posOffset>-2790825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-2790825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-2790825</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-2104390</wp:posOffset>
            </wp:positionV>
            <wp:extent cx="52705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-2104390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-2104390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-2104390</wp:posOffset>
            </wp:positionV>
            <wp:extent cx="42418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-1753235</wp:posOffset>
            </wp:positionV>
            <wp:extent cx="42418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-1066800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-1066800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-1066800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-1066800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-1066800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-1066800</wp:posOffset>
            </wp:positionV>
            <wp:extent cx="42418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-715010</wp:posOffset>
            </wp:positionV>
            <wp:extent cx="42418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52705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42418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pacing w:after="0" w:line="22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Employee stock options to purchase approximately 17.1 million, 5.8 million and 0.8 million shares of common stock at December 31, 2009, 2008 and 2007, respectively, were outstanding but not included in the computation of diluted earnings per share because the option exercise price was greater than the average market price of the common stock, and therefore, the effect on diluted earnings per share would have been anti-dilutive.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 xml:space="preserve">Effective, January 1, 2009, Schlumberger adopted newly issued accounting guidance that changed the accounting for, and reporting of, minority interest (now referred to as noncontrolling interests). Noncontrolling interests are now classified as </w:t>
      </w:r>
      <w:r>
        <w:rPr>
          <w:rFonts w:ascii="Arial" w:cs="Arial" w:eastAsia="Arial" w:hAnsi="Arial"/>
          <w:sz w:val="16"/>
          <w:szCs w:val="16"/>
          <w:i w:val="1"/>
          <w:iCs w:val="1"/>
          <w:color w:val="auto"/>
        </w:rPr>
        <w:t>Equity</w:t>
      </w:r>
      <w:r>
        <w:rPr>
          <w:rFonts w:ascii="Arial" w:cs="Arial" w:eastAsia="Arial" w:hAnsi="Arial"/>
          <w:sz w:val="16"/>
          <w:szCs w:val="16"/>
          <w:color w:val="auto"/>
        </w:rPr>
        <w:t xml:space="preserve"> in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jc w:val="both"/>
        <w:ind w:right="120" w:firstLine="228"/>
        <w:spacing w:after="0" w:line="250" w:lineRule="auto"/>
        <w:rPr>
          <w:sz w:val="20"/>
          <w:szCs w:val="20"/>
          <w:color w:val="auto"/>
        </w:rPr>
      </w:pPr>
      <w:r>
        <w:rPr>
          <w:rFonts w:ascii="Arial" w:cs="Arial" w:eastAsia="Arial" w:hAnsi="Arial"/>
          <w:sz w:val="18"/>
          <w:szCs w:val="18"/>
          <w:color w:val="auto"/>
        </w:rPr>
        <w:t>The new guidance also changed the way the consolidated income statement is presented by requiring net income to include the net income for both the parent and the noncontrolling interests, with disclosure of both amounts on the consolidated statement of income. The calculation of earnings per share continues to be based on income amounts attributable to the parent.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Prior period amounts related to noncontrolling interests have been reclassified to conform to the current period presentation.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Charges and Credits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in continuing operations during 2009, 2008 and 2007: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2009:</w:t>
      </w:r>
    </w:p>
    <w:p>
      <w:pPr>
        <w:spacing w:after="0" w:line="77" w:lineRule="exact"/>
        <w:rPr>
          <w:sz w:val="20"/>
          <w:szCs w:val="20"/>
          <w:color w:val="auto"/>
        </w:rPr>
      </w:pPr>
    </w:p>
    <w:p>
      <w:pPr>
        <w:ind w:left="780" w:right="40" w:hanging="326"/>
        <w:spacing w:after="0" w:line="306"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Schlumberger continued to reduce its global workforce as a result of the slowdown in oil and gas exploration and production spending and its effect on activity in the oilfield services sector. As a result of these actions, Schlumberger recorded a pretax charge of $102 million ($85 million after-tax), which is classified in </w:t>
      </w:r>
      <w:r>
        <w:rPr>
          <w:rFonts w:ascii="Arial" w:cs="Arial" w:eastAsia="Arial" w:hAnsi="Arial"/>
          <w:sz w:val="16"/>
          <w:szCs w:val="16"/>
          <w:i w:val="1"/>
          <w:iCs w:val="1"/>
          <w:color w:val="auto"/>
        </w:rPr>
        <w:t>Cost of revenue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These workforce reductions were completed by the end of 2009.</w:t>
      </w:r>
    </w:p>
    <w:p>
      <w:pPr>
        <w:spacing w:after="0" w:line="12"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As a consequence of these workforce reductions, Schlumberger recorded pretax non-cash pension and other postretirement benefit curtailment charges of $136 million ($122 million after-tax). These costs are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Refer to Note 19 – </w:t>
      </w:r>
      <w:r>
        <w:rPr>
          <w:rFonts w:ascii="Arial" w:cs="Arial" w:eastAsia="Arial" w:hAnsi="Arial"/>
          <w:sz w:val="18"/>
          <w:szCs w:val="18"/>
          <w:i w:val="1"/>
          <w:iCs w:val="1"/>
          <w:color w:val="auto"/>
        </w:rPr>
        <w:t xml:space="preserve">Pension and Other Benefit Plans </w:t>
      </w:r>
      <w:r>
        <w:rPr>
          <w:rFonts w:ascii="Arial" w:cs="Arial" w:eastAsia="Arial" w:hAnsi="Arial"/>
          <w:sz w:val="18"/>
          <w:szCs w:val="18"/>
          <w:color w:val="auto"/>
        </w:rPr>
        <w:t>for further details.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84"/>
              </w:rPr>
              <w:t>Pretax</w:t>
            </w:r>
          </w:p>
        </w:tc>
        <w:tc>
          <w:tcPr>
            <w:tcW w:w="6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Tax</w:t>
            </w: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80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Workforce reductions</w:t>
            </w:r>
          </w:p>
        </w:tc>
        <w:tc>
          <w:tcPr>
            <w:tcW w:w="3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102</w:t>
            </w:r>
          </w:p>
        </w:tc>
        <w:tc>
          <w:tcPr>
            <w:tcW w:w="6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5"/>
              </w:rPr>
              <w:t>$(17)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 Postretirement benefits curtailment</w:t>
            </w: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136</w:t>
            </w:r>
          </w:p>
        </w:tc>
        <w:tc>
          <w:tcPr>
            <w:tcW w:w="660" w:type="dxa"/>
            <w:vAlign w:val="bottom"/>
            <w:gridSpan w:val="2"/>
          </w:tcPr>
          <w:p>
            <w:pPr>
              <w:jc w:val="right"/>
              <w:ind w:right="36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800" w:type="dxa"/>
            <w:vAlign w:val="bottom"/>
            <w:tcBorders>
              <w:bottom w:val="single" w:sz="8" w:color="808080"/>
            </w:tcBorders>
          </w:tcPr>
          <w:p>
            <w:pPr>
              <w:spacing w:after="0"/>
              <w:rPr>
                <w:sz w:val="7"/>
                <w:szCs w:val="7"/>
                <w:color w:val="auto"/>
              </w:rPr>
            </w:pPr>
          </w:p>
        </w:tc>
        <w:tc>
          <w:tcPr>
            <w:tcW w:w="38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238</w:t>
            </w:r>
          </w:p>
        </w:tc>
        <w:tc>
          <w:tcPr>
            <w:tcW w:w="6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5"/>
              </w:rPr>
              <w:t>$(31)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207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2008</w:t>
            </w:r>
          </w:p>
        </w:tc>
        <w:tc>
          <w:tcPr>
            <w:tcW w:w="3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5820" w:type="dxa"/>
            <w:vAlign w:val="bottom"/>
            <w:gridSpan w:val="2"/>
            <w:vMerge w:val="continue"/>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Fourth quarter of 2008:</w:t>
            </w:r>
          </w:p>
        </w:tc>
        <w:tc>
          <w:tcPr>
            <w:tcW w:w="3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-445770</wp:posOffset>
            </wp:positionV>
            <wp:extent cx="25273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-445770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-445770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-445770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-445770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-445770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-445770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41" w:lineRule="exact"/>
        <w:rPr>
          <w:sz w:val="20"/>
          <w:szCs w:val="20"/>
          <w:color w:val="auto"/>
        </w:rPr>
      </w:pPr>
    </w:p>
    <w:p>
      <w:pPr>
        <w:ind w:left="780" w:right="380" w:hanging="326"/>
        <w:spacing w:after="0" w:line="306"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Due to the continuing slowdown in oil and gas exploration and production spending and its effect on activity in the oilfield services sector, Schlumberger took actions to reduce its global workforce. As a result of these actions, Schlumberger recorded a pretax charge of $74 million ($65 million after-tax), which is classified in </w:t>
      </w:r>
      <w:r>
        <w:rPr>
          <w:rFonts w:ascii="Arial" w:cs="Arial" w:eastAsia="Arial" w:hAnsi="Arial"/>
          <w:sz w:val="16"/>
          <w:szCs w:val="16"/>
          <w:i w:val="1"/>
          <w:iCs w:val="1"/>
          <w:color w:val="auto"/>
        </w:rPr>
        <w:t>Cost of revenue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 w:lineRule="exact"/>
        <w:rPr>
          <w:rFonts w:ascii="Arial" w:cs="Arial" w:eastAsia="Arial" w:hAnsi="Arial"/>
          <w:sz w:val="16"/>
          <w:szCs w:val="16"/>
          <w:color w:val="auto"/>
        </w:rPr>
      </w:pPr>
    </w:p>
    <w:p>
      <w:pPr>
        <w:jc w:val="both"/>
        <w:ind w:left="780" w:right="80" w:hanging="326"/>
        <w:spacing w:after="0" w:line="306"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Schlumberger wrote off certain assets, primarily accounts receivable relating to one client with liquidity issues. Accordingly, Schlumberger recorded a pretax charge of $42 million ($28 million after-tax and noncontrolling interest). $32 million of the pretax charge is classified in </w:t>
      </w:r>
      <w:r>
        <w:rPr>
          <w:rFonts w:ascii="Arial" w:cs="Arial" w:eastAsia="Arial" w:hAnsi="Arial"/>
          <w:sz w:val="16"/>
          <w:szCs w:val="16"/>
          <w:i w:val="1"/>
          <w:iCs w:val="1"/>
          <w:color w:val="auto"/>
        </w:rPr>
        <w:t>Cost of revenue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with the remaining $10 million classified in</w:t>
      </w:r>
      <w:r>
        <w:rPr>
          <w:rFonts w:ascii="Arial" w:cs="Arial" w:eastAsia="Arial" w:hAnsi="Arial"/>
          <w:sz w:val="16"/>
          <w:szCs w:val="16"/>
          <w:i w:val="1"/>
          <w:iCs w:val="1"/>
          <w:color w:val="auto"/>
        </w:rPr>
        <w:t xml:space="preserve"> Interest and other income, net</w:t>
      </w:r>
      <w:r>
        <w:rPr>
          <w:rFonts w:ascii="Arial" w:cs="Arial" w:eastAsia="Arial" w:hAnsi="Arial"/>
          <w:sz w:val="16"/>
          <w:szCs w:val="16"/>
          <w:color w:val="auto"/>
        </w:rPr>
        <w: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these charges: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700" w:type="dxa"/>
            <w:vAlign w:val="bottom"/>
            <w:tcBorders>
              <w:top w:val="single" w:sz="8" w:color="auto"/>
            </w:tcBorders>
          </w:tcPr>
          <w:p>
            <w:pPr>
              <w:spacing w:after="0"/>
              <w:rPr>
                <w:sz w:val="11"/>
                <w:szCs w:val="11"/>
                <w:color w:val="auto"/>
              </w:rPr>
            </w:pPr>
          </w:p>
        </w:tc>
        <w:tc>
          <w:tcPr>
            <w:tcW w:w="4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rPr>
              <w:t>Non-</w:t>
            </w:r>
          </w:p>
        </w:tc>
        <w:tc>
          <w:tcPr>
            <w:tcW w:w="2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Pretax</w:t>
            </w: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Interests</w:t>
            </w:r>
          </w:p>
        </w:tc>
        <w:tc>
          <w:tcPr>
            <w:tcW w:w="220" w:type="dxa"/>
            <w:vAlign w:val="bottom"/>
            <w:gridSpan w:val="2"/>
          </w:tcPr>
          <w:p>
            <w:pPr>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Workforce reduction</w:t>
            </w:r>
          </w:p>
        </w:tc>
        <w:tc>
          <w:tcPr>
            <w:tcW w:w="4460" w:type="dxa"/>
            <w:vAlign w:val="bottom"/>
            <w:gridSpan w:val="2"/>
            <w:shd w:val="clear" w:color="auto" w:fill="CCEEFF"/>
          </w:tcPr>
          <w:p>
            <w:pPr>
              <w:ind w:left="4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$65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 Provision for doubtful accounts</w:t>
            </w: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Other</w:t>
            </w:r>
          </w:p>
        </w:tc>
        <w:tc>
          <w:tcPr>
            <w:tcW w:w="4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460" w:type="dxa"/>
            <w:vAlign w:val="bottom"/>
            <w:gridSpan w:val="2"/>
            <w:shd w:val="clear" w:color="auto" w:fill="CCEEFF"/>
          </w:tcPr>
          <w:p>
            <w:pPr>
              <w:ind w:left="43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88"/>
              </w:rPr>
              <w:t>(17)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360" w:type="dxa"/>
            <w:vAlign w:val="bottom"/>
            <w:vMerge w:val="restart"/>
          </w:tcPr>
          <w:p>
            <w:pPr>
              <w:jc w:val="right"/>
              <w:ind w:right="2232"/>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-292735</wp:posOffset>
            </wp:positionV>
            <wp:extent cx="25273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-292735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-292735</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-292735</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-292735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-292735</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-292735</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-292735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-292735</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2007:</w:t>
      </w:r>
    </w:p>
    <w:p>
      <w:pPr>
        <w:spacing w:after="0" w:line="77" w:lineRule="exact"/>
        <w:rPr>
          <w:sz w:val="20"/>
          <w:szCs w:val="20"/>
          <w:color w:val="auto"/>
        </w:rPr>
      </w:pPr>
    </w:p>
    <w:p>
      <w:pPr>
        <w:ind w:left="780" w:right="80" w:hanging="326"/>
        <w:spacing w:after="0" w:line="268"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Schlumberger sold certain workover rigs for $32 million, resulting in a pretax gain of $24 million ($17 million after-tax) which is classified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income, net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Eastern Echo Holding Plc</w:t>
      </w:r>
    </w:p>
    <w:p>
      <w:pPr>
        <w:spacing w:after="0" w:line="77"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On December 10, 2007, Schlumberger completed the acquisition of Eastern Echo Holding Plc (“Eastern Echo”) for $838 million in cash. Eastern Echo was a Dubai-based marine seismic company that did not have any operations at the time of acquisition, but had signed contracts for the construction of six seismic vessels.</w:t>
      </w:r>
    </w:p>
    <w:p>
      <w:pPr>
        <w:ind w:left="240"/>
        <w:spacing w:after="0"/>
        <w:rPr>
          <w:sz w:val="20"/>
          <w:szCs w:val="20"/>
          <w:color w:val="auto"/>
        </w:rPr>
      </w:pPr>
      <w:r>
        <w:rPr>
          <w:rFonts w:ascii="Arial" w:cs="Arial" w:eastAsia="Arial" w:hAnsi="Arial"/>
          <w:sz w:val="18"/>
          <w:szCs w:val="18"/>
          <w:color w:val="auto"/>
        </w:rPr>
        <w:t>The purchase price has been allocated to the net assets acquired based upon their estimated fair values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short-term investments</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$ 266</w:t>
            </w: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0" w:type="dxa"/>
            <w:vAlign w:val="bottom"/>
          </w:tcPr>
          <w:p>
            <w:pPr>
              <w:spacing w:after="0" w:line="149" w:lineRule="exact"/>
              <w:rPr>
                <w:sz w:val="20"/>
                <w:szCs w:val="20"/>
                <w:color w:val="auto"/>
              </w:rPr>
            </w:pPr>
            <w:r>
              <w:rPr>
                <w:rFonts w:ascii="Arial" w:cs="Arial" w:eastAsia="Arial" w:hAnsi="Arial"/>
                <w:sz w:val="14"/>
                <w:szCs w:val="14"/>
                <w:color w:val="auto"/>
              </w:rPr>
              <w:t>Vessels under construction</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and accrued liabilities</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0" w:type="dxa"/>
            <w:vAlign w:val="bottom"/>
          </w:tcPr>
          <w:p>
            <w:pPr>
              <w:spacing w:after="0"/>
              <w:rPr>
                <w:sz w:val="20"/>
                <w:szCs w:val="20"/>
                <w:color w:val="auto"/>
              </w:rPr>
            </w:pPr>
            <w:r>
              <w:rPr>
                <w:rFonts w:ascii="Arial" w:cs="Arial" w:eastAsia="Arial" w:hAnsi="Arial"/>
                <w:sz w:val="14"/>
                <w:szCs w:val="14"/>
                <w:color w:val="auto"/>
              </w:rPr>
              <w:t>Long-term debt</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$ 838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72"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Schlumberger has made other acquisitions and minority interest investments, none of which were significant on an individual basis, for cash payments, net of cash acquired, of $514 million during 2009, $345 million during 2008, and $281 million during 2007.</w:t>
      </w:r>
    </w:p>
    <w:p>
      <w:pPr>
        <w:ind w:left="240"/>
        <w:spacing w:after="0"/>
        <w:rPr>
          <w:sz w:val="20"/>
          <w:szCs w:val="20"/>
          <w:color w:val="auto"/>
        </w:rPr>
      </w:pPr>
      <w:r>
        <w:rPr>
          <w:rFonts w:ascii="Arial" w:cs="Arial" w:eastAsia="Arial" w:hAnsi="Arial"/>
          <w:sz w:val="18"/>
          <w:szCs w:val="18"/>
          <w:color w:val="auto"/>
        </w:rPr>
        <w:t>Pro forma results pertaining to the above acquisitions are not presented as the impact was not significant.</w:t>
      </w:r>
    </w:p>
    <w:p>
      <w:pPr>
        <w:spacing w:after="0" w:line="14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Drilling Fluids Joint Venture</w:t>
      </w:r>
    </w:p>
    <w:p>
      <w:pPr>
        <w:spacing w:after="0" w:line="7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 xml:space="preserve">The MI-SWACO drilling fluids joint venture is owned 40% by Schlumberger and 60% by Smith International, Inc. Schlumberger records income relating to this venture using the equity method of accounting. The carrying value of Schlumberger’s investment in the joint venture on December 31, 2009 and 2008 was $1.4 billion and $1.3 billion, respectively, and is included within </w:t>
      </w:r>
      <w:r>
        <w:rPr>
          <w:rFonts w:ascii="Arial" w:cs="Arial" w:eastAsia="Arial" w:hAnsi="Arial"/>
          <w:sz w:val="16"/>
          <w:szCs w:val="16"/>
          <w:i w:val="1"/>
          <w:iCs w:val="1"/>
          <w:color w:val="auto"/>
        </w:rPr>
        <w:t>Investments in Affiliated Companies</w:t>
      </w:r>
      <w:r>
        <w:rPr>
          <w:rFonts w:ascii="Arial" w:cs="Arial" w:eastAsia="Arial" w:hAnsi="Arial"/>
          <w:sz w:val="16"/>
          <w:szCs w:val="16"/>
          <w:color w:val="auto"/>
        </w:rPr>
        <w:t xml:space="preserve">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Schlumberger’s equity income from this joint venture was $131 million in 2009, $210 million in 2008 and $178 million in 2007. Schlumberger received cash distributions from the joint venture of $106 million in 2009, $57 million in 2008 and $46 million in 2007.</w:t>
      </w:r>
    </w:p>
    <w:p>
      <w:pPr>
        <w:spacing w:after="0" w:line="2" w:lineRule="exact"/>
        <w:rPr>
          <w:sz w:val="20"/>
          <w:szCs w:val="20"/>
          <w:color w:val="auto"/>
        </w:rPr>
      </w:pPr>
    </w:p>
    <w:p>
      <w:pPr>
        <w:ind w:firstLine="228"/>
        <w:spacing w:after="0" w:line="302" w:lineRule="auto"/>
        <w:rPr>
          <w:sz w:val="20"/>
          <w:szCs w:val="20"/>
          <w:color w:val="auto"/>
        </w:rPr>
      </w:pPr>
      <w:r>
        <w:rPr>
          <w:rFonts w:ascii="Arial" w:cs="Arial" w:eastAsia="Arial" w:hAnsi="Arial"/>
          <w:sz w:val="16"/>
          <w:szCs w:val="16"/>
          <w:color w:val="auto"/>
        </w:rPr>
        <w:t>The joint venture agreement contains a provision under which either party to the joint venture may offer to sell its entire interest in the venture to the other party at a cash purchase price per percentage interest specified in an offer notice. If the offer to sell is not accepted, the offering party will be obligated to purchase the entire interest of the other party at the same price per percentage interest as the prices specified in the offer notice.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101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Raw materials &amp; field materials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$ 1,646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$ 1,674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Work in process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Finished goods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1,866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2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99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9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141</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spacing w:after="0" w:line="149" w:lineRule="exact"/>
              <w:rPr>
                <w:sz w:val="20"/>
                <w:szCs w:val="20"/>
                <w:color w:val="auto"/>
              </w:rPr>
            </w:pPr>
            <w:r>
              <w:rPr>
                <w:rFonts w:ascii="Arial" w:cs="Arial" w:eastAsia="Arial" w:hAnsi="Arial"/>
                <w:sz w:val="14"/>
                <w:szCs w:val="14"/>
                <w:color w:val="auto"/>
              </w:rPr>
              <w:t>Buildings &amp; improvements</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1,806</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Machinery &amp; equipment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17,939</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16,916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spacing w:after="0" w:line="149" w:lineRule="exact"/>
              <w:rPr>
                <w:sz w:val="20"/>
                <w:szCs w:val="20"/>
                <w:color w:val="auto"/>
              </w:rPr>
            </w:pPr>
            <w:r>
              <w:rPr>
                <w:rFonts w:ascii="Arial" w:cs="Arial" w:eastAsia="Arial" w:hAnsi="Arial"/>
                <w:sz w:val="14"/>
                <w:szCs w:val="14"/>
                <w:color w:val="auto"/>
              </w:rPr>
              <w:t>Seismic vessels and related equipment</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924</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Seismic vessels under construction</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695</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21,505</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20,152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4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8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9"/>
              </w:rPr>
              <w:t>11,845</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10,462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9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9,660</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9,690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9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estimated useful lives of Buildings &amp; improvements are primarily 30 to 40 years. The estimated useful lives of Machinery &amp; equipment are primarily 5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 years. Seismic vessels are depreciated over periods ranging from 20 to 30 years with the related equipment generally depreciated over 5 years.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expense relating to fixed assets was $2.1 billion, $1.9 billion and $1.5 billion in 2009, 2008 and 2007, respectively.</w:t>
      </w:r>
    </w:p>
    <w:p>
      <w:pPr>
        <w:spacing w:after="0" w:line="14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Multiclient Seismic Data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Borders>
              <w:top w:val="single" w:sz="8" w:color="auto"/>
            </w:tcBorders>
          </w:tcPr>
          <w:p>
            <w:pPr>
              <w:spacing w:after="0"/>
              <w:rPr>
                <w:sz w:val="15"/>
                <w:szCs w:val="15"/>
                <w:color w:val="auto"/>
              </w:rPr>
            </w:pPr>
          </w:p>
        </w:tc>
        <w:tc>
          <w:tcPr>
            <w:tcW w:w="69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3580" w:type="dxa"/>
            <w:vAlign w:val="bottom"/>
          </w:tcPr>
          <w:p>
            <w:pPr>
              <w:spacing w:after="0"/>
              <w:rPr>
                <w:sz w:val="6"/>
                <w:szCs w:val="6"/>
                <w:color w:val="auto"/>
              </w:rPr>
            </w:pPr>
          </w:p>
        </w:tc>
        <w:tc>
          <w:tcPr>
            <w:tcW w:w="6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6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$ 287</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Capitalized in year</w:t>
            </w:r>
          </w:p>
        </w:tc>
        <w:tc>
          <w:tcPr>
            <w:tcW w:w="69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230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Charged to cost of revenue</w:t>
            </w:r>
          </w:p>
        </w:tc>
        <w:tc>
          <w:tcPr>
            <w:tcW w:w="7420" w:type="dxa"/>
            <w:vAlign w:val="bottom"/>
            <w:gridSpan w:val="4"/>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(229)</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c>
          <w:tcPr>
            <w:tcW w:w="65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6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$ 288</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$ 287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6560" w:type="dxa"/>
            <w:vAlign w:val="bottom"/>
            <w:vMerge w:val="restart"/>
          </w:tcPr>
          <w:p>
            <w:pPr>
              <w:jc w:val="right"/>
              <w:ind w:right="4312"/>
              <w:spacing w:after="0"/>
              <w:rPr>
                <w:sz w:val="20"/>
                <w:szCs w:val="20"/>
                <w:color w:val="auto"/>
              </w:rPr>
            </w:pPr>
            <w:r>
              <w:rPr>
                <w:rFonts w:ascii="Arial" w:cs="Arial" w:eastAsia="Arial" w:hAnsi="Arial"/>
                <w:sz w:val="14"/>
                <w:szCs w:val="14"/>
                <w:color w:val="auto"/>
              </w:rPr>
              <w:t>48</w:t>
            </w: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-292735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-292735</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-292735</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-292735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-292735</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-292735</wp:posOffset>
            </wp:positionV>
            <wp:extent cx="3873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9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Oilfield</w:t>
            </w:r>
          </w:p>
        </w:tc>
        <w:tc>
          <w:tcPr>
            <w:tcW w:w="1040" w:type="dxa"/>
            <w:vAlign w:val="bottom"/>
            <w:tcBorders>
              <w:top w:val="single" w:sz="8" w:color="auto"/>
            </w:tcBorders>
            <w:gridSpan w:val="4"/>
          </w:tcPr>
          <w:p>
            <w:pPr>
              <w:jc w:val="right"/>
              <w:ind w:right="560"/>
              <w:spacing w:after="0" w:line="129" w:lineRule="exact"/>
              <w:rPr>
                <w:sz w:val="20"/>
                <w:szCs w:val="20"/>
                <w:color w:val="auto"/>
              </w:rPr>
            </w:pPr>
            <w:r>
              <w:rPr>
                <w:rFonts w:ascii="Arial" w:cs="Arial" w:eastAsia="Arial" w:hAnsi="Arial"/>
                <w:sz w:val="14"/>
                <w:szCs w:val="14"/>
                <w:b w:val="1"/>
                <w:bCs w:val="1"/>
                <w:color w:val="auto"/>
                <w:w w:val="83"/>
              </w:rPr>
              <w:t>Western</w:t>
            </w: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9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6"/>
              </w:rPr>
              <w:t>Geco</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4,185</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$5,142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4,174</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1,015</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4,290</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1,015</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$5,305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At December 31, the gross book value and accumulated amortization of intangible assets were as follows: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3"/>
              </w:rPr>
              <w:t>2009</w:t>
            </w: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90" w:type="dxa"/>
            <w:vAlign w:val="bottom"/>
            <w:tcBorders>
              <w:top w:val="single" w:sz="8" w:color="auto"/>
            </w:tcBorders>
          </w:tcPr>
          <w:p>
            <w:pPr>
              <w:spacing w:after="0"/>
              <w:rPr>
                <w:sz w:val="15"/>
                <w:szCs w:val="15"/>
                <w:color w:val="auto"/>
              </w:rPr>
            </w:pPr>
          </w:p>
        </w:tc>
        <w:tc>
          <w:tcPr>
            <w:tcW w:w="61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3"/>
              </w:rPr>
              <w:t>2008</w:t>
            </w: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gridSpan w:val="2"/>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90" w:type="dxa"/>
            <w:vAlign w:val="bottom"/>
            <w:tcBorders>
              <w:bottom w:val="single" w:sz="8" w:color="808080"/>
            </w:tcBorders>
          </w:tcPr>
          <w:p>
            <w:pPr>
              <w:spacing w:after="0"/>
              <w:rPr>
                <w:sz w:val="6"/>
                <w:szCs w:val="6"/>
                <w:color w:val="auto"/>
              </w:rPr>
            </w:pPr>
          </w:p>
        </w:tc>
        <w:tc>
          <w:tcPr>
            <w:tcW w:w="61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Gross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Book</w:t>
            </w:r>
          </w:p>
        </w:tc>
        <w:tc>
          <w:tcPr>
            <w:tcW w:w="20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87"/>
              </w:rPr>
              <w:t>Net Book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Book Value</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Book Value</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339</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77</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6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2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527</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364</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465</w:t>
            </w:r>
          </w:p>
        </w:tc>
        <w:tc>
          <w:tcPr>
            <w:tcW w:w="64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Relationships</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355</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275</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6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121</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70</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124</w:t>
            </w:r>
          </w:p>
        </w:tc>
        <w:tc>
          <w:tcPr>
            <w:tcW w:w="64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610" w:type="dxa"/>
            <w:vAlign w:val="bottom"/>
          </w:tcPr>
          <w:p>
            <w:pPr>
              <w:jc w:val="right"/>
              <w:spacing w:after="0"/>
              <w:rPr>
                <w:sz w:val="20"/>
                <w:szCs w:val="20"/>
                <w:color w:val="auto"/>
              </w:rPr>
            </w:pPr>
            <w:r>
              <w:rPr>
                <w:rFonts w:ascii="Arial" w:cs="Arial" w:eastAsia="Arial" w:hAnsi="Arial"/>
                <w:sz w:val="14"/>
                <w:szCs w:val="14"/>
                <w:color w:val="auto"/>
              </w:rPr>
              <w:t>45</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1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190" w:type="dxa"/>
            <w:vAlign w:val="bottom"/>
            <w:tcBorders>
              <w:bottom w:val="single" w:sz="8" w:color="808080"/>
            </w:tcBorders>
          </w:tcPr>
          <w:p>
            <w:pPr>
              <w:spacing w:after="0"/>
              <w:rPr>
                <w:sz w:val="7"/>
                <w:szCs w:val="7"/>
                <w:color w:val="auto"/>
              </w:rPr>
            </w:pPr>
          </w:p>
        </w:tc>
        <w:tc>
          <w:tcPr>
            <w:tcW w:w="61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1,342</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786</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w:t>
            </w:r>
          </w:p>
        </w:tc>
        <w:tc>
          <w:tcPr>
            <w:tcW w:w="64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190" w:type="dxa"/>
            <w:vAlign w:val="bottom"/>
            <w:tcBorders>
              <w:bottom w:val="single" w:sz="8" w:color="808080"/>
            </w:tcBorders>
          </w:tcPr>
          <w:p>
            <w:pPr>
              <w:spacing w:after="0"/>
              <w:rPr>
                <w:sz w:val="11"/>
                <w:szCs w:val="11"/>
                <w:color w:val="auto"/>
              </w:rPr>
            </w:pPr>
          </w:p>
        </w:tc>
        <w:tc>
          <w:tcPr>
            <w:tcW w:w="61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-29210</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34734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Amortization expense was $114 million in 2009, $124 million in 2008 and $124 million in 2007.</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amortization period for all intangible assets is approximately 12 years.</w:t>
      </w:r>
    </w:p>
    <w:p>
      <w:pPr>
        <w:spacing w:after="0" w:line="9" w:lineRule="exact"/>
        <w:rPr>
          <w:sz w:val="20"/>
          <w:szCs w:val="20"/>
          <w:color w:val="auto"/>
        </w:rPr>
      </w:pPr>
    </w:p>
    <w:p>
      <w:pPr>
        <w:ind w:right="520" w:firstLine="228"/>
        <w:spacing w:after="0" w:line="261" w:lineRule="auto"/>
        <w:rPr>
          <w:sz w:val="20"/>
          <w:szCs w:val="20"/>
          <w:color w:val="auto"/>
        </w:rPr>
      </w:pPr>
      <w:r>
        <w:rPr>
          <w:rFonts w:ascii="Arial" w:cs="Arial" w:eastAsia="Arial" w:hAnsi="Arial"/>
          <w:sz w:val="18"/>
          <w:szCs w:val="18"/>
          <w:color w:val="auto"/>
        </w:rPr>
        <w:t>Amortization expense for the subsequent five years is estimated to be as follows: 2010 – $109 million, 2011 – $101 million, 2012 – $96 million, 2013 – $77 million and 2014 – $72 million.</w:t>
      </w:r>
    </w:p>
    <w:p>
      <w:pPr>
        <w:spacing w:after="0" w:line="114"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Debt Facility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Debentures</w:t>
      </w:r>
    </w:p>
    <w:p>
      <w:pPr>
        <w:spacing w:after="0" w:line="70"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During 2003, Schlumberger Limited issued $975 million aggregate principal amount of 1.5% Series A Convertible Debentures due June 1, 2023. The Series A debentures were convertible, at the holders’ option, into shares of common stock of Schlumberger Limited at a conversion rate of 27.651 shares for each $1,000 of principal amount (equivalent to an initial conversion price of $36.165 per share).</w:t>
      </w:r>
    </w:p>
    <w:p>
      <w:pPr>
        <w:ind w:right="600" w:firstLine="228"/>
        <w:spacing w:after="0" w:line="323" w:lineRule="auto"/>
        <w:rPr>
          <w:sz w:val="20"/>
          <w:szCs w:val="20"/>
          <w:color w:val="auto"/>
        </w:rPr>
      </w:pPr>
      <w:r>
        <w:rPr>
          <w:rFonts w:ascii="Arial" w:cs="Arial" w:eastAsia="Arial" w:hAnsi="Arial"/>
          <w:sz w:val="16"/>
          <w:szCs w:val="16"/>
          <w:color w:val="auto"/>
        </w:rPr>
        <w:t>During 2007, $622 million of the Series A debentures were converted into 17.2 million shares of Schlumberger common stock. During 2008, all of the remaining $353 million of outstanding Series A debentures were converted into 9.8 million shares of Schlumberger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Debentures</w:t>
      </w:r>
    </w:p>
    <w:p>
      <w:pPr>
        <w:spacing w:after="0" w:line="7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During 2003, Schlumberger Limited issued $450 million aggregate principal amount of 2.125% Series B Convertible Debentures due June 1, 2023. The Series B debentures are convertible, at the holders’ option, into shares of common stock of Schlumberger Limited. Holders of the Series B debentures may convert their debentures into common stock at a conversion rate of 25.000 shares for each $1,000 of principal (equivalent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an initial conversion price of $40.00 per share). The conversion rate may be adjusted for certain events, but it will not be adjusted for accrued interest.</w:t>
      </w:r>
    </w:p>
    <w:p>
      <w:pPr>
        <w:spacing w:after="0" w:line="38"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On or after June 6, 2010, Schlumberger may redeem for cash all or part of the debentures, upon notice to the holders, at the redemption prices of 100% of the principal amount of the debentures, plus accrued and unpaid interest to the date of redemption. On June 1, 2010, June 1, 2013 and June 1, 2018, holders may require Schlumberger to repurchase their Series B debentures. The repurchase price will be 100% of the principal amount of the debentures plus accrued and unpaid interest to the repurchase date. The repurchase price for repurchases on June 1, 2010 will be paid in cash. On the other repurchase dates, Schlumberger may choose to pay the repurchase price in cash or common stock or any combination of cash and common stock. In addition, upon the occurrence of a Fundamental Change (defined as a change in control or a termination of trading of Schlumberger’s common stock), holders may require Schlumberger to repurchase all or a portion of their debentures for an amount equal to 100% of the principal amount of the debentures plus accrued and unpaid interest to the repurchase date. The repurchase price may be paid in cash, Schlumberger common stock (or if Schlumberger is not the surviving entity in a merger, the securities of the surviving entity) or a combination of cash and the applicable securities, at Schlumberger’s option. The applicable securities will be valued at 99% of their market price.</w:t>
      </w:r>
    </w:p>
    <w:p>
      <w:pPr>
        <w:spacing w:after="0" w:line="7" w:lineRule="exact"/>
        <w:rPr>
          <w:sz w:val="20"/>
          <w:szCs w:val="20"/>
          <w:color w:val="auto"/>
        </w:rPr>
      </w:pPr>
    </w:p>
    <w:p>
      <w:pPr>
        <w:ind w:right="260" w:firstLine="228"/>
        <w:spacing w:after="0" w:line="250" w:lineRule="auto"/>
        <w:rPr>
          <w:sz w:val="20"/>
          <w:szCs w:val="20"/>
          <w:color w:val="auto"/>
        </w:rPr>
      </w:pPr>
      <w:r>
        <w:rPr>
          <w:rFonts w:ascii="Arial" w:cs="Arial" w:eastAsia="Arial" w:hAnsi="Arial"/>
          <w:sz w:val="18"/>
          <w:szCs w:val="18"/>
          <w:color w:val="auto"/>
        </w:rPr>
        <w:t>Schlumberger’s option to pay the repurchase price with securities is subject to certain conditions. The debentures will mature on June 1, 2023 unless earlier redeemed or repurchased.</w:t>
      </w:r>
    </w:p>
    <w:p>
      <w:pPr>
        <w:spacing w:after="0" w:line="1" w:lineRule="exact"/>
        <w:rPr>
          <w:sz w:val="20"/>
          <w:szCs w:val="20"/>
          <w:color w:val="auto"/>
        </w:rPr>
      </w:pPr>
    </w:p>
    <w:p>
      <w:pPr>
        <w:ind w:right="600" w:firstLine="228"/>
        <w:spacing w:after="0" w:line="250" w:lineRule="auto"/>
        <w:rPr>
          <w:sz w:val="20"/>
          <w:szCs w:val="20"/>
          <w:color w:val="auto"/>
        </w:rPr>
      </w:pPr>
      <w:r>
        <w:rPr>
          <w:rFonts w:ascii="Arial" w:cs="Arial" w:eastAsia="Arial" w:hAnsi="Arial"/>
          <w:sz w:val="18"/>
          <w:szCs w:val="18"/>
          <w:color w:val="auto"/>
        </w:rPr>
        <w:t>During 2008 and 2007, $95 million and $34 million of the Series B debentures were converted into 2.4 million and 0.9 million shares of Schlumberger common stock, respectively.</w:t>
      </w:r>
    </w:p>
    <w:p>
      <w:pPr>
        <w:spacing w:after="0" w:line="1" w:lineRule="exact"/>
        <w:rPr>
          <w:sz w:val="20"/>
          <w:szCs w:val="20"/>
          <w:color w:val="auto"/>
        </w:rPr>
      </w:pPr>
    </w:p>
    <w:p>
      <w:pPr>
        <w:ind w:right="60" w:firstLine="228"/>
        <w:spacing w:after="0" w:line="323" w:lineRule="auto"/>
        <w:rPr>
          <w:sz w:val="20"/>
          <w:szCs w:val="20"/>
          <w:color w:val="auto"/>
        </w:rPr>
      </w:pPr>
      <w:r>
        <w:rPr>
          <w:rFonts w:ascii="Arial" w:cs="Arial" w:eastAsia="Arial" w:hAnsi="Arial"/>
          <w:sz w:val="16"/>
          <w:szCs w:val="16"/>
          <w:color w:val="auto"/>
        </w:rPr>
        <w:t>There were $321 million of the Series B debentures outstanding at both December 31, 2009 and December 31, 2008. The fair value of the Series B debentures at December 31, 2009 and December 31, 2008 was $527 million and $398 million, respectively, and was based on quoted market prices.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Long-term Debt </w:t>
      </w:r>
      <w:r>
        <w:rPr>
          <w:rFonts w:ascii="Arial" w:cs="Arial" w:eastAsia="Arial" w:hAnsi="Arial"/>
          <w:sz w:val="18"/>
          <w:szCs w:val="18"/>
          <w:color w:val="auto"/>
        </w:rPr>
        <w:t>consists of the following: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60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4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4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6040" w:type="dxa"/>
            <w:vAlign w:val="bottom"/>
          </w:tcPr>
          <w:p>
            <w:pPr>
              <w:spacing w:after="0"/>
              <w:rPr>
                <w:sz w:val="6"/>
                <w:szCs w:val="6"/>
                <w:color w:val="auto"/>
              </w:rPr>
            </w:pPr>
          </w:p>
        </w:tc>
        <w:tc>
          <w:tcPr>
            <w:tcW w:w="4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5.25% Guaranteed Notes due 2013</w:t>
            </w:r>
          </w:p>
        </w:tc>
        <w:tc>
          <w:tcPr>
            <w:tcW w:w="4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727</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6.5% Notes due 2012</w:t>
            </w:r>
          </w:p>
        </w:tc>
        <w:tc>
          <w:tcPr>
            <w:tcW w:w="4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5.875% Guaranteed Bonds due 2011</w:t>
            </w:r>
          </w:p>
        </w:tc>
        <w:tc>
          <w:tcPr>
            <w:tcW w:w="4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362</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4.50% Guaranteed Notes due 2014</w:t>
            </w:r>
          </w:p>
        </w:tc>
        <w:tc>
          <w:tcPr>
            <w:tcW w:w="4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1,449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3.00% Guaranteed Notes due 2013</w:t>
            </w:r>
          </w:p>
        </w:tc>
        <w:tc>
          <w:tcPr>
            <w:tcW w:w="4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5.14% Guaranteed Notes due 2010</w:t>
            </w:r>
          </w:p>
        </w:tc>
        <w:tc>
          <w:tcPr>
            <w:tcW w:w="4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paper borrowings</w:t>
            </w:r>
          </w:p>
        </w:tc>
        <w:tc>
          <w:tcPr>
            <w:tcW w:w="4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358</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Other variable rate debt</w:t>
            </w:r>
          </w:p>
        </w:tc>
        <w:tc>
          <w:tcPr>
            <w:tcW w:w="4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360</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040" w:type="dxa"/>
            <w:vAlign w:val="bottom"/>
            <w:tcBorders>
              <w:bottom w:val="single" w:sz="8" w:color="808080"/>
            </w:tcBorders>
          </w:tcPr>
          <w:p>
            <w:pPr>
              <w:spacing w:after="0"/>
              <w:rPr>
                <w:sz w:val="7"/>
                <w:szCs w:val="7"/>
                <w:color w:val="auto"/>
              </w:rPr>
            </w:pPr>
          </w:p>
        </w:tc>
        <w:tc>
          <w:tcPr>
            <w:tcW w:w="4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4,354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3,372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Fair value adjustment – hedging</w:t>
            </w:r>
          </w:p>
        </w:tc>
        <w:tc>
          <w:tcPr>
            <w:tcW w:w="4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040" w:type="dxa"/>
            <w:vAlign w:val="bottom"/>
            <w:tcBorders>
              <w:bottom w:val="single" w:sz="8" w:color="808080"/>
            </w:tcBorders>
          </w:tcPr>
          <w:p>
            <w:pPr>
              <w:spacing w:after="0"/>
              <w:rPr>
                <w:sz w:val="7"/>
                <w:szCs w:val="7"/>
                <w:color w:val="auto"/>
              </w:rPr>
            </w:pPr>
          </w:p>
        </w:tc>
        <w:tc>
          <w:tcPr>
            <w:tcW w:w="4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rPr>
                <w:sz w:val="12"/>
                <w:szCs w:val="12"/>
                <w:color w:val="auto"/>
              </w:rPr>
            </w:pPr>
          </w:p>
        </w:tc>
        <w:tc>
          <w:tcPr>
            <w:tcW w:w="4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4,355</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3,372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-27305</wp:posOffset>
            </wp:positionV>
            <wp:extent cx="26162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-27305</wp:posOffset>
            </wp:positionV>
            <wp:extent cx="2698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28"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The fair value adjustment presented above represents changes in the fair value of the portion of Schlumberger’s fixed rate debt that is hedged through the use of interest rate swaps.</w:t>
      </w:r>
    </w:p>
    <w:p>
      <w:pPr>
        <w:ind w:left="240"/>
        <w:spacing w:after="0"/>
        <w:rPr>
          <w:sz w:val="20"/>
          <w:szCs w:val="20"/>
          <w:color w:val="auto"/>
        </w:rPr>
      </w:pPr>
      <w:r>
        <w:rPr>
          <w:rFonts w:ascii="Arial" w:cs="Arial" w:eastAsia="Arial" w:hAnsi="Arial"/>
          <w:sz w:val="18"/>
          <w:szCs w:val="18"/>
          <w:color w:val="auto"/>
        </w:rPr>
        <w:t>During the third quarter of 2009, Schlumberger issued $450 million of 3.00% Guaranteed Notes due 2013.</w:t>
      </w:r>
    </w:p>
    <w:p>
      <w:pPr>
        <w:spacing w:after="0" w:line="9" w:lineRule="exact"/>
        <w:rPr>
          <w:sz w:val="20"/>
          <w:szCs w:val="20"/>
          <w:color w:val="auto"/>
        </w:rPr>
      </w:pPr>
    </w:p>
    <w:p>
      <w:pPr>
        <w:jc w:val="both"/>
        <w:ind w:firstLine="228"/>
        <w:spacing w:after="0" w:line="302" w:lineRule="auto"/>
        <w:rPr>
          <w:sz w:val="20"/>
          <w:szCs w:val="20"/>
          <w:color w:val="auto"/>
        </w:rPr>
      </w:pPr>
      <w:r>
        <w:rPr>
          <w:rFonts w:ascii="Arial" w:cs="Arial" w:eastAsia="Arial" w:hAnsi="Arial"/>
          <w:sz w:val="16"/>
          <w:szCs w:val="16"/>
          <w:color w:val="auto"/>
        </w:rPr>
        <w:t>During the first quarter of 2009, Schlumberger entered into a €3.0 billion Euro Medium Term Note program. This program provides for the issuance of various types of debt instruments such as fixed or floating rate notes in euro, US dollar or other currencies. Schlumberger issued €1.0 billion 4.50% Guaranteed Notes due 2014 in the first quarter of 2009 under this program. Schlumberger entered into agreements to swap these euro notes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US dollars on the date of issue until maturity, effectively making this a US dollar denominated debt on which Schlumberger will pay interest in US dollars at a rate of 4.95%.</w:t>
      </w:r>
    </w:p>
    <w:p>
      <w:pPr>
        <w:ind w:right="60" w:firstLine="228"/>
        <w:spacing w:after="0" w:line="250" w:lineRule="auto"/>
        <w:rPr>
          <w:sz w:val="20"/>
          <w:szCs w:val="20"/>
          <w:color w:val="auto"/>
        </w:rPr>
      </w:pPr>
      <w:r>
        <w:rPr>
          <w:rFonts w:ascii="Arial" w:cs="Arial" w:eastAsia="Arial" w:hAnsi="Arial"/>
          <w:sz w:val="18"/>
          <w:szCs w:val="18"/>
          <w:color w:val="auto"/>
        </w:rPr>
        <w:t>In September 2008, Schlumberger issued €500 million 5.25% Guaranteed Notes due 2013. Schlumberger entered into agreements to swap these euro notes for US dollars on the date of issue until maturity, effectively making this a US dollar denominated debt on which Schlumberger will pay interest in US dollars at a rate of 4.74%.</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Commercial paper borrowings outstanding at December 31, 2009 and 2008 include certain notes issued in currencies other than the US dollar which were swapped for US dollars and pounds sterling on the date of issue until maturity. Commercial paper borrowings are classified as long-term debt to the extent of their backup by available and unused committed credit facilities maturing in more than one year and to the extent it is Schlumberger’s intent to maintain these obligations for longer than one year.</w:t>
      </w:r>
    </w:p>
    <w:p>
      <w:pPr>
        <w:spacing w:after="0" w:line="2"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 xml:space="preserve">At December 31, 2009, Schlumberger had separate committed debt facility agreements aggregating $3.8 billion with commercial banks, of which $2.8 billion was available and unused. This included $2.5 billion of committed facilities which support commercial paper programs in the United States and Europe, and mature in April 2012. Interest rates and other terms of borrowing under these lines of credit vary from country to country. Borrowings under the commercial paper programs at December 31, 2009 were $0.4 billion ($1.1 billion at December 31, 2008). At December 31, 2008 $0.4 billion of the commercial paper borrowings were classified within </w:t>
      </w:r>
      <w:r>
        <w:rPr>
          <w:rFonts w:ascii="Arial" w:cs="Arial" w:eastAsia="Arial" w:hAnsi="Arial"/>
          <w:sz w:val="16"/>
          <w:szCs w:val="16"/>
          <w:i w:val="1"/>
          <w:iCs w:val="1"/>
          <w:color w:val="auto"/>
        </w:rPr>
        <w:t>Long-term debt – current portion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3" w:lineRule="exact"/>
        <w:rPr>
          <w:sz w:val="20"/>
          <w:szCs w:val="20"/>
          <w:color w:val="auto"/>
        </w:rPr>
      </w:pPr>
    </w:p>
    <w:p>
      <w:pPr>
        <w:ind w:right="40" w:firstLine="228"/>
        <w:spacing w:after="0" w:line="323" w:lineRule="auto"/>
        <w:rPr>
          <w:sz w:val="20"/>
          <w:szCs w:val="20"/>
          <w:color w:val="auto"/>
        </w:rPr>
      </w:pPr>
      <w:r>
        <w:rPr>
          <w:rFonts w:ascii="Arial" w:cs="Arial" w:eastAsia="Arial" w:hAnsi="Arial"/>
          <w:sz w:val="16"/>
          <w:szCs w:val="16"/>
          <w:color w:val="auto"/>
        </w:rPr>
        <w:t xml:space="preserve">A summary of </w:t>
      </w:r>
      <w:r>
        <w:rPr>
          <w:rFonts w:ascii="Arial" w:cs="Arial" w:eastAsia="Arial" w:hAnsi="Arial"/>
          <w:sz w:val="16"/>
          <w:szCs w:val="16"/>
          <w:i w:val="1"/>
          <w:iCs w:val="1"/>
          <w:color w:val="auto"/>
        </w:rPr>
        <w:t>Other Long-term Debt</w:t>
      </w:r>
      <w:r>
        <w:rPr>
          <w:rFonts w:ascii="Arial" w:cs="Arial" w:eastAsia="Arial" w:hAnsi="Arial"/>
          <w:sz w:val="16"/>
          <w:szCs w:val="16"/>
          <w:color w:val="auto"/>
        </w:rPr>
        <w:t xml:space="preserve"> by currency, analyzed by Bonds and Notes, Commercial Paper (CP) and Other, at December 31 follows. As described in further detail above, the currencies are presented after taking into account currency swaps entered into on the date of issuance until maturity.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3"/>
              </w:rPr>
              <w:t>2009</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760" w:type="dxa"/>
            <w:vAlign w:val="bottom"/>
          </w:tcPr>
          <w:p>
            <w:pPr>
              <w:spacing w:after="0"/>
              <w:rPr>
                <w:sz w:val="6"/>
                <w:szCs w:val="6"/>
                <w:color w:val="auto"/>
              </w:rPr>
            </w:pPr>
          </w:p>
        </w:tc>
        <w:tc>
          <w:tcPr>
            <w:tcW w:w="680" w:type="dxa"/>
            <w:vAlign w:val="bottom"/>
            <w:tcBorders>
              <w:bottom w:val="single" w:sz="8" w:color="808080"/>
            </w:tcBorders>
            <w:gridSpan w:val="2"/>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Borders>
              <w:bottom w:val="single" w:sz="8" w:color="808080"/>
            </w:tcBorders>
            <w:gridSpan w:val="2"/>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1"/>
              </w:rPr>
              <w:t>Bonds and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Bonds and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CP</w:t>
            </w:r>
          </w:p>
        </w:tc>
        <w:tc>
          <w:tcPr>
            <w:tcW w:w="44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Notes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CP</w:t>
            </w:r>
          </w:p>
        </w:tc>
        <w:tc>
          <w:tcPr>
            <w:tcW w:w="320" w:type="dxa"/>
            <w:vAlign w:val="bottom"/>
          </w:tcPr>
          <w:p>
            <w:pPr>
              <w:spacing w:after="0"/>
              <w:rPr>
                <w:sz w:val="15"/>
                <w:szCs w:val="15"/>
                <w:color w:val="auto"/>
              </w:rPr>
            </w:pPr>
          </w:p>
        </w:tc>
        <w:tc>
          <w:tcPr>
            <w:tcW w:w="9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3,274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$ 3,333</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2,074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Euro</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362</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135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231</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728</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Pound sterling</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223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274</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Norwegian kroner</w:t>
            </w:r>
          </w:p>
        </w:tc>
        <w:tc>
          <w:tcPr>
            <w:tcW w:w="22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Canadian dollar</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3,636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358</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$ 4,354</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3,372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-29210</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2159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43307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8415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8415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2444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interest rate on variable rate debt as of December 31, 2009 was 1.7%.</w:t>
      </w:r>
    </w:p>
    <w:p>
      <w:pPr>
        <w:spacing w:after="0" w:line="15"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i w:val="1"/>
          <w:iCs w:val="1"/>
          <w:color w:val="auto"/>
        </w:rPr>
        <w:t xml:space="preserve">Other Long-term Debt </w:t>
      </w:r>
      <w:r>
        <w:rPr>
          <w:rFonts w:ascii="Arial" w:cs="Arial" w:eastAsia="Arial" w:hAnsi="Arial"/>
          <w:sz w:val="18"/>
          <w:szCs w:val="18"/>
          <w:color w:val="auto"/>
        </w:rPr>
        <w:t>as of December 31, 2009, is due as follows: $656 million in 2011, $1.024 billion in 2012, $1.196 billion in 2013 and $1.478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2014.</w:t>
      </w:r>
    </w:p>
    <w:p>
      <w:pPr>
        <w:spacing w:after="0" w:line="1" w:lineRule="exact"/>
        <w:rPr>
          <w:sz w:val="20"/>
          <w:szCs w:val="20"/>
          <w:color w:val="auto"/>
        </w:rPr>
      </w:pPr>
    </w:p>
    <w:p>
      <w:pPr>
        <w:ind w:right="20" w:firstLine="228"/>
        <w:spacing w:after="0" w:line="261"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Other Long-term Debt</w:t>
      </w:r>
      <w:r>
        <w:rPr>
          <w:rFonts w:ascii="Arial" w:cs="Arial" w:eastAsia="Arial" w:hAnsi="Arial"/>
          <w:sz w:val="18"/>
          <w:szCs w:val="18"/>
          <w:color w:val="auto"/>
        </w:rPr>
        <w:t xml:space="preserve"> at December 31, 2009 and December 31, 2008 was $4.6 billion and $3.4 billion, respectively, and was estimated based on quoted market prices.</w:t>
      </w:r>
    </w:p>
    <w:p>
      <w:pPr>
        <w:spacing w:after="0" w:line="114"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commodity prices and interest rates. To mitigate these risks, Schlumberger utilizes derivative instruments. Schlumberger does not enter into derivatives for speculative purposes.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7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As a multinational company, Schlumberger conducts its business in approximately 80 countries. Schlumberger’s functional currency is primarily the US dollar, which is consistent with the oil and gas industry. Approximately 80% of Schlumberger’s revenue in 2009 was denominated in US dollars. However,</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outside the United States, a significant portion of Schlumberger’s expenses is incurred in foreign currencies. Therefore, when the US dollar weakens (strengthens) in relation to the foreign currencies of the countries in which Schlumberger conducts business, the US dollar – reported expenses will increase (decrease).</w:t>
      </w:r>
    </w:p>
    <w:p>
      <w:pPr>
        <w:ind w:right="60" w:firstLine="228"/>
        <w:spacing w:after="0" w:line="250" w:lineRule="auto"/>
        <w:rPr>
          <w:sz w:val="20"/>
          <w:szCs w:val="20"/>
          <w:color w:val="auto"/>
        </w:rPr>
      </w:pPr>
      <w:r>
        <w:rPr>
          <w:rFonts w:ascii="Arial" w:cs="Arial" w:eastAsia="Arial" w:hAnsi="Arial"/>
          <w:sz w:val="18"/>
          <w:szCs w:val="18"/>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and in</w:t>
      </w:r>
      <w:r>
        <w:rPr>
          <w:rFonts w:ascii="Arial" w:cs="Arial" w:eastAsia="Arial" w:hAnsi="Arial"/>
          <w:sz w:val="18"/>
          <w:szCs w:val="18"/>
          <w:i w:val="1"/>
          <w:iCs w:val="1"/>
          <w:color w:val="auto"/>
        </w:rPr>
        <w:t xml:space="preserve"> Other Comprehensive Income (Loss). </w:t>
      </w:r>
      <w:r>
        <w:rPr>
          <w:rFonts w:ascii="Arial" w:cs="Arial" w:eastAsia="Arial" w:hAnsi="Arial"/>
          <w:sz w:val="18"/>
          <w:szCs w:val="18"/>
          <w:color w:val="auto"/>
        </w:rPr>
        <w:t>Amounts recorded in</w:t>
      </w:r>
      <w:r>
        <w:rPr>
          <w:rFonts w:ascii="Arial" w:cs="Arial" w:eastAsia="Arial" w:hAnsi="Arial"/>
          <w:sz w:val="18"/>
          <w:szCs w:val="18"/>
          <w:i w:val="1"/>
          <w:iCs w:val="1"/>
          <w:color w:val="auto"/>
        </w:rPr>
        <w:t xml:space="preserve"> Other Comprehensive Income (Loss) </w:t>
      </w:r>
      <w:r>
        <w:rPr>
          <w:rFonts w:ascii="Arial" w:cs="Arial" w:eastAsia="Arial" w:hAnsi="Arial"/>
          <w:sz w:val="18"/>
          <w:szCs w:val="18"/>
          <w:color w:val="auto"/>
        </w:rPr>
        <w:t>are reclassified into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or periods that the hedged item is recognized in earnings. The ineffective portion of changes in the fair value of hedging instruments, if any, is recorded directly to earnings.</w:t>
      </w:r>
    </w:p>
    <w:p>
      <w:pPr>
        <w:spacing w:after="0" w:line="3"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 xml:space="preserve">At December 31, 2009, Schlumberger recognized a cumulative net $40 million gain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1"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2009, contracts were outstanding for the US dollar equivalent of $4.3 billion in various foreign currencies.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7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Schlumberger is exposed to the impact of market fluctuations in the price of certain commodities, such as metals and fuel. Schlumberger utilizes forward contracts to manage a small percentage of the price risk associated with forecasted metal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2009, $4 million of commodity forward contracts were outstanding.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Schlumberger is subject to interest rate risk on its debt and its investment portfolio. Schlumberger maintains an interest rate risk management strategy that uses a mix of variable and fixed rate debt combined with its investment portfolio and interest rate swaps to mitigate the exposure to changes in interest rates.</w:t>
      </w:r>
    </w:p>
    <w:p>
      <w:pPr>
        <w:ind w:right="140" w:firstLine="228"/>
        <w:spacing w:after="0" w:line="290" w:lineRule="auto"/>
        <w:rPr>
          <w:sz w:val="20"/>
          <w:szCs w:val="20"/>
          <w:color w:val="auto"/>
        </w:rPr>
      </w:pPr>
      <w:r>
        <w:rPr>
          <w:rFonts w:ascii="Arial" w:cs="Arial" w:eastAsia="Arial" w:hAnsi="Arial"/>
          <w:sz w:val="16"/>
          <w:szCs w:val="16"/>
          <w:color w:val="auto"/>
        </w:rPr>
        <w:t>During the third quarter of 2009, Schlumberger entered into interest rate swaps relating to two of its debt instruments. The first swap was for a notional amount of $600 million in order to hedge a portion of the changes in fair value of Schlumberger’s $650 million 6.50% Notes due 2012. Under the terms of this swap agreement, Schlumberger will receive interest at a fixed rate of 6.5% semi-annually and will pay interest semi-annually at a floating rate of one-month LIBOR plus a spread of 4.84%. The second swap was for a notional amount of $450 million in order to hedge changes in the fair value of Schlumberger’s $450 million 3.00% Notes due 2013. Under the terms of this swap, Schlumberger will receive interest at a fixed rate of 3.00% annually and will pay interest quarterly at a floating rate of three-month LIBOR plus a spread of 0.765%.</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jc w:val="both"/>
        <w:ind w:right="140" w:firstLine="228"/>
        <w:spacing w:after="0" w:line="253" w:lineRule="auto"/>
        <w:rPr>
          <w:sz w:val="20"/>
          <w:szCs w:val="20"/>
          <w:color w:val="auto"/>
        </w:rPr>
      </w:pPr>
      <w:r>
        <w:rPr>
          <w:rFonts w:ascii="Arial" w:cs="Arial" w:eastAsia="Arial" w:hAnsi="Arial"/>
          <w:sz w:val="18"/>
          <w:szCs w:val="18"/>
          <w:color w:val="auto"/>
        </w:rPr>
        <w:t xml:space="preserve">These interest rate swaps are designated as fair value hedges of the underlying debt. These derivative instruments are marked to market with gains and losses recognized currently in income to offset the respective losses and gains recognized on changes in the fair value of the hedged debt. This results in no net gain or loss being recognized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ind w:right="540" w:firstLine="228"/>
        <w:spacing w:after="0" w:line="250" w:lineRule="auto"/>
        <w:rPr>
          <w:sz w:val="20"/>
          <w:szCs w:val="20"/>
          <w:color w:val="auto"/>
        </w:rPr>
      </w:pPr>
      <w:r>
        <w:rPr>
          <w:rFonts w:ascii="Arial" w:cs="Arial" w:eastAsia="Arial" w:hAnsi="Arial"/>
          <w:sz w:val="18"/>
          <w:szCs w:val="18"/>
          <w:color w:val="auto"/>
        </w:rPr>
        <w:t>At December 31, 2009, Schlumberger had fixed rate debt aggregating approximately $3.2 billion and variable rate debt aggregating approximately $2.3 billion, after taking into account the effects of the interest rate swaps.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6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4"/>
          </w:tcPr>
          <w:p>
            <w:pPr>
              <w:jc w:val="center"/>
              <w:ind w:left="112"/>
              <w:spacing w:after="0" w:line="129" w:lineRule="exact"/>
              <w:rPr>
                <w:sz w:val="20"/>
                <w:szCs w:val="20"/>
                <w:color w:val="auto"/>
              </w:rPr>
            </w:pPr>
            <w:r>
              <w:rPr>
                <w:rFonts w:ascii="Arial" w:cs="Arial" w:eastAsia="Arial" w:hAnsi="Arial"/>
                <w:sz w:val="14"/>
                <w:szCs w:val="14"/>
                <w:b w:val="1"/>
                <w:bCs w:val="1"/>
                <w:color w:val="auto"/>
                <w:w w:val="88"/>
              </w:rPr>
              <w:t>Fair Value of</w:t>
            </w: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112"/>
              <w:spacing w:after="0"/>
              <w:rPr>
                <w:sz w:val="20"/>
                <w:szCs w:val="20"/>
                <w:color w:val="auto"/>
              </w:rPr>
            </w:pPr>
            <w:r>
              <w:rPr>
                <w:rFonts w:ascii="Arial" w:cs="Arial" w:eastAsia="Arial" w:hAnsi="Arial"/>
                <w:sz w:val="14"/>
                <w:szCs w:val="14"/>
                <w:b w:val="1"/>
                <w:bCs w:val="1"/>
                <w:color w:val="auto"/>
                <w:w w:val="88"/>
              </w:rPr>
              <w:t>Derivatives</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60" w:type="dxa"/>
            <w:vAlign w:val="bottom"/>
          </w:tcPr>
          <w:p>
            <w:pPr>
              <w:ind w:left="28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280" w:type="dxa"/>
            <w:vAlign w:val="bottom"/>
            <w:gridSpan w:val="3"/>
          </w:tcPr>
          <w:p>
            <w:pPr>
              <w:ind w:left="580"/>
              <w:spacing w:after="0" w:line="129" w:lineRule="exact"/>
              <w:rPr>
                <w:sz w:val="20"/>
                <w:szCs w:val="20"/>
                <w:color w:val="auto"/>
              </w:rPr>
            </w:pPr>
            <w:r>
              <w:rPr>
                <w:rFonts w:ascii="Arial" w:cs="Arial" w:eastAsia="Arial" w:hAnsi="Arial"/>
                <w:sz w:val="14"/>
                <w:szCs w:val="14"/>
                <w:b w:val="1"/>
                <w:bCs w:val="1"/>
                <w:color w:val="auto"/>
              </w:rPr>
              <w:t>Dec. 31</w:t>
            </w:r>
          </w:p>
        </w:tc>
        <w:tc>
          <w:tcPr>
            <w:tcW w:w="260" w:type="dxa"/>
            <w:vAlign w:val="bottom"/>
          </w:tcPr>
          <w:p>
            <w:pPr>
              <w:spacing w:after="0"/>
              <w:rPr>
                <w:sz w:val="11"/>
                <w:szCs w:val="11"/>
                <w:color w:val="auto"/>
              </w:rPr>
            </w:pPr>
          </w:p>
        </w:tc>
        <w:tc>
          <w:tcPr>
            <w:tcW w:w="4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1"/>
              </w:rPr>
              <w:t>Dec. 31</w:t>
            </w:r>
          </w:p>
        </w:tc>
        <w:tc>
          <w:tcPr>
            <w:tcW w:w="28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Derivative assets</w:t>
            </w:r>
          </w:p>
        </w:tc>
        <w:tc>
          <w:tcPr>
            <w:tcW w:w="68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designated as hedges:</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320"/>
              <w:spacing w:after="0" w:line="149" w:lineRule="exact"/>
              <w:rPr>
                <w:sz w:val="20"/>
                <w:szCs w:val="20"/>
                <w:color w:val="auto"/>
              </w:rPr>
            </w:pPr>
            <w:r>
              <w:rPr>
                <w:rFonts w:ascii="Arial" w:cs="Arial" w:eastAsia="Arial" w:hAnsi="Arial"/>
                <w:sz w:val="14"/>
                <w:szCs w:val="14"/>
                <w:color w:val="auto"/>
              </w:rPr>
              <w:t>Foreign exchange contracts</w:t>
            </w:r>
          </w:p>
        </w:tc>
        <w:tc>
          <w:tcPr>
            <w:tcW w:w="6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14</w:t>
            </w:r>
          </w:p>
        </w:tc>
        <w:tc>
          <w:tcPr>
            <w:tcW w:w="4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280" w:type="dxa"/>
            <w:vAlign w:val="bottom"/>
          </w:tcPr>
          <w:p>
            <w:pPr>
              <w:spacing w:after="0"/>
              <w:rPr>
                <w:sz w:val="12"/>
                <w:szCs w:val="12"/>
                <w:color w:val="auto"/>
              </w:rPr>
            </w:pPr>
          </w:p>
        </w:tc>
        <w:tc>
          <w:tcPr>
            <w:tcW w:w="4460" w:type="dxa"/>
            <w:vAlign w:val="bottom"/>
          </w:tcPr>
          <w:p>
            <w:pPr>
              <w:ind w:left="280"/>
              <w:spacing w:after="0" w:line="149" w:lineRule="exact"/>
              <w:rPr>
                <w:sz w:val="20"/>
                <w:szCs w:val="20"/>
                <w:color w:val="auto"/>
              </w:rPr>
            </w:pPr>
            <w:r>
              <w:rPr>
                <w:rFonts w:ascii="Arial" w:cs="Arial" w:eastAsia="Arial" w:hAnsi="Arial"/>
                <w:sz w:val="14"/>
                <w:szCs w:val="14"/>
                <w:i w:val="1"/>
                <w:iCs w:val="1"/>
                <w:color w:val="auto"/>
              </w:rPr>
              <w:t>Other current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Foreign exchange contracts</w:t>
            </w:r>
          </w:p>
        </w:tc>
        <w:tc>
          <w:tcPr>
            <w:tcW w:w="6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81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4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Other Assets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6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95</w:t>
            </w: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80" w:type="dxa"/>
            <w:vAlign w:val="bottom"/>
            <w:shd w:val="clear" w:color="auto" w:fill="CCEEFF"/>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2"/>
          <w:szCs w:val="12"/>
          <w:color w:val="auto"/>
        </w:rPr>
        <w:t>Derivative not designated as hedges:</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Commodity contracts</w:t>
      </w:r>
    </w:p>
    <w:p>
      <w:pPr>
        <w:ind w:left="340"/>
        <w:spacing w:after="0"/>
        <w:rPr>
          <w:sz w:val="20"/>
          <w:szCs w:val="20"/>
          <w:color w:val="auto"/>
        </w:rPr>
      </w:pPr>
      <w:r>
        <w:rPr>
          <w:rFonts w:ascii="Arial" w:cs="Arial" w:eastAsia="Arial" w:hAnsi="Arial"/>
          <w:sz w:val="12"/>
          <w:szCs w:val="12"/>
          <w:color w:val="auto"/>
        </w:rPr>
        <w:t>Foreign exchange contracts</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361061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6106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361061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 Liabilities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Derivative designated as hedges:</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Foreign exchange contracts</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361061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6106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361061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color w:val="auto"/>
        </w:rPr>
        <w:t>Derivative not designated as hedges:</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Commodity contracts</w:t>
      </w:r>
    </w:p>
    <w:p>
      <w:pPr>
        <w:ind w:left="340"/>
        <w:spacing w:after="0"/>
        <w:rPr>
          <w:sz w:val="20"/>
          <w:szCs w:val="20"/>
          <w:color w:val="auto"/>
        </w:rPr>
      </w:pPr>
      <w:r>
        <w:rPr>
          <w:rFonts w:ascii="Arial" w:cs="Arial" w:eastAsia="Arial" w:hAnsi="Arial"/>
          <w:sz w:val="12"/>
          <w:szCs w:val="12"/>
          <w:color w:val="auto"/>
        </w:rPr>
        <w:t>Foreign exchange contracts</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361061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540" w:type="dxa"/>
            <w:vAlign w:val="bottom"/>
          </w:tcPr>
          <w:p>
            <w:pPr>
              <w:spacing w:after="0"/>
              <w:rPr>
                <w:sz w:val="14"/>
                <w:szCs w:val="14"/>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760" w:type="dxa"/>
            <w:vAlign w:val="bottom"/>
          </w:tcPr>
          <w:p>
            <w:pPr>
              <w:ind w:left="560"/>
              <w:spacing w:after="0"/>
              <w:rPr>
                <w:sz w:val="20"/>
                <w:szCs w:val="20"/>
                <w:color w:val="auto"/>
              </w:rPr>
            </w:pPr>
            <w:r>
              <w:rPr>
                <w:rFonts w:ascii="Arial" w:cs="Arial" w:eastAsia="Arial" w:hAnsi="Arial"/>
                <w:sz w:val="14"/>
                <w:szCs w:val="14"/>
                <w:i w:val="1"/>
                <w:iCs w:val="1"/>
                <w:color w:val="auto"/>
              </w:rPr>
              <w:t>Other current assets</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760" w:type="dxa"/>
            <w:vAlign w:val="bottom"/>
          </w:tcPr>
          <w:p>
            <w:pPr>
              <w:ind w:left="560"/>
              <w:spacing w:after="0" w:line="149" w:lineRule="exact"/>
              <w:rPr>
                <w:sz w:val="20"/>
                <w:szCs w:val="20"/>
                <w:color w:val="auto"/>
              </w:rPr>
            </w:pPr>
            <w:r>
              <w:rPr>
                <w:rFonts w:ascii="Arial" w:cs="Arial" w:eastAsia="Arial" w:hAnsi="Arial"/>
                <w:sz w:val="14"/>
                <w:szCs w:val="14"/>
                <w:i w:val="1"/>
                <w:iCs w:val="1"/>
                <w:color w:val="auto"/>
              </w:rPr>
              <w:t>Other current assets</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8</w:t>
            </w:r>
          </w:p>
        </w:tc>
        <w:tc>
          <w:tcPr>
            <w:tcW w:w="2760" w:type="dxa"/>
            <w:vAlign w:val="bottom"/>
          </w:tcPr>
          <w:p>
            <w:pPr>
              <w:ind w:left="560"/>
              <w:spacing w:after="0"/>
              <w:rPr>
                <w:sz w:val="20"/>
                <w:szCs w:val="20"/>
                <w:color w:val="auto"/>
              </w:rPr>
            </w:pPr>
            <w:r>
              <w:rPr>
                <w:rFonts w:ascii="Arial" w:cs="Arial" w:eastAsia="Arial" w:hAnsi="Arial"/>
                <w:sz w:val="14"/>
                <w:szCs w:val="14"/>
                <w:i w:val="1"/>
                <w:iCs w:val="1"/>
                <w:color w:val="auto"/>
              </w:rPr>
              <w:t>Other Assets</w:t>
            </w:r>
          </w:p>
        </w:tc>
        <w:tc>
          <w:tcPr>
            <w:tcW w:w="0" w:type="dxa"/>
            <w:vAlign w:val="bottom"/>
          </w:tcPr>
          <w:p>
            <w:pPr>
              <w:spacing w:after="0"/>
              <w:rPr>
                <w:sz w:val="1"/>
                <w:szCs w:val="1"/>
                <w:color w:val="auto"/>
              </w:rPr>
            </w:pPr>
          </w:p>
        </w:tc>
      </w:tr>
      <w:tr>
        <w:trPr>
          <w:trHeight w:val="95"/>
        </w:trPr>
        <w:tc>
          <w:tcPr>
            <w:tcW w:w="16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w:t>
            </w: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6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38</w:t>
            </w: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6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135</w:t>
            </w: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6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103</w:t>
            </w: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8"/>
        </w:trPr>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540" w:type="dxa"/>
            <w:vAlign w:val="bottom"/>
          </w:tcPr>
          <w:p>
            <w:pPr>
              <w:spacing w:after="0"/>
              <w:rPr>
                <w:sz w:val="24"/>
                <w:szCs w:val="24"/>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148</w:t>
            </w:r>
          </w:p>
        </w:tc>
        <w:tc>
          <w:tcPr>
            <w:tcW w:w="2760" w:type="dxa"/>
            <w:vAlign w:val="bottom"/>
          </w:tcPr>
          <w:p>
            <w:pPr>
              <w:ind w:left="560"/>
              <w:spacing w:after="0"/>
              <w:rPr>
                <w:sz w:val="20"/>
                <w:szCs w:val="20"/>
                <w:color w:val="auto"/>
              </w:rPr>
            </w:pPr>
            <w:r>
              <w:rPr>
                <w:rFonts w:ascii="Arial" w:cs="Arial" w:eastAsia="Arial" w:hAnsi="Arial"/>
                <w:sz w:val="14"/>
                <w:szCs w:val="14"/>
                <w:i w:val="1"/>
                <w:iCs w:val="1"/>
                <w:color w:val="auto"/>
                <w:w w:val="87"/>
              </w:rPr>
              <w:t>Accounts payable and accrued liabilities</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53</w:t>
            </w:r>
          </w:p>
        </w:tc>
        <w:tc>
          <w:tcPr>
            <w:tcW w:w="2760" w:type="dxa"/>
            <w:vAlign w:val="bottom"/>
          </w:tcPr>
          <w:p>
            <w:pPr>
              <w:ind w:left="560"/>
              <w:spacing w:after="0"/>
              <w:rPr>
                <w:sz w:val="20"/>
                <w:szCs w:val="20"/>
                <w:color w:val="auto"/>
              </w:rPr>
            </w:pPr>
            <w:r>
              <w:rPr>
                <w:rFonts w:ascii="Arial" w:cs="Arial" w:eastAsia="Arial" w:hAnsi="Arial"/>
                <w:sz w:val="14"/>
                <w:szCs w:val="14"/>
                <w:i w:val="1"/>
                <w:iCs w:val="1"/>
                <w:color w:val="auto"/>
              </w:rPr>
              <w:t>Other Liabilities</w:t>
            </w:r>
          </w:p>
        </w:tc>
        <w:tc>
          <w:tcPr>
            <w:tcW w:w="0" w:type="dxa"/>
            <w:vAlign w:val="bottom"/>
          </w:tcPr>
          <w:p>
            <w:pPr>
              <w:spacing w:after="0"/>
              <w:rPr>
                <w:sz w:val="1"/>
                <w:szCs w:val="1"/>
                <w:color w:val="auto"/>
              </w:rPr>
            </w:pPr>
          </w:p>
        </w:tc>
      </w:tr>
      <w:tr>
        <w:trPr>
          <w:trHeight w:val="95"/>
        </w:trPr>
        <w:tc>
          <w:tcPr>
            <w:tcW w:w="16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w:t>
            </w: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6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201</w:t>
            </w: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6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6"/>
        </w:trPr>
        <w:tc>
          <w:tcPr>
            <w:tcW w:w="16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c>
          <w:tcPr>
            <w:tcW w:w="2760" w:type="dxa"/>
            <w:vAlign w:val="bottom"/>
          </w:tcPr>
          <w:p>
            <w:pPr>
              <w:ind w:left="560"/>
              <w:spacing w:after="0"/>
              <w:rPr>
                <w:sz w:val="20"/>
                <w:szCs w:val="20"/>
                <w:color w:val="auto"/>
              </w:rPr>
            </w:pPr>
            <w:r>
              <w:rPr>
                <w:rFonts w:ascii="Arial" w:cs="Arial" w:eastAsia="Arial" w:hAnsi="Arial"/>
                <w:sz w:val="14"/>
                <w:szCs w:val="14"/>
                <w:i w:val="1"/>
                <w:iCs w:val="1"/>
                <w:color w:val="auto"/>
                <w:w w:val="87"/>
              </w:rPr>
              <w:t>Accounts payable and accrued liabilities</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8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760" w:type="dxa"/>
            <w:vAlign w:val="bottom"/>
          </w:tcPr>
          <w:p>
            <w:pPr>
              <w:ind w:left="560"/>
              <w:spacing w:after="0" w:line="149" w:lineRule="exact"/>
              <w:rPr>
                <w:sz w:val="20"/>
                <w:szCs w:val="20"/>
                <w:color w:val="auto"/>
              </w:rPr>
            </w:pPr>
            <w:r>
              <w:rPr>
                <w:rFonts w:ascii="Arial" w:cs="Arial" w:eastAsia="Arial" w:hAnsi="Arial"/>
                <w:sz w:val="14"/>
                <w:szCs w:val="14"/>
                <w:i w:val="1"/>
                <w:iCs w:val="1"/>
                <w:color w:val="auto"/>
                <w:w w:val="87"/>
              </w:rPr>
              <w:t>Accounts payable and accrued liabilities</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760" w:type="dxa"/>
            <w:vAlign w:val="bottom"/>
          </w:tcPr>
          <w:p>
            <w:pPr>
              <w:ind w:left="560"/>
              <w:spacing w:after="0"/>
              <w:rPr>
                <w:sz w:val="20"/>
                <w:szCs w:val="20"/>
                <w:color w:val="auto"/>
              </w:rPr>
            </w:pPr>
            <w:r>
              <w:rPr>
                <w:rFonts w:ascii="Arial" w:cs="Arial" w:eastAsia="Arial" w:hAnsi="Arial"/>
                <w:sz w:val="14"/>
                <w:szCs w:val="14"/>
                <w:i w:val="1"/>
                <w:iCs w:val="1"/>
                <w:color w:val="auto"/>
              </w:rPr>
              <w:t>Other 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-2168525</wp:posOffset>
            </wp:positionV>
            <wp:extent cx="7246620" cy="946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-1979930</wp:posOffset>
            </wp:positionV>
            <wp:extent cx="7246620" cy="946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-1645285</wp:posOffset>
            </wp:positionV>
            <wp:extent cx="7246620" cy="946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-1405255</wp:posOffset>
            </wp:positionV>
            <wp:extent cx="7246620" cy="946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-1148080</wp:posOffset>
            </wp:positionV>
            <wp:extent cx="7246620" cy="946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-959485</wp:posOffset>
            </wp:positionV>
            <wp:extent cx="7246620" cy="946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-624840</wp:posOffset>
            </wp:positionV>
            <wp:extent cx="7246620" cy="946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-384810</wp:posOffset>
            </wp:positionV>
            <wp:extent cx="7246620" cy="946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-196215</wp:posOffset>
            </wp:positionV>
            <wp:extent cx="7246620" cy="946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-1244600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-1244600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-1244600</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-1244600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890905</wp:posOffset>
            </wp:positionH>
            <wp:positionV relativeFrom="paragraph">
              <wp:posOffset>-1244600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-1244600</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60325</wp:posOffset>
            </wp:positionV>
            <wp:extent cx="2743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6160"/>
          </w:cols>
          <w:pgMar w:left="240" w:top="459" w:right="2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65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740" w:type="dxa"/>
            <w:vAlign w:val="bottom"/>
            <w:shd w:val="clear" w:color="auto" w:fill="CCEEFF"/>
          </w:tcPr>
          <w:p>
            <w:pPr>
              <w:spacing w:after="0"/>
              <w:rPr>
                <w:sz w:val="14"/>
                <w:szCs w:val="14"/>
                <w:color w:val="auto"/>
              </w:rPr>
            </w:pPr>
          </w:p>
        </w:tc>
      </w:tr>
      <w:tr>
        <w:trPr>
          <w:trHeight w:val="132"/>
        </w:trPr>
        <w:tc>
          <w:tcPr>
            <w:tcW w:w="52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330" w:type="dxa"/>
            <w:vAlign w:val="bottom"/>
            <w:tcBorders>
              <w:bottom w:val="single" w:sz="8" w:color="808080"/>
            </w:tcBorders>
          </w:tcPr>
          <w:p>
            <w:pPr>
              <w:spacing w:after="0"/>
              <w:rPr>
                <w:sz w:val="11"/>
                <w:szCs w:val="11"/>
                <w:color w:val="auto"/>
              </w:rPr>
            </w:pPr>
          </w:p>
        </w:tc>
        <w:tc>
          <w:tcPr>
            <w:tcW w:w="4740" w:type="dxa"/>
            <w:vAlign w:val="bottom"/>
          </w:tcPr>
          <w:p>
            <w:pPr>
              <w:spacing w:after="0"/>
              <w:rPr>
                <w:sz w:val="11"/>
                <w:szCs w:val="11"/>
                <w:color w:val="auto"/>
              </w:rPr>
            </w:pPr>
          </w:p>
        </w:tc>
      </w:tr>
      <w:tr>
        <w:trPr>
          <w:trHeight w:val="105"/>
        </w:trPr>
        <w:tc>
          <w:tcPr>
            <w:tcW w:w="5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30" w:type="dxa"/>
            <w:vAlign w:val="bottom"/>
          </w:tcPr>
          <w:p>
            <w:pPr>
              <w:spacing w:after="0"/>
              <w:rPr>
                <w:sz w:val="9"/>
                <w:szCs w:val="9"/>
                <w:color w:val="auto"/>
              </w:rPr>
            </w:pPr>
          </w:p>
        </w:tc>
        <w:tc>
          <w:tcPr>
            <w:tcW w:w="4740" w:type="dxa"/>
            <w:vAlign w:val="bottom"/>
          </w:tcPr>
          <w:p>
            <w:pPr>
              <w:spacing w:after="0"/>
              <w:rPr>
                <w:sz w:val="9"/>
                <w:szCs w:val="9"/>
                <w:color w:val="auto"/>
              </w:rPr>
            </w:pPr>
          </w:p>
        </w:tc>
      </w:tr>
      <w:tr>
        <w:trPr>
          <w:trHeight w:val="149"/>
        </w:trPr>
        <w:tc>
          <w:tcPr>
            <w:tcW w:w="5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w:t>
            </w:r>
          </w:p>
        </w:tc>
        <w:tc>
          <w:tcPr>
            <w:tcW w:w="65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3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4740" w:type="dxa"/>
            <w:vAlign w:val="bottom"/>
            <w:shd w:val="clear" w:color="auto" w:fill="CCEEFF"/>
          </w:tcPr>
          <w:p>
            <w:pPr>
              <w:spacing w:after="0"/>
              <w:rPr>
                <w:sz w:val="12"/>
                <w:szCs w:val="12"/>
                <w:color w:val="auto"/>
              </w:rPr>
            </w:pPr>
          </w:p>
        </w:tc>
      </w:tr>
      <w:tr>
        <w:trPr>
          <w:trHeight w:val="132"/>
        </w:trPr>
        <w:tc>
          <w:tcPr>
            <w:tcW w:w="52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330" w:type="dxa"/>
            <w:vAlign w:val="bottom"/>
            <w:tcBorders>
              <w:bottom w:val="single" w:sz="8" w:color="808080"/>
            </w:tcBorders>
          </w:tcPr>
          <w:p>
            <w:pPr>
              <w:spacing w:after="0"/>
              <w:rPr>
                <w:sz w:val="11"/>
                <w:szCs w:val="11"/>
                <w:color w:val="auto"/>
              </w:rPr>
            </w:pPr>
          </w:p>
        </w:tc>
        <w:tc>
          <w:tcPr>
            <w:tcW w:w="47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-286385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-286385</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-286385</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-286385</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-286385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-286385</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The fair value of all outstanding derivatives is determined using a model with inputs that are observable in the market or can be derived from or corroborated by observable data.</w:t>
      </w:r>
    </w:p>
    <w:p>
      <w:pPr>
        <w:ind w:left="240"/>
        <w:spacing w:after="0"/>
        <w:rPr>
          <w:sz w:val="20"/>
          <w:szCs w:val="20"/>
          <w:color w:val="auto"/>
        </w:rPr>
      </w:pPr>
      <w:r>
        <w:rPr>
          <w:rFonts w:ascii="Arial" w:cs="Arial" w:eastAsia="Arial" w:hAnsi="Arial"/>
          <w:sz w:val="16"/>
          <w:szCs w:val="16"/>
          <w:color w:val="auto"/>
        </w:rPr>
        <w:t xml:space="preserve">The effect of derivative instruments designated as fair value hedges and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4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30" w:type="dxa"/>
            <w:vAlign w:val="bottom"/>
            <w:tcBorders>
              <w:top w:val="single" w:sz="8" w:color="auto"/>
            </w:tcBorders>
          </w:tcPr>
          <w:p>
            <w:pPr>
              <w:spacing w:after="0"/>
              <w:rPr>
                <w:sz w:val="11"/>
                <w:szCs w:val="11"/>
                <w:color w:val="auto"/>
              </w:rPr>
            </w:pPr>
          </w:p>
        </w:tc>
        <w:tc>
          <w:tcPr>
            <w:tcW w:w="1750" w:type="dxa"/>
            <w:vAlign w:val="bottom"/>
            <w:tcBorders>
              <w:top w:val="single" w:sz="8" w:color="auto"/>
            </w:tcBorders>
            <w:gridSpan w:val="5"/>
          </w:tcPr>
          <w:p>
            <w:pPr>
              <w:ind w:left="90"/>
              <w:spacing w:after="0" w:line="129" w:lineRule="exact"/>
              <w:rPr>
                <w:sz w:val="20"/>
                <w:szCs w:val="20"/>
                <w:color w:val="auto"/>
              </w:rPr>
            </w:pPr>
            <w:r>
              <w:rPr>
                <w:rFonts w:ascii="Arial" w:cs="Arial" w:eastAsia="Arial" w:hAnsi="Arial"/>
                <w:sz w:val="14"/>
                <w:szCs w:val="14"/>
                <w:b w:val="1"/>
                <w:bCs w:val="1"/>
                <w:color w:val="auto"/>
              </w:rPr>
              <w:t>Gain/(Loss) Recognized</w:t>
            </w:r>
          </w:p>
        </w:tc>
        <w:tc>
          <w:tcPr>
            <w:tcW w:w="45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43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1"/>
              </w:rPr>
              <w:t>in Income</w:t>
            </w: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5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43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4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0" w:type="dxa"/>
            <w:vAlign w:val="bottom"/>
          </w:tcPr>
          <w:p>
            <w:pPr>
              <w:spacing w:after="0"/>
              <w:rPr>
                <w:sz w:val="7"/>
                <w:szCs w:val="7"/>
                <w:color w:val="auto"/>
              </w:rPr>
            </w:pPr>
          </w:p>
        </w:tc>
        <w:tc>
          <w:tcPr>
            <w:tcW w:w="43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Derivatives designated as fair value hedges:</w:t>
            </w:r>
          </w:p>
        </w:tc>
        <w:tc>
          <w:tcPr>
            <w:tcW w:w="130" w:type="dxa"/>
            <w:vAlign w:val="bottom"/>
            <w:shd w:val="clear" w:color="auto" w:fill="CCEEFF"/>
          </w:tcPr>
          <w:p>
            <w:pPr>
              <w:spacing w:after="0"/>
              <w:rPr>
                <w:sz w:val="12"/>
                <w:szCs w:val="12"/>
                <w:color w:val="auto"/>
              </w:rPr>
            </w:pPr>
          </w:p>
        </w:tc>
        <w:tc>
          <w:tcPr>
            <w:tcW w:w="43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Foreign exchange contracts</w:t>
            </w:r>
          </w:p>
        </w:tc>
        <w:tc>
          <w:tcPr>
            <w:tcW w:w="13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3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4560" w:type="dxa"/>
            <w:vAlign w:val="bottom"/>
          </w:tcPr>
          <w:p>
            <w:pPr>
              <w:ind w:left="420"/>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Interest rate swaps</w:t>
            </w:r>
          </w:p>
        </w:tc>
        <w:tc>
          <w:tcPr>
            <w:tcW w:w="13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i w:val="1"/>
                <w:iCs w:val="1"/>
                <w:color w:val="auto"/>
              </w:rPr>
              <w:t>Interest expense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Pr>
          <w:p>
            <w:pPr>
              <w:spacing w:after="0"/>
              <w:rPr>
                <w:sz w:val="8"/>
                <w:szCs w:val="8"/>
                <w:color w:val="auto"/>
              </w:rPr>
            </w:pPr>
          </w:p>
        </w:tc>
        <w:tc>
          <w:tcPr>
            <w:tcW w:w="43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111</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4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43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 w:type="dxa"/>
            <w:vAlign w:val="bottom"/>
          </w:tcPr>
          <w:p>
            <w:pPr>
              <w:spacing w:after="0"/>
              <w:rPr>
                <w:sz w:val="9"/>
                <w:szCs w:val="9"/>
                <w:color w:val="auto"/>
              </w:rPr>
            </w:pPr>
          </w:p>
        </w:tc>
        <w:tc>
          <w:tcPr>
            <w:tcW w:w="43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Derivatives not designated as hedges:</w:t>
            </w:r>
          </w:p>
        </w:tc>
        <w:tc>
          <w:tcPr>
            <w:tcW w:w="130" w:type="dxa"/>
            <w:vAlign w:val="bottom"/>
            <w:shd w:val="clear" w:color="auto" w:fill="CCEEFF"/>
          </w:tcPr>
          <w:p>
            <w:pPr>
              <w:spacing w:after="0"/>
              <w:rPr>
                <w:sz w:val="12"/>
                <w:szCs w:val="12"/>
                <w:color w:val="auto"/>
              </w:rPr>
            </w:pPr>
          </w:p>
        </w:tc>
        <w:tc>
          <w:tcPr>
            <w:tcW w:w="43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Foreign exchange contracts</w:t>
            </w:r>
          </w:p>
        </w:tc>
        <w:tc>
          <w:tcPr>
            <w:tcW w:w="13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3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4560" w:type="dxa"/>
            <w:vAlign w:val="bottom"/>
          </w:tcPr>
          <w:p>
            <w:pPr>
              <w:ind w:left="420"/>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Commodity contracts</w:t>
            </w:r>
          </w:p>
        </w:tc>
        <w:tc>
          <w:tcPr>
            <w:tcW w:w="13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4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Pr>
          <w:p>
            <w:pPr>
              <w:spacing w:after="0"/>
              <w:rPr>
                <w:sz w:val="8"/>
                <w:szCs w:val="8"/>
                <w:color w:val="auto"/>
              </w:rPr>
            </w:pPr>
          </w:p>
        </w:tc>
        <w:tc>
          <w:tcPr>
            <w:tcW w:w="43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4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430" w:type="dxa"/>
            <w:vAlign w:val="bottom"/>
            <w:tcBorders>
              <w:bottom w:val="single" w:sz="8" w:color="808080"/>
            </w:tcBorders>
          </w:tcPr>
          <w:p>
            <w:pPr>
              <w:spacing w:after="0"/>
              <w:rPr>
                <w:sz w:val="11"/>
                <w:szCs w:val="11"/>
                <w:color w:val="auto"/>
              </w:rPr>
            </w:pPr>
          </w:p>
        </w:tc>
        <w:tc>
          <w:tcPr>
            <w:tcW w:w="540" w:type="dxa"/>
            <w:vAlign w:val="bottom"/>
            <w:vMerge w:val="restart"/>
          </w:tcPr>
          <w:p>
            <w:pPr>
              <w:jc w:val="right"/>
              <w:ind w:right="232"/>
              <w:spacing w:after="0"/>
              <w:rPr>
                <w:sz w:val="20"/>
                <w:szCs w:val="20"/>
                <w:color w:val="auto"/>
              </w:rPr>
            </w:pPr>
            <w:r>
              <w:rPr>
                <w:rFonts w:ascii="Arial" w:cs="Arial" w:eastAsia="Arial" w:hAnsi="Arial"/>
                <w:sz w:val="14"/>
                <w:szCs w:val="14"/>
                <w:color w:val="auto"/>
              </w:rPr>
              <w:t>53</w:t>
            </w:r>
          </w:p>
        </w:tc>
        <w:tc>
          <w:tcPr>
            <w:tcW w:w="2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3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-978535</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-978535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-978535</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-978535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-978535</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-978535</wp:posOffset>
            </wp:positionV>
            <wp:extent cx="3873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-292735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-292735</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-292735</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-292735</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-292735</wp:posOffset>
            </wp:positionV>
            <wp:extent cx="2159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-292735</wp:posOffset>
            </wp:positionV>
            <wp:extent cx="3873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3"/>
          </w:tcPr>
          <w:p>
            <w:pPr>
              <w:jc w:val="center"/>
              <w:ind w:left="52"/>
              <w:spacing w:after="0" w:line="129" w:lineRule="exact"/>
              <w:rPr>
                <w:sz w:val="20"/>
                <w:szCs w:val="20"/>
                <w:color w:val="auto"/>
              </w:rPr>
            </w:pPr>
            <w:r>
              <w:rPr>
                <w:rFonts w:ascii="Arial" w:cs="Arial" w:eastAsia="Arial" w:hAnsi="Arial"/>
                <w:sz w:val="14"/>
                <w:szCs w:val="14"/>
                <w:b w:val="1"/>
                <w:bCs w:val="1"/>
                <w:color w:val="auto"/>
                <w:w w:val="86"/>
              </w:rPr>
              <w:t>Gain (Loss) Reclassified from</w:t>
            </w: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9"/>
              </w:rPr>
              <w:t>Accumulated OCI into Income</w:t>
            </w: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22"/>
                <w:szCs w:val="22"/>
                <w:color w:val="auto"/>
              </w:rPr>
            </w:pPr>
          </w:p>
        </w:tc>
        <w:tc>
          <w:tcPr>
            <w:tcW w:w="4020" w:type="dxa"/>
            <w:vAlign w:val="bottom"/>
          </w:tcPr>
          <w:p>
            <w:pPr>
              <w:ind w:left="32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w:t>
            </w: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6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w:t>
            </w:r>
          </w:p>
        </w:tc>
        <w:tc>
          <w:tcPr>
            <w:tcW w:w="40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Foreign exchange contracts</w:t>
            </w:r>
          </w:p>
        </w:tc>
        <w:tc>
          <w:tcPr>
            <w:tcW w:w="160" w:type="dxa"/>
            <w:vAlign w:val="bottom"/>
          </w:tcPr>
          <w:p>
            <w:pPr>
              <w:spacing w:after="0"/>
              <w:rPr>
                <w:sz w:val="15"/>
                <w:szCs w:val="15"/>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(15)</w:t>
            </w:r>
          </w:p>
        </w:tc>
        <w:tc>
          <w:tcPr>
            <w:tcW w:w="540" w:type="dxa"/>
            <w:vAlign w:val="bottom"/>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5"/>
                <w:szCs w:val="15"/>
                <w:color w:val="auto"/>
              </w:rPr>
            </w:pPr>
          </w:p>
        </w:tc>
        <w:tc>
          <w:tcPr>
            <w:tcW w:w="4020" w:type="dxa"/>
            <w:vAlign w:val="bottom"/>
          </w:tcPr>
          <w:p>
            <w:pPr>
              <w:ind w:left="320"/>
              <w:spacing w:after="0"/>
              <w:rPr>
                <w:sz w:val="20"/>
                <w:szCs w:val="20"/>
                <w:color w:val="auto"/>
              </w:rPr>
            </w:pPr>
            <w:r>
              <w:rPr>
                <w:rFonts w:ascii="Arial" w:cs="Arial" w:eastAsia="Arial" w:hAnsi="Arial"/>
                <w:sz w:val="14"/>
                <w:szCs w:val="14"/>
                <w:i w:val="1"/>
                <w:iCs w:val="1"/>
                <w:color w:val="auto"/>
              </w:rPr>
              <w:t>Research &amp; engineering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w:t>
            </w: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6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w:t>
            </w:r>
          </w:p>
        </w:tc>
        <w:tc>
          <w:tcPr>
            <w:tcW w:w="4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4"/>
          <w:szCs w:val="14"/>
          <w:b w:val="1"/>
          <w:bCs w:val="1"/>
          <w:color w:val="auto"/>
        </w:rPr>
        <w:t>Gain (Loss) Recognized in</w:t>
      </w:r>
    </w:p>
    <w:p>
      <w:pPr>
        <w:jc w:val="center"/>
        <w:ind w:left="400"/>
        <w:spacing w:after="0"/>
        <w:rPr>
          <w:sz w:val="20"/>
          <w:szCs w:val="20"/>
          <w:color w:val="auto"/>
        </w:rPr>
      </w:pPr>
      <w:r>
        <w:rPr>
          <w:rFonts w:ascii="Arial" w:cs="Arial" w:eastAsia="Arial" w:hAnsi="Arial"/>
          <w:sz w:val="14"/>
          <w:szCs w:val="14"/>
          <w:b w:val="1"/>
          <w:bCs w:val="1"/>
          <w:color w:val="auto"/>
        </w:rPr>
        <w:t>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59690</wp:posOffset>
            </wp:positionV>
            <wp:extent cx="142367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183" w:lineRule="exact"/>
        <w:rPr>
          <w:sz w:val="20"/>
          <w:szCs w:val="20"/>
          <w:color w:val="auto"/>
        </w:rPr>
      </w:pPr>
    </w:p>
    <w:p>
      <w:pPr>
        <w:ind w:left="5140"/>
        <w:spacing w:after="0"/>
        <w:tabs>
          <w:tab w:leader="none" w:pos="674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p>
    <w:p>
      <w:pPr>
        <w:spacing w:after="0" w:line="55" w:lineRule="exact"/>
        <w:rPr>
          <w:sz w:val="20"/>
          <w:szCs w:val="20"/>
          <w:color w:val="auto"/>
        </w:rPr>
      </w:pPr>
    </w:p>
    <w:p>
      <w:pPr>
        <w:spacing w:after="0"/>
        <w:tabs>
          <w:tab w:leader="none" w:pos="4760" w:val="left"/>
          <w:tab w:leader="none" w:pos="5180" w:val="left"/>
          <w:tab w:leader="none" w:pos="6200" w:val="left"/>
          <w:tab w:leader="none" w:pos="6760" w:val="left"/>
        </w:tabs>
        <w:rPr>
          <w:sz w:val="20"/>
          <w:szCs w:val="20"/>
          <w:color w:val="auto"/>
        </w:rPr>
      </w:pPr>
      <w:r>
        <w:rPr>
          <w:rFonts w:ascii="Arial" w:cs="Arial" w:eastAsia="Arial" w:hAnsi="Arial"/>
          <w:sz w:val="14"/>
          <w:szCs w:val="14"/>
          <w:color w:val="auto"/>
        </w:rPr>
        <w:t>Foreign exchange contracts</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223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66675</wp:posOffset>
            </wp:positionV>
            <wp:extent cx="42418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66675</wp:posOffset>
            </wp:positionV>
            <wp:extent cx="54419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pacing w:after="0" w:line="367"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74"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Schlumberger is authorized to issue 3,000,000,000 shares of common stock, par value $0.01 per share, of which 1,194,812,901 and 1,194,100,845 shares were outstanding on December 31, 2009 and 2008, respectively. Schlumberger is also authorized to issue 200,000,000 shares of preferred stock, par value $0.01 per share, which may be issued in series with terms and conditions determined by the Board of Directors. No shares of preferred stock have been issued. Holders of common stock are entitled to one vote for each share of stock held.</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following is a reconciliation of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740" w:type="dxa"/>
            <w:vAlign w:val="bottom"/>
            <w:tcBorders>
              <w:top w:val="single" w:sz="8" w:color="auto"/>
            </w:tcBorders>
            <w:gridSpan w:val="10"/>
          </w:tcPr>
          <w:p>
            <w:pPr>
              <w:jc w:val="right"/>
              <w:ind w:right="240"/>
              <w:spacing w:after="0"/>
              <w:rPr>
                <w:sz w:val="20"/>
                <w:szCs w:val="20"/>
                <w:color w:val="auto"/>
              </w:rPr>
            </w:pPr>
            <w:r>
              <w:rPr>
                <w:rFonts w:ascii="Arial" w:cs="Arial" w:eastAsia="Arial" w:hAnsi="Arial"/>
                <w:sz w:val="14"/>
                <w:szCs w:val="14"/>
                <w:b w:val="1"/>
                <w:bCs w:val="1"/>
                <w:color w:val="auto"/>
              </w:rPr>
              <w:t>Accumulated Other Comprehensive Income (Loss)</w:t>
            </w:r>
          </w:p>
        </w:tc>
        <w:tc>
          <w:tcPr>
            <w:tcW w:w="4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Deferred</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4"/>
              </w:rPr>
              <w:t>Employee</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4"/>
              </w:rPr>
              <w:t>Translation</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of</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0"/>
              </w:rPr>
              <w:t>Benefits</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8"/>
              </w:rPr>
              <w:t>Derivatives</w:t>
            </w:r>
          </w:p>
        </w:tc>
        <w:tc>
          <w:tcPr>
            <w:tcW w:w="20" w:type="dxa"/>
            <w:vAlign w:val="bottom"/>
          </w:tcPr>
          <w:p>
            <w:pPr>
              <w:spacing w:after="0"/>
              <w:rPr>
                <w:sz w:val="15"/>
                <w:szCs w:val="15"/>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6"/>
              </w:rPr>
              <w:t>Liabilities</w:t>
            </w:r>
          </w:p>
        </w:tc>
        <w:tc>
          <w:tcPr>
            <w:tcW w:w="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1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2007</w:t>
            </w:r>
          </w:p>
        </w:tc>
        <w:tc>
          <w:tcPr>
            <w:tcW w:w="2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(788)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5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(402)</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2"/>
              </w:rPr>
              <w:t>$ (1,169)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fair value of derivatives</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(20)</w:t>
            </w: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actuarial net loss</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5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Unrecognized prior service cost arising in the year</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(32)</w:t>
            </w: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Actuarial net gains arising in the year</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5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Deferred taxes</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color w:val="auto"/>
              </w:rPr>
              <w:t>(106)</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Borders>
              <w:bottom w:val="single" w:sz="8" w:color="808080"/>
            </w:tcBorders>
          </w:tcPr>
          <w:p>
            <w:pPr>
              <w:spacing w:after="0"/>
              <w:rPr>
                <w:sz w:val="7"/>
                <w:szCs w:val="7"/>
                <w:color w:val="auto"/>
              </w:rPr>
            </w:pPr>
          </w:p>
        </w:tc>
        <w:tc>
          <w:tcPr>
            <w:tcW w:w="28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2007</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(384)</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fair value of derivatives</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(20)</w:t>
            </w: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actuarial net loss</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5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Unrecognized prior service cost arising in the year</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(1,077)</w:t>
            </w: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Actuarial net losses arising in the year</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(725)</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Deferred taxes</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277</w:t>
            </w:r>
          </w:p>
        </w:tc>
        <w:tc>
          <w:tcPr>
            <w:tcW w:w="54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277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Borders>
              <w:bottom w:val="single" w:sz="8" w:color="808080"/>
            </w:tcBorders>
          </w:tcPr>
          <w:p>
            <w:pPr>
              <w:spacing w:after="0"/>
              <w:rPr>
                <w:sz w:val="7"/>
                <w:szCs w:val="7"/>
                <w:color w:val="auto"/>
              </w:rPr>
            </w:pPr>
          </w:p>
        </w:tc>
        <w:tc>
          <w:tcPr>
            <w:tcW w:w="28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2008</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(903)</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(1,895)</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fair value of derivatives</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54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actuarial net loss</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5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Impact of curtailment</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54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 arising in the year</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5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Actuarial net losses arising in the year</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(237)</w:t>
            </w: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2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5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2009</w:t>
            </w:r>
          </w:p>
        </w:tc>
        <w:tc>
          <w:tcPr>
            <w:tcW w:w="2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(886)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5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(1,828)</w:t>
            </w:r>
          </w:p>
        </w:tc>
        <w:tc>
          <w:tcPr>
            <w:tcW w:w="5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2"/>
              </w:rPr>
              <w:t>$ (2,674)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860" w:type="dxa"/>
            <w:vAlign w:val="bottom"/>
            <w:vMerge w:val="restart"/>
          </w:tcPr>
          <w:p>
            <w:pPr>
              <w:jc w:val="right"/>
              <w:ind w:right="1212"/>
              <w:spacing w:after="0"/>
              <w:rPr>
                <w:sz w:val="20"/>
                <w:szCs w:val="20"/>
                <w:color w:val="auto"/>
              </w:rPr>
            </w:pPr>
            <w:r>
              <w:rPr>
                <w:rFonts w:ascii="Arial" w:cs="Arial" w:eastAsia="Arial" w:hAnsi="Arial"/>
                <w:sz w:val="14"/>
                <w:szCs w:val="14"/>
                <w:color w:val="auto"/>
              </w:rPr>
              <w:t>54</w:t>
            </w: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-292735</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-292735</wp:posOffset>
            </wp:positionV>
            <wp:extent cx="2159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-292735</wp:posOffset>
            </wp:positionV>
            <wp:extent cx="3873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-292735</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-292735</wp:posOffset>
            </wp:positionV>
            <wp:extent cx="2159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-292735</wp:posOffset>
            </wp:positionV>
            <wp:extent cx="3873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-292735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-292735</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-292735</wp:posOffset>
            </wp:positionV>
            <wp:extent cx="3873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-292735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-292735</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-292735</wp:posOffset>
            </wp:positionV>
            <wp:extent cx="3873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Schlumberger has three types of stock-based compensation programs: stock options, a restricted stock and restricted stock unit program (collectively referred to as “restricted stock”) and a discounted stock purchase plan (“DSPP”).</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7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Key employees are granted stock options under Schlumberger stock option plans. For all of the stock options granted, the exercise price equals the average of the high and low sales prices of Schlumberger stock on the date of grant; an option’s maximum term is generally ten years, and options generally vest in increments over four or five years. The gain on the awards granted during the period from July 2003 to January 2006 is capped at 125% of the exercise price. Awards granted subsequent to January 2006 do not have a cap on any potential gain and generally vest in increments over five years.</w:t>
      </w:r>
    </w:p>
    <w:p>
      <w:pPr>
        <w:spacing w:after="0" w:line="3" w:lineRule="exact"/>
        <w:rPr>
          <w:sz w:val="20"/>
          <w:szCs w:val="20"/>
          <w:color w:val="auto"/>
        </w:rPr>
      </w:pPr>
    </w:p>
    <w:p>
      <w:pPr>
        <w:ind w:right="520" w:firstLine="228"/>
        <w:spacing w:after="0" w:line="261" w:lineRule="auto"/>
        <w:rPr>
          <w:sz w:val="20"/>
          <w:szCs w:val="20"/>
          <w:color w:val="auto"/>
        </w:rPr>
      </w:pPr>
      <w:r>
        <w:rPr>
          <w:rFonts w:ascii="Arial" w:cs="Arial" w:eastAsia="Arial" w:hAnsi="Arial"/>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2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2009</w:t>
            </w:r>
          </w:p>
        </w:tc>
        <w:tc>
          <w:tcPr>
            <w:tcW w:w="960" w:type="dxa"/>
            <w:vAlign w:val="bottom"/>
          </w:tcPr>
          <w:p>
            <w:pPr>
              <w:jc w:val="right"/>
              <w:ind w:right="272"/>
              <w:spacing w:after="0"/>
              <w:rPr>
                <w:sz w:val="20"/>
                <w:szCs w:val="20"/>
                <w:color w:val="auto"/>
              </w:rPr>
            </w:pPr>
            <w:r>
              <w:rPr>
                <w:rFonts w:ascii="Arial" w:cs="Arial" w:eastAsia="Arial" w:hAnsi="Arial"/>
                <w:sz w:val="14"/>
                <w:szCs w:val="14"/>
                <w:b w:val="1"/>
                <w:bCs w:val="1"/>
                <w:color w:val="auto"/>
              </w:rPr>
              <w:t>2008</w:t>
            </w:r>
          </w:p>
        </w:tc>
        <w:tc>
          <w:tcPr>
            <w:tcW w:w="760" w:type="dxa"/>
            <w:vAlign w:val="bottom"/>
          </w:tcPr>
          <w:p>
            <w:pPr>
              <w:jc w:val="right"/>
              <w:ind w:right="72"/>
              <w:spacing w:after="0"/>
              <w:rPr>
                <w:sz w:val="20"/>
                <w:szCs w:val="20"/>
                <w:color w:val="auto"/>
              </w:rPr>
            </w:pPr>
            <w:r>
              <w:rPr>
                <w:rFonts w:ascii="Arial" w:cs="Arial" w:eastAsia="Arial" w:hAnsi="Arial"/>
                <w:sz w:val="14"/>
                <w:szCs w:val="14"/>
                <w:b w:val="1"/>
                <w:bCs w:val="1"/>
                <w:color w:val="auto"/>
              </w:rPr>
              <w:t>2007</w:t>
            </w:r>
          </w:p>
        </w:tc>
      </w:tr>
      <w:tr>
        <w:trPr>
          <w:trHeight w:val="149"/>
        </w:trPr>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4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1.2%</w:t>
            </w:r>
          </w:p>
        </w:tc>
        <w:tc>
          <w:tcPr>
            <w:tcW w:w="9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2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34%</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r>
      <w:tr>
        <w:trPr>
          <w:trHeight w:val="149"/>
        </w:trPr>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4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2.2%</w:t>
            </w:r>
          </w:p>
        </w:tc>
        <w:tc>
          <w:tcPr>
            <w:tcW w:w="9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Expected option life in years</w:t>
            </w:r>
          </w:p>
        </w:tc>
        <w:tc>
          <w:tcPr>
            <w:tcW w:w="420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6.9</w:t>
            </w:r>
          </w:p>
        </w:tc>
        <w:tc>
          <w:tcPr>
            <w:tcW w:w="9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7.0</w:t>
            </w:r>
          </w:p>
        </w:tc>
        <w:tc>
          <w:tcPr>
            <w:tcW w:w="7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6.9</w:t>
            </w:r>
          </w:p>
        </w:tc>
      </w:tr>
      <w:tr>
        <w:trPr>
          <w:trHeight w:val="149"/>
        </w:trPr>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per share</w:t>
            </w:r>
          </w:p>
        </w:tc>
        <w:tc>
          <w:tcPr>
            <w:tcW w:w="42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$13.92</w:t>
            </w:r>
          </w:p>
        </w:tc>
        <w:tc>
          <w:tcPr>
            <w:tcW w:w="9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$29.33</w:t>
            </w:r>
          </w:p>
        </w:tc>
        <w:tc>
          <w:tcPr>
            <w:tcW w:w="7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$25.94</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information concerning outstanding and options exercisable by five ranges of exercise prices as of December 31, 2009:</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(Shares stated in thousands)</w:t>
      </w:r>
    </w:p>
    <w:tbl>
      <w:tblPr>
        <w:tblLayout w:type="fixed"/>
        <w:tblInd w:w="0" w:type="dxa"/>
        <w:tblCellMar>
          <w:top w:w="0" w:type="dxa"/>
          <w:left w:w="0" w:type="dxa"/>
          <w:bottom w:w="0" w:type="dxa"/>
          <w:right w:w="0" w:type="dxa"/>
        </w:tblCellMar>
      </w:tblPr>
      <w:tr>
        <w:trPr>
          <w:trHeight w:val="174"/>
        </w:trPr>
        <w:tc>
          <w:tcPr>
            <w:tcW w:w="49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OPTIONS EXERCISABLE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498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1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jc w:val="right"/>
              <w:ind w:right="472"/>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Pr>
          <w:p>
            <w:pPr>
              <w:jc w:val="right"/>
              <w:ind w:right="472"/>
              <w:spacing w:after="0" w:line="149" w:lineRule="exact"/>
              <w:rPr>
                <w:sz w:val="20"/>
                <w:szCs w:val="20"/>
                <w:color w:val="auto"/>
              </w:rPr>
            </w:pPr>
            <w:r>
              <w:rPr>
                <w:rFonts w:ascii="Arial" w:cs="Arial" w:eastAsia="Arial" w:hAnsi="Arial"/>
                <w:sz w:val="14"/>
                <w:szCs w:val="14"/>
                <w:b w:val="1"/>
                <w:bCs w:val="1"/>
                <w:color w:val="auto"/>
              </w:rPr>
              <w:t>average</w:t>
            </w:r>
          </w:p>
        </w:tc>
        <w:tc>
          <w:tcPr>
            <w:tcW w:w="154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Weighted-</w:t>
            </w:r>
          </w:p>
        </w:tc>
        <w:tc>
          <w:tcPr>
            <w:tcW w:w="680" w:type="dxa"/>
            <w:vAlign w:val="bottom"/>
          </w:tcPr>
          <w:p>
            <w:pPr>
              <w:spacing w:after="0"/>
              <w:rPr>
                <w:sz w:val="12"/>
                <w:szCs w:val="12"/>
                <w:color w:val="auto"/>
              </w:rPr>
            </w:pPr>
          </w:p>
        </w:tc>
        <w:tc>
          <w:tcPr>
            <w:tcW w:w="1360" w:type="dxa"/>
            <w:vAlign w:val="bottom"/>
            <w:gridSpan w:val="3"/>
          </w:tcPr>
          <w:p>
            <w:pPr>
              <w:ind w:left="74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Pr>
          <w:p>
            <w:pPr>
              <w:jc w:val="right"/>
              <w:ind w:right="472"/>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2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6"/>
              </w:rPr>
              <w:t>average</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Options</w:t>
            </w:r>
          </w:p>
        </w:tc>
        <w:tc>
          <w:tcPr>
            <w:tcW w:w="2140" w:type="dxa"/>
            <w:vAlign w:val="bottom"/>
          </w:tcPr>
          <w:p>
            <w:pPr>
              <w:jc w:val="right"/>
              <w:ind w:right="472"/>
              <w:spacing w:after="0" w:line="149" w:lineRule="exact"/>
              <w:rPr>
                <w:sz w:val="20"/>
                <w:szCs w:val="20"/>
                <w:color w:val="auto"/>
              </w:rPr>
            </w:pPr>
            <w:r>
              <w:rPr>
                <w:rFonts w:ascii="Arial" w:cs="Arial" w:eastAsia="Arial" w:hAnsi="Arial"/>
                <w:sz w:val="14"/>
                <w:szCs w:val="14"/>
                <w:b w:val="1"/>
                <w:bCs w:val="1"/>
                <w:color w:val="auto"/>
              </w:rPr>
              <w:t>contractual life</w:t>
            </w:r>
          </w:p>
        </w:tc>
        <w:tc>
          <w:tcPr>
            <w:tcW w:w="320" w:type="dxa"/>
            <w:vAlign w:val="bottom"/>
          </w:tcPr>
          <w:p>
            <w:pPr>
              <w:spacing w:after="0"/>
              <w:rPr>
                <w:sz w:val="12"/>
                <w:szCs w:val="12"/>
                <w:color w:val="auto"/>
              </w:rPr>
            </w:pPr>
          </w:p>
        </w:tc>
        <w:tc>
          <w:tcPr>
            <w:tcW w:w="12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1"/>
              </w:rPr>
              <w:t>exercise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Options</w:t>
            </w:r>
          </w:p>
        </w:tc>
        <w:tc>
          <w:tcPr>
            <w:tcW w:w="84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61"/>
        </w:trPr>
        <w:tc>
          <w:tcPr>
            <w:tcW w:w="4980" w:type="dxa"/>
            <w:vAlign w:val="bottom"/>
          </w:tcPr>
          <w:p>
            <w:pPr>
              <w:spacing w:after="0"/>
              <w:rPr>
                <w:sz w:val="20"/>
                <w:szCs w:val="20"/>
                <w:color w:val="auto"/>
              </w:rPr>
            </w:pPr>
            <w:r>
              <w:rPr>
                <w:rFonts w:ascii="Arial" w:cs="Arial" w:eastAsia="Arial" w:hAnsi="Arial"/>
                <w:sz w:val="14"/>
                <w:szCs w:val="14"/>
                <w:b w:val="1"/>
                <w:bCs w:val="1"/>
                <w:color w:val="auto"/>
              </w:rPr>
              <w:t>Exercise prices range</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Outstanding</w:t>
            </w:r>
          </w:p>
        </w:tc>
        <w:tc>
          <w:tcPr>
            <w:tcW w:w="2140" w:type="dxa"/>
            <w:vAlign w:val="bottom"/>
          </w:tcPr>
          <w:p>
            <w:pPr>
              <w:jc w:val="right"/>
              <w:ind w:right="472"/>
              <w:spacing w:after="0"/>
              <w:rPr>
                <w:sz w:val="20"/>
                <w:szCs w:val="20"/>
                <w:color w:val="auto"/>
              </w:rPr>
            </w:pPr>
            <w:r>
              <w:rPr>
                <w:rFonts w:ascii="Arial" w:cs="Arial" w:eastAsia="Arial" w:hAnsi="Arial"/>
                <w:sz w:val="14"/>
                <w:szCs w:val="14"/>
                <w:b w:val="1"/>
                <w:bCs w:val="1"/>
                <w:color w:val="auto"/>
              </w:rPr>
              <w:t>(in years)</w:t>
            </w:r>
          </w:p>
        </w:tc>
        <w:tc>
          <w:tcPr>
            <w:tcW w:w="32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price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8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$19.035-$32.455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7,081</w:t>
            </w:r>
          </w:p>
        </w:tc>
        <w:tc>
          <w:tcPr>
            <w:tcW w:w="20" w:type="dxa"/>
            <w:vAlign w:val="bottom"/>
            <w:shd w:val="clear" w:color="auto" w:fill="CCEEFF"/>
          </w:tcPr>
          <w:p>
            <w:pPr>
              <w:spacing w:after="0"/>
              <w:rPr>
                <w:sz w:val="12"/>
                <w:szCs w:val="12"/>
                <w:color w:val="auto"/>
              </w:rPr>
            </w:pPr>
          </w:p>
        </w:tc>
        <w:tc>
          <w:tcPr>
            <w:tcW w:w="214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3.15</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28.35</w:t>
            </w: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7,081</w:t>
            </w:r>
          </w:p>
        </w:tc>
        <w:tc>
          <w:tcPr>
            <w:tcW w:w="8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$32.618-$37.845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8,300</w:t>
            </w:r>
          </w:p>
        </w:tc>
        <w:tc>
          <w:tcPr>
            <w:tcW w:w="20" w:type="dxa"/>
            <w:vAlign w:val="bottom"/>
          </w:tcPr>
          <w:p>
            <w:pPr>
              <w:spacing w:after="0"/>
              <w:rPr>
                <w:sz w:val="12"/>
                <w:szCs w:val="12"/>
                <w:color w:val="auto"/>
              </w:rPr>
            </w:pPr>
          </w:p>
        </w:tc>
        <w:tc>
          <w:tcPr>
            <w:tcW w:w="214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7.92</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36.79</w:t>
            </w:r>
          </w:p>
        </w:tc>
        <w:tc>
          <w:tcPr>
            <w:tcW w:w="7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2,038</w:t>
            </w:r>
          </w:p>
        </w:tc>
        <w:tc>
          <w:tcPr>
            <w:tcW w:w="840" w:type="dxa"/>
            <w:vAlign w:val="bottom"/>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$38.532-$54.235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9,431</w:t>
            </w:r>
          </w:p>
        </w:tc>
        <w:tc>
          <w:tcPr>
            <w:tcW w:w="20" w:type="dxa"/>
            <w:vAlign w:val="bottom"/>
            <w:shd w:val="clear" w:color="auto" w:fill="CCEEFF"/>
          </w:tcPr>
          <w:p>
            <w:pPr>
              <w:spacing w:after="0"/>
              <w:rPr>
                <w:sz w:val="12"/>
                <w:szCs w:val="12"/>
                <w:color w:val="auto"/>
              </w:rPr>
            </w:pPr>
          </w:p>
        </w:tc>
        <w:tc>
          <w:tcPr>
            <w:tcW w:w="214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5.45</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50.48</w:t>
            </w: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6,644</w:t>
            </w:r>
          </w:p>
        </w:tc>
        <w:tc>
          <w:tcPr>
            <w:tcW w:w="8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$56.605-$73.995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5,129</w:t>
            </w:r>
          </w:p>
        </w:tc>
        <w:tc>
          <w:tcPr>
            <w:tcW w:w="20" w:type="dxa"/>
            <w:vAlign w:val="bottom"/>
          </w:tcPr>
          <w:p>
            <w:pPr>
              <w:spacing w:after="0"/>
              <w:rPr>
                <w:sz w:val="12"/>
                <w:szCs w:val="12"/>
                <w:color w:val="auto"/>
              </w:rPr>
            </w:pPr>
          </w:p>
        </w:tc>
        <w:tc>
          <w:tcPr>
            <w:tcW w:w="214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7.27</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60.69</w:t>
            </w:r>
          </w:p>
        </w:tc>
        <w:tc>
          <w:tcPr>
            <w:tcW w:w="7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1,757</w:t>
            </w:r>
          </w:p>
        </w:tc>
        <w:tc>
          <w:tcPr>
            <w:tcW w:w="840" w:type="dxa"/>
            <w:vAlign w:val="bottom"/>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$84.930-$110.775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5,559</w:t>
            </w:r>
          </w:p>
        </w:tc>
        <w:tc>
          <w:tcPr>
            <w:tcW w:w="20" w:type="dxa"/>
            <w:vAlign w:val="bottom"/>
            <w:shd w:val="clear" w:color="auto" w:fill="CCEEFF"/>
          </w:tcPr>
          <w:p>
            <w:pPr>
              <w:spacing w:after="0"/>
              <w:rPr>
                <w:sz w:val="12"/>
                <w:szCs w:val="12"/>
                <w:color w:val="auto"/>
              </w:rPr>
            </w:pPr>
          </w:p>
        </w:tc>
        <w:tc>
          <w:tcPr>
            <w:tcW w:w="214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8.05</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88.56</w:t>
            </w: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w:t>
            </w:r>
          </w:p>
        </w:tc>
        <w:tc>
          <w:tcPr>
            <w:tcW w:w="8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9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35,500</w:t>
            </w:r>
          </w:p>
        </w:tc>
        <w:tc>
          <w:tcPr>
            <w:tcW w:w="20" w:type="dxa"/>
            <w:vAlign w:val="bottom"/>
            <w:shd w:val="clear" w:color="auto" w:fill="CCEEFF"/>
          </w:tcPr>
          <w:p>
            <w:pPr>
              <w:spacing w:after="0"/>
              <w:rPr>
                <w:sz w:val="12"/>
                <w:szCs w:val="12"/>
                <w:color w:val="auto"/>
              </w:rPr>
            </w:pPr>
          </w:p>
        </w:tc>
        <w:tc>
          <w:tcPr>
            <w:tcW w:w="214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6.24</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50.30</w:t>
            </w: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18,673</w:t>
            </w:r>
          </w:p>
        </w:tc>
        <w:tc>
          <w:tcPr>
            <w:tcW w:w="8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980" w:type="dxa"/>
            <w:vAlign w:val="bottom"/>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remaining contractual life of stock options exercisable as of December 31, 2009 was 4.47 years.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stock option activity during the years ended December 31, 2009, 2008 and 2007:</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(Shares stated in thousands)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0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6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00" w:type="dxa"/>
            <w:vAlign w:val="bottom"/>
          </w:tcPr>
          <w:p>
            <w:pPr>
              <w:spacing w:after="0"/>
              <w:rPr>
                <w:sz w:val="6"/>
                <w:szCs w:val="6"/>
                <w:color w:val="auto"/>
              </w:rPr>
            </w:pPr>
          </w:p>
        </w:tc>
        <w:tc>
          <w:tcPr>
            <w:tcW w:w="2200" w:type="dxa"/>
            <w:vAlign w:val="bottom"/>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gridSpan w:val="2"/>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Weighted-</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average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exercise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exercise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price</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price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8"/>
              </w:rPr>
              <w:t>Shares</w:t>
            </w:r>
          </w:p>
        </w:tc>
        <w:tc>
          <w:tcPr>
            <w:tcW w:w="3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beginning of year</w:t>
            </w:r>
          </w:p>
        </w:tc>
        <w:tc>
          <w:tcPr>
            <w:tcW w:w="2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32,301</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50.36</w:t>
            </w: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35,719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41.02</w:t>
            </w: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48,679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2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7,981</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40.87</w:t>
            </w:r>
          </w:p>
        </w:tc>
        <w:tc>
          <w:tcPr>
            <w:tcW w:w="4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5,422</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84.95</w:t>
            </w:r>
          </w:p>
        </w:tc>
        <w:tc>
          <w:tcPr>
            <w:tcW w:w="4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4,399</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2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(3,851)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29.00</w:t>
            </w:r>
          </w:p>
        </w:tc>
        <w:tc>
          <w:tcPr>
            <w:tcW w:w="4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(5,444)</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32.69</w:t>
            </w:r>
          </w:p>
        </w:tc>
        <w:tc>
          <w:tcPr>
            <w:tcW w:w="4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(13,789)</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Forfeited</w:t>
            </w:r>
          </w:p>
        </w:tc>
        <w:tc>
          <w:tcPr>
            <w:tcW w:w="2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(931)</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58.82</w:t>
            </w:r>
          </w:p>
        </w:tc>
        <w:tc>
          <w:tcPr>
            <w:tcW w:w="44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(3,396)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42.68</w:t>
            </w:r>
          </w:p>
        </w:tc>
        <w:tc>
          <w:tcPr>
            <w:tcW w:w="44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(3,570)</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700" w:type="dxa"/>
            <w:vAlign w:val="bottom"/>
            <w:tcBorders>
              <w:bottom w:val="single" w:sz="8" w:color="808080"/>
            </w:tcBorders>
          </w:tcPr>
          <w:p>
            <w:pPr>
              <w:spacing w:after="0"/>
              <w:rPr>
                <w:sz w:val="7"/>
                <w:szCs w:val="7"/>
                <w:color w:val="auto"/>
              </w:rPr>
            </w:pPr>
          </w:p>
        </w:tc>
        <w:tc>
          <w:tcPr>
            <w:tcW w:w="22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year-end</w:t>
            </w:r>
          </w:p>
        </w:tc>
        <w:tc>
          <w:tcPr>
            <w:tcW w:w="2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35,500</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50.30</w:t>
            </w: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32,301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50.36</w:t>
            </w: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35,719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200" w:type="dxa"/>
            <w:vAlign w:val="bottom"/>
            <w:vMerge w:val="restart"/>
          </w:tcPr>
          <w:p>
            <w:pPr>
              <w:jc w:val="right"/>
              <w:ind w:right="72"/>
              <w:spacing w:after="0"/>
              <w:rPr>
                <w:sz w:val="20"/>
                <w:szCs w:val="20"/>
                <w:color w:val="auto"/>
              </w:rPr>
            </w:pPr>
            <w:r>
              <w:rPr>
                <w:rFonts w:ascii="Arial" w:cs="Arial" w:eastAsia="Arial" w:hAnsi="Arial"/>
                <w:sz w:val="14"/>
                <w:szCs w:val="14"/>
                <w:color w:val="auto"/>
              </w:rPr>
              <w:t>55</w:t>
            </w:r>
          </w:p>
        </w:tc>
        <w:tc>
          <w:tcPr>
            <w:tcW w:w="4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-292735</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-292735</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-292735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-292735</wp:posOffset>
            </wp:positionV>
            <wp:extent cx="387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-292735</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-292735</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60" w:firstLine="228"/>
        <w:spacing w:after="0" w:line="254" w:lineRule="auto"/>
        <w:rPr>
          <w:sz w:val="20"/>
          <w:szCs w:val="20"/>
          <w:color w:val="auto"/>
        </w:rPr>
      </w:pPr>
      <w:r>
        <w:rPr>
          <w:rFonts w:ascii="Arial" w:cs="Arial" w:eastAsia="Arial" w:hAnsi="Arial"/>
          <w:sz w:val="18"/>
          <w:szCs w:val="18"/>
          <w:color w:val="auto"/>
        </w:rPr>
        <w:t>The aggregate intrinsic value of stock options outstanding as of December 31, 2009 was approximately $660 million. The aggregate intrinsic value of stock options exercisable as of December 31, 2009 was approximately $430 million.</w:t>
      </w:r>
    </w:p>
    <w:p>
      <w:pPr>
        <w:ind w:right="280" w:firstLine="228"/>
        <w:spacing w:after="0" w:line="261" w:lineRule="auto"/>
        <w:rPr>
          <w:sz w:val="20"/>
          <w:szCs w:val="20"/>
          <w:color w:val="auto"/>
        </w:rPr>
      </w:pPr>
      <w:r>
        <w:rPr>
          <w:rFonts w:ascii="Arial" w:cs="Arial" w:eastAsia="Arial" w:hAnsi="Arial"/>
          <w:sz w:val="18"/>
          <w:szCs w:val="18"/>
          <w:color w:val="auto"/>
        </w:rPr>
        <w:t>The total intrinsic value of options exercised during the years ended December 31, 2009, 2008 and 2007, was $103 million, $119 million and $607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2"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Schlumberger began granting restricted stock in 2006. Restricted stock awards generally vest at the end of three years, with the exception of certain grants which vest over a two-year period with a subsequent two-year holding period. There have not been any grants to date that are subject to performance-based vesting.</w:t>
      </w:r>
    </w:p>
    <w:p>
      <w:pPr>
        <w:ind w:left="240"/>
        <w:spacing w:after="0"/>
        <w:rPr>
          <w:sz w:val="20"/>
          <w:szCs w:val="20"/>
          <w:color w:val="auto"/>
        </w:rPr>
      </w:pPr>
      <w:r>
        <w:rPr>
          <w:rFonts w:ascii="Arial" w:cs="Arial" w:eastAsia="Arial" w:hAnsi="Arial"/>
          <w:sz w:val="18"/>
          <w:szCs w:val="18"/>
          <w:color w:val="auto"/>
        </w:rPr>
        <w:t>The following table summarizes information about restricted stock transactions: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(Shares stated in thousands)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10" w:type="dxa"/>
            <w:vAlign w:val="bottom"/>
            <w:tcBorders>
              <w:top w:val="single" w:sz="8" w:color="auto"/>
            </w:tcBorders>
          </w:tcPr>
          <w:p>
            <w:pPr>
              <w:spacing w:after="0"/>
              <w:rPr>
                <w:sz w:val="15"/>
                <w:szCs w:val="15"/>
                <w:color w:val="auto"/>
              </w:rPr>
            </w:pPr>
          </w:p>
        </w:tc>
        <w:tc>
          <w:tcPr>
            <w:tcW w:w="55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30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10" w:type="dxa"/>
            <w:vAlign w:val="bottom"/>
            <w:tcBorders>
              <w:bottom w:val="single" w:sz="8" w:color="808080"/>
            </w:tcBorders>
          </w:tcPr>
          <w:p>
            <w:pPr>
              <w:spacing w:after="0"/>
              <w:rPr>
                <w:sz w:val="6"/>
                <w:szCs w:val="6"/>
                <w:color w:val="auto"/>
              </w:rPr>
            </w:pPr>
          </w:p>
        </w:tc>
        <w:tc>
          <w:tcPr>
            <w:tcW w:w="55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Weighted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23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2"/>
              </w:rPr>
              <w:t>Weighted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Average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23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Average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4"/>
              </w:rPr>
              <w:t>Restricted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Restricted</w:t>
            </w:r>
          </w:p>
        </w:tc>
        <w:tc>
          <w:tcPr>
            <w:tcW w:w="520" w:type="dxa"/>
            <w:vAlign w:val="bottom"/>
          </w:tcPr>
          <w:p>
            <w:pPr>
              <w:spacing w:after="0"/>
              <w:rPr>
                <w:sz w:val="12"/>
                <w:szCs w:val="12"/>
                <w:color w:val="auto"/>
              </w:rPr>
            </w:pPr>
          </w:p>
        </w:tc>
        <w:tc>
          <w:tcPr>
            <w:tcW w:w="1340" w:type="dxa"/>
            <w:vAlign w:val="bottom"/>
            <w:gridSpan w:val="4"/>
          </w:tcPr>
          <w:p>
            <w:pPr>
              <w:jc w:val="right"/>
              <w:ind w:right="680"/>
              <w:spacing w:after="0" w:line="149" w:lineRule="exact"/>
              <w:rPr>
                <w:sz w:val="20"/>
                <w:szCs w:val="20"/>
                <w:color w:val="auto"/>
              </w:rPr>
            </w:pPr>
            <w:r>
              <w:rPr>
                <w:rFonts w:ascii="Arial" w:cs="Arial" w:eastAsia="Arial" w:hAnsi="Arial"/>
                <w:sz w:val="14"/>
                <w:szCs w:val="14"/>
                <w:b w:val="1"/>
                <w:bCs w:val="1"/>
                <w:color w:val="auto"/>
                <w:w w:val="89"/>
              </w:rPr>
              <w:t>Grant Date</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Restricted</w:t>
            </w:r>
          </w:p>
        </w:tc>
        <w:tc>
          <w:tcPr>
            <w:tcW w:w="52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5"/>
              </w:rPr>
              <w:t>Fair Value</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520" w:type="dxa"/>
            <w:vAlign w:val="bottom"/>
          </w:tcPr>
          <w:p>
            <w:pPr>
              <w:spacing w:after="0"/>
              <w:rPr>
                <w:sz w:val="15"/>
                <w:szCs w:val="15"/>
                <w:color w:val="auto"/>
              </w:rPr>
            </w:pPr>
          </w:p>
        </w:tc>
        <w:tc>
          <w:tcPr>
            <w:tcW w:w="13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5"/>
              </w:rPr>
              <w:t>Fair Value</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52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at beginning of year</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1,701</w:t>
            </w: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66.49</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2"/>
                <w:szCs w:val="12"/>
                <w:color w:val="auto"/>
              </w:rPr>
            </w:pPr>
          </w:p>
        </w:tc>
        <w:tc>
          <w:tcPr>
            <w:tcW w:w="63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7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65.14</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48.14</w:t>
            </w:r>
          </w:p>
        </w:tc>
        <w:tc>
          <w:tcPr>
            <w:tcW w:w="6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7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68.04</w:t>
            </w:r>
          </w:p>
        </w:tc>
        <w:tc>
          <w:tcPr>
            <w:tcW w:w="6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(580)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65.15</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5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7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65.35</w:t>
            </w:r>
          </w:p>
        </w:tc>
        <w:tc>
          <w:tcPr>
            <w:tcW w:w="6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Arial" w:cs="Arial" w:eastAsia="Arial" w:hAnsi="Arial"/>
                <w:sz w:val="14"/>
                <w:szCs w:val="14"/>
                <w:color w:val="auto"/>
              </w:rPr>
              <w:t>Forfeited</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(82)</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69.23</w:t>
            </w:r>
          </w:p>
        </w:tc>
        <w:tc>
          <w:tcPr>
            <w:tcW w:w="6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(29)</w:t>
            </w:r>
          </w:p>
        </w:tc>
        <w:tc>
          <w:tcPr>
            <w:tcW w:w="5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70" w:type="dxa"/>
            <w:vAlign w:val="bottom"/>
            <w:gridSpan w:val="2"/>
          </w:tcPr>
          <w:p>
            <w:pPr>
              <w:jc w:val="right"/>
              <w:ind w:right="20"/>
              <w:spacing w:after="0"/>
              <w:rPr>
                <w:sz w:val="20"/>
                <w:szCs w:val="20"/>
                <w:color w:val="auto"/>
              </w:rPr>
            </w:pPr>
            <w:r>
              <w:rPr>
                <w:rFonts w:ascii="Arial" w:cs="Arial" w:eastAsia="Arial" w:hAnsi="Arial"/>
                <w:sz w:val="14"/>
                <w:szCs w:val="14"/>
                <w:color w:val="auto"/>
              </w:rPr>
              <w:t>72.44</w:t>
            </w:r>
          </w:p>
        </w:tc>
        <w:tc>
          <w:tcPr>
            <w:tcW w:w="6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(38)</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30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 w:type="dxa"/>
            <w:vAlign w:val="bottom"/>
            <w:tcBorders>
              <w:bottom w:val="single" w:sz="8" w:color="808080"/>
            </w:tcBorders>
          </w:tcPr>
          <w:p>
            <w:pPr>
              <w:spacing w:after="0"/>
              <w:rPr>
                <w:sz w:val="7"/>
                <w:szCs w:val="7"/>
                <w:color w:val="auto"/>
              </w:rPr>
            </w:pPr>
          </w:p>
        </w:tc>
        <w:tc>
          <w:tcPr>
            <w:tcW w:w="55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at end of year</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1,343</w:t>
            </w: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62.75</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1,701</w:t>
            </w:r>
          </w:p>
        </w:tc>
        <w:tc>
          <w:tcPr>
            <w:tcW w:w="100" w:type="dxa"/>
            <w:vAlign w:val="bottom"/>
            <w:shd w:val="clear" w:color="auto" w:fill="CCEEFF"/>
          </w:tcPr>
          <w:p>
            <w:pPr>
              <w:spacing w:after="0"/>
              <w:rPr>
                <w:sz w:val="12"/>
                <w:szCs w:val="12"/>
                <w:color w:val="auto"/>
              </w:rPr>
            </w:pPr>
          </w:p>
        </w:tc>
        <w:tc>
          <w:tcPr>
            <w:tcW w:w="63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7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66.49</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55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-29210</wp:posOffset>
            </wp:positionV>
            <wp:extent cx="3873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2159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3873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Stock Purchase Plan</w:t>
      </w:r>
    </w:p>
    <w:p>
      <w:pPr>
        <w:spacing w:after="0" w:line="72" w:lineRule="exact"/>
        <w:rPr>
          <w:sz w:val="20"/>
          <w:szCs w:val="20"/>
          <w:color w:val="auto"/>
        </w:rPr>
      </w:pPr>
    </w:p>
    <w:p>
      <w:pPr>
        <w:ind w:right="620"/>
        <w:spacing w:after="0" w:line="305" w:lineRule="auto"/>
        <w:rPr>
          <w:sz w:val="20"/>
          <w:szCs w:val="20"/>
          <w:color w:val="auto"/>
        </w:rPr>
      </w:pPr>
      <w:r>
        <w:rPr>
          <w:rFonts w:ascii="Arial" w:cs="Arial" w:eastAsia="Arial" w:hAnsi="Arial"/>
          <w:sz w:val="15"/>
          <w:szCs w:val="15"/>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ind w:right="160" w:firstLine="228"/>
        <w:spacing w:after="0" w:line="261"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 average fair value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41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2009</w:t>
            </w:r>
          </w:p>
        </w:tc>
        <w:tc>
          <w:tcPr>
            <w:tcW w:w="960" w:type="dxa"/>
            <w:vAlign w:val="bottom"/>
          </w:tcPr>
          <w:p>
            <w:pPr>
              <w:jc w:val="right"/>
              <w:ind w:right="272"/>
              <w:spacing w:after="0"/>
              <w:rPr>
                <w:sz w:val="20"/>
                <w:szCs w:val="20"/>
                <w:color w:val="auto"/>
              </w:rPr>
            </w:pPr>
            <w:r>
              <w:rPr>
                <w:rFonts w:ascii="Arial" w:cs="Arial" w:eastAsia="Arial" w:hAnsi="Arial"/>
                <w:sz w:val="14"/>
                <w:szCs w:val="14"/>
                <w:b w:val="1"/>
                <w:bCs w:val="1"/>
                <w:color w:val="auto"/>
              </w:rPr>
              <w:t>2008</w:t>
            </w:r>
          </w:p>
        </w:tc>
        <w:tc>
          <w:tcPr>
            <w:tcW w:w="760" w:type="dxa"/>
            <w:vAlign w:val="bottom"/>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520" w:type="dxa"/>
            <w:vAlign w:val="bottom"/>
          </w:tcPr>
          <w:p>
            <w:pPr>
              <w:spacing w:after="0"/>
              <w:rPr>
                <w:sz w:val="4"/>
                <w:szCs w:val="4"/>
                <w:color w:val="auto"/>
              </w:rPr>
            </w:pPr>
          </w:p>
        </w:tc>
        <w:tc>
          <w:tcPr>
            <w:tcW w:w="4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41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1.1%</w:t>
            </w:r>
          </w:p>
        </w:tc>
        <w:tc>
          <w:tcPr>
            <w:tcW w:w="9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1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44%</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34%</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41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0.3%</w:t>
            </w:r>
          </w:p>
        </w:tc>
        <w:tc>
          <w:tcPr>
            <w:tcW w:w="9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2.7%</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Weighted average fair value per share</w:t>
            </w:r>
          </w:p>
        </w:tc>
        <w:tc>
          <w:tcPr>
            <w:tcW w:w="4160" w:type="dxa"/>
            <w:vAlign w:val="bottom"/>
          </w:tcPr>
          <w:p>
            <w:pPr>
              <w:jc w:val="right"/>
              <w:ind w:right="312"/>
              <w:spacing w:after="0"/>
              <w:rPr>
                <w:sz w:val="20"/>
                <w:szCs w:val="20"/>
                <w:color w:val="auto"/>
              </w:rPr>
            </w:pPr>
            <w:r>
              <w:rPr>
                <w:rFonts w:ascii="Arial" w:cs="Arial" w:eastAsia="Arial" w:hAnsi="Arial"/>
                <w:sz w:val="14"/>
                <w:szCs w:val="14"/>
                <w:b w:val="1"/>
                <w:bCs w:val="1"/>
                <w:color w:val="auto"/>
              </w:rPr>
              <w:t>$9.76</w:t>
            </w: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$17.21</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Stock-based Compensation Expense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2009</w:t>
            </w: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$118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Restricted stock</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DSPP</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$186</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At December 31, 2009, there was $275 million of total unrecognized compensation cost related to nonvested stock-based compensation arrangements. Approximately $107 million is expected to be recognized in 2010, $88 million is expected to be recognized in 2011, $56 million in 2012, $21 million in 2013 and $3 million in 2014.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in more than 100 jurisdictions, where statutory tax rates generally vary from 0% to 50%.</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Income from Continuing Operations before taxes </w:t>
      </w:r>
      <w:r>
        <w:rPr>
          <w:rFonts w:ascii="Arial" w:cs="Arial" w:eastAsia="Arial" w:hAnsi="Arial"/>
          <w:sz w:val="16"/>
          <w:szCs w:val="16"/>
          <w:color w:val="auto"/>
        </w:rPr>
        <w:t>which were subject to United States and non-United States income taxes for each of the three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was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Borders>
              <w:top w:val="single" w:sz="8" w:color="auto"/>
            </w:tcBorders>
          </w:tcPr>
          <w:p>
            <w:pPr>
              <w:spacing w:after="0"/>
              <w:rPr>
                <w:sz w:val="15"/>
                <w:szCs w:val="15"/>
                <w:color w:val="auto"/>
              </w:rPr>
            </w:pPr>
          </w:p>
        </w:tc>
        <w:tc>
          <w:tcPr>
            <w:tcW w:w="4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8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4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4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$ 1,432</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$ 1,754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Outside United States</w:t>
            </w:r>
          </w:p>
        </w:tc>
        <w:tc>
          <w:tcPr>
            <w:tcW w:w="4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5"/>
              </w:rPr>
              <w:t>3,848</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5,420</w:t>
            </w:r>
          </w:p>
        </w:tc>
        <w:tc>
          <w:tcPr>
            <w:tcW w:w="4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4,871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240" w:type="dxa"/>
            <w:vAlign w:val="bottom"/>
            <w:tcBorders>
              <w:bottom w:val="single" w:sz="8" w:color="808080"/>
            </w:tcBorders>
          </w:tcPr>
          <w:p>
            <w:pPr>
              <w:spacing w:after="0"/>
              <w:rPr>
                <w:sz w:val="7"/>
                <w:szCs w:val="7"/>
                <w:color w:val="auto"/>
              </w:rPr>
            </w:pPr>
          </w:p>
        </w:tc>
        <w:tc>
          <w:tcPr>
            <w:tcW w:w="4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income</w:t>
            </w:r>
          </w:p>
        </w:tc>
        <w:tc>
          <w:tcPr>
            <w:tcW w:w="4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3,934</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$ 6,852</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$ 6,625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2444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jc w:val="both"/>
        <w:ind w:right="40" w:firstLine="228"/>
        <w:spacing w:after="0" w:line="253" w:lineRule="auto"/>
        <w:rPr>
          <w:sz w:val="20"/>
          <w:szCs w:val="20"/>
          <w:color w:val="auto"/>
        </w:rPr>
      </w:pPr>
      <w:r>
        <w:rPr>
          <w:rFonts w:ascii="Arial" w:cs="Arial" w:eastAsia="Arial" w:hAnsi="Arial"/>
          <w:sz w:val="18"/>
          <w:szCs w:val="18"/>
          <w:color w:val="auto"/>
        </w:rPr>
        <w:t xml:space="preserve">Schlumberger recorded $238 million of pretax charges in 2009 ($73 million in the US and $165 million outside the US) and $116 million in 2008 ($15 million in the US and $101 million outside the US). Schlumberger recorded a pretax credit outside the US of $25 million in 2007. These charges and credits are included in the table above and are more fully described in Note 3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ind w:left="240"/>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benefits</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$ 447</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$ 556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40" w:type="dxa"/>
            <w:vAlign w:val="bottom"/>
          </w:tcPr>
          <w:p>
            <w:pPr>
              <w:spacing w:after="0" w:line="149" w:lineRule="exact"/>
              <w:rPr>
                <w:sz w:val="20"/>
                <w:szCs w:val="20"/>
                <w:color w:val="auto"/>
              </w:rPr>
            </w:pPr>
            <w:r>
              <w:rPr>
                <w:rFonts w:ascii="Arial" w:cs="Arial" w:eastAsia="Arial" w:hAnsi="Arial"/>
                <w:sz w:val="14"/>
                <w:szCs w:val="14"/>
                <w:color w:val="auto"/>
              </w:rPr>
              <w:t>Multiclient seismic data</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w:t>
            </w:r>
          </w:p>
        </w:tc>
        <w:tc>
          <w:tcPr>
            <w:tcW w:w="8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(122)</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40" w:type="dxa"/>
            <w:vAlign w:val="bottom"/>
          </w:tcPr>
          <w:p>
            <w:pPr>
              <w:spacing w:after="0"/>
              <w:rPr>
                <w:sz w:val="20"/>
                <w:szCs w:val="20"/>
                <w:color w:val="auto"/>
              </w:rPr>
            </w:pPr>
            <w:r>
              <w:rPr>
                <w:rFonts w:ascii="Arial" w:cs="Arial" w:eastAsia="Arial" w:hAnsi="Arial"/>
                <w:sz w:val="14"/>
                <w:szCs w:val="14"/>
                <w:color w:val="auto"/>
              </w:rPr>
              <w:t>Other, net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1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$ 530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$ 749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4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above deferred tax assets at December 31, 2009 and 2008 are net of valuation allowances relating to net operating losses in certain countries of $251 million and $197 million, respectively. The deferred tax assets are also net of valuation allowances relating to a capital loss carryforward of $17 million at December 31, 2009 ($140 million at December 31, 2008) which expires in 2010 and a foreign tax credit carryforward of $30 million at December 31, 2009 ($49 million at December 31, 2008) which expires in 2012.</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20" w:type="dxa"/>
            <w:vAlign w:val="bottom"/>
            <w:tcBorders>
              <w:top w:val="single" w:sz="8" w:color="auto"/>
            </w:tcBorders>
          </w:tcPr>
          <w:p>
            <w:pPr>
              <w:spacing w:after="0"/>
              <w:rPr>
                <w:sz w:val="15"/>
                <w:szCs w:val="15"/>
                <w:color w:val="auto"/>
              </w:rPr>
            </w:pPr>
          </w:p>
        </w:tc>
        <w:tc>
          <w:tcPr>
            <w:tcW w:w="6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3620" w:type="dxa"/>
            <w:vAlign w:val="bottom"/>
          </w:tcPr>
          <w:p>
            <w:pPr>
              <w:spacing w:after="0"/>
              <w:rPr>
                <w:sz w:val="6"/>
                <w:szCs w:val="6"/>
                <w:color w:val="auto"/>
              </w:rPr>
            </w:pPr>
          </w:p>
        </w:tc>
        <w:tc>
          <w:tcPr>
            <w:tcW w:w="5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w:t>
            </w:r>
          </w:p>
        </w:tc>
        <w:tc>
          <w:tcPr>
            <w:tcW w:w="5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65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$(191)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453</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6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ind w:left="320"/>
              <w:spacing w:after="0"/>
              <w:rPr>
                <w:sz w:val="20"/>
                <w:szCs w:val="20"/>
                <w:color w:val="auto"/>
              </w:rPr>
            </w:pPr>
            <w:r>
              <w:rPr>
                <w:rFonts w:ascii="Arial" w:cs="Arial" w:eastAsia="Arial" w:hAnsi="Arial"/>
                <w:sz w:val="14"/>
                <w:szCs w:val="14"/>
                <w:color w:val="auto"/>
              </w:rPr>
              <w:t>Outside United States</w:t>
            </w:r>
          </w:p>
        </w:tc>
        <w:tc>
          <w:tcPr>
            <w:tcW w:w="61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594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949</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620" w:type="dxa"/>
            <w:vAlign w:val="bottom"/>
            <w:tcBorders>
              <w:bottom w:val="single" w:sz="8" w:color="808080"/>
            </w:tcBorders>
          </w:tcPr>
          <w:p>
            <w:pPr>
              <w:spacing w:after="0"/>
              <w:rPr>
                <w:sz w:val="7"/>
                <w:szCs w:val="7"/>
                <w:color w:val="auto"/>
              </w:rPr>
            </w:pPr>
          </w:p>
        </w:tc>
        <w:tc>
          <w:tcPr>
            <w:tcW w:w="57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6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$ 397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1,436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1,426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w:t>
            </w:r>
          </w:p>
        </w:tc>
        <w:tc>
          <w:tcPr>
            <w:tcW w:w="5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61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$ 247</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6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320"/>
              <w:spacing w:after="0" w:line="149" w:lineRule="exact"/>
              <w:rPr>
                <w:sz w:val="20"/>
                <w:szCs w:val="20"/>
                <w:color w:val="auto"/>
              </w:rPr>
            </w:pPr>
            <w:r>
              <w:rPr>
                <w:rFonts w:ascii="Arial" w:cs="Arial" w:eastAsia="Arial" w:hAnsi="Arial"/>
                <w:sz w:val="14"/>
                <w:szCs w:val="14"/>
                <w:color w:val="auto"/>
              </w:rPr>
              <w:t>Outside United States</w:t>
            </w:r>
          </w:p>
        </w:tc>
        <w:tc>
          <w:tcPr>
            <w:tcW w:w="61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86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Valuation allowance</w:t>
            </w:r>
          </w:p>
        </w:tc>
        <w:tc>
          <w:tcPr>
            <w:tcW w:w="6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6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$ 373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taxes on income</w:t>
            </w:r>
          </w:p>
        </w:tc>
        <w:tc>
          <w:tcPr>
            <w:tcW w:w="6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$ 770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1,430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1,448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5780" w:type="dxa"/>
            <w:vAlign w:val="bottom"/>
            <w:vMerge w:val="restart"/>
          </w:tcPr>
          <w:p>
            <w:pPr>
              <w:jc w:val="right"/>
              <w:ind w:right="3572"/>
              <w:spacing w:after="0"/>
              <w:rPr>
                <w:sz w:val="20"/>
                <w:szCs w:val="20"/>
                <w:color w:val="auto"/>
              </w:rPr>
            </w:pPr>
            <w:r>
              <w:rPr>
                <w:rFonts w:ascii="Arial" w:cs="Arial" w:eastAsia="Arial" w:hAnsi="Arial"/>
                <w:sz w:val="14"/>
                <w:szCs w:val="14"/>
                <w:color w:val="auto"/>
              </w:rPr>
              <w:t>57</w:t>
            </w:r>
          </w:p>
        </w:tc>
        <w:tc>
          <w:tcPr>
            <w:tcW w:w="36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-292735</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-292735</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-292735</wp:posOffset>
            </wp:positionV>
            <wp:extent cx="3873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-292735</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-292735</wp:posOffset>
            </wp:positionV>
            <wp:extent cx="2159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-292735</wp:posOffset>
            </wp:positionV>
            <wp:extent cx="3873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-292735</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-292735</wp:posOffset>
            </wp:positionV>
            <wp:extent cx="2159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-292735</wp:posOffset>
            </wp:positionV>
            <wp:extent cx="3873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reconciliation of the United States statutory federal tax rate (35%) to the consolidated effective tax rate is: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2009</w:t>
            </w: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76"/>
              </w:rPr>
              <w:t>2008</w:t>
            </w: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statutory federal rate</w:t>
            </w:r>
          </w:p>
        </w:tc>
        <w:tc>
          <w:tcPr>
            <w:tcW w:w="9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35%</w:t>
            </w: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35%</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US state income taxes</w:t>
            </w:r>
          </w:p>
        </w:tc>
        <w:tc>
          <w:tcPr>
            <w:tcW w:w="9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Non-US income taxed at different rates</w:t>
            </w:r>
          </w:p>
        </w:tc>
        <w:tc>
          <w:tcPr>
            <w:tcW w:w="9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(16)</w:t>
            </w:r>
          </w:p>
        </w:tc>
        <w:tc>
          <w:tcPr>
            <w:tcW w:w="9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(13)</w:t>
            </w: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Effect of equity method investment</w:t>
            </w:r>
          </w:p>
        </w:tc>
        <w:tc>
          <w:tcPr>
            <w:tcW w:w="9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w:t>
            </w: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6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60" w:type="dxa"/>
            <w:vAlign w:val="bottom"/>
          </w:tcPr>
          <w:p>
            <w:pPr>
              <w:spacing w:after="0"/>
              <w:rPr>
                <w:sz w:val="20"/>
                <w:szCs w:val="20"/>
                <w:color w:val="auto"/>
              </w:rPr>
            </w:pPr>
            <w:r>
              <w:rPr>
                <w:rFonts w:ascii="Arial" w:cs="Arial" w:eastAsia="Arial" w:hAnsi="Arial"/>
                <w:sz w:val="14"/>
                <w:szCs w:val="14"/>
                <w:color w:val="auto"/>
              </w:rPr>
              <w:t>Other</w:t>
            </w:r>
          </w:p>
        </w:tc>
        <w:tc>
          <w:tcPr>
            <w:tcW w:w="9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(1)</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0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income tax rate</w:t>
            </w:r>
          </w:p>
        </w:tc>
        <w:tc>
          <w:tcPr>
            <w:tcW w:w="9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20%</w:t>
            </w: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21%</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3873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40" w:firstLine="228"/>
        <w:spacing w:after="0" w:line="283" w:lineRule="auto"/>
        <w:rPr>
          <w:sz w:val="20"/>
          <w:szCs w:val="20"/>
          <w:color w:val="auto"/>
        </w:rPr>
      </w:pPr>
      <w:r>
        <w:rPr>
          <w:rFonts w:ascii="Arial" w:cs="Arial" w:eastAsia="Arial" w:hAnsi="Arial"/>
          <w:sz w:val="16"/>
          <w:szCs w:val="16"/>
          <w:color w:val="auto"/>
        </w:rPr>
        <w:t>Schlumberger conducts business in more than 100 jurisdictions, a number of which have tax laws that are not fully defined and are evolving. Due to the geographic breadth of the Schlumberger operations, numerous tax audits may be ongoing throughout the world at any point in time.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1" w:lineRule="exact"/>
        <w:rPr>
          <w:sz w:val="20"/>
          <w:szCs w:val="20"/>
          <w:color w:val="auto"/>
        </w:rPr>
      </w:pPr>
    </w:p>
    <w:p>
      <w:pPr>
        <w:ind w:right="280" w:firstLine="228"/>
        <w:spacing w:after="0" w:line="261" w:lineRule="auto"/>
        <w:rPr>
          <w:sz w:val="20"/>
          <w:szCs w:val="20"/>
          <w:color w:val="auto"/>
        </w:rPr>
      </w:pPr>
      <w:r>
        <w:rPr>
          <w:rFonts w:ascii="Arial" w:cs="Arial" w:eastAsia="Arial" w:hAnsi="Arial"/>
          <w:sz w:val="18"/>
          <w:szCs w:val="18"/>
          <w:color w:val="auto"/>
        </w:rPr>
        <w:t>A reconciliation of the beginning and ending amount of liabilities associated with uncertain tax positions for the years ended December 31, 2009, 2008 and 2007 is as follows: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4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877</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$ 858</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$730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Additions based on tax positions related to the current year</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178</w:t>
            </w:r>
          </w:p>
        </w:tc>
        <w:tc>
          <w:tcPr>
            <w:tcW w:w="4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c>
          <w:tcPr>
            <w:tcW w:w="4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for tax positions of prior years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Impact of changes in exchange rates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460" w:type="dxa"/>
            <w:vAlign w:val="bottom"/>
          </w:tcPr>
          <w:p>
            <w:pPr>
              <w:spacing w:after="0"/>
              <w:rPr>
                <w:sz w:val="12"/>
                <w:szCs w:val="12"/>
                <w:color w:val="auto"/>
              </w:rPr>
            </w:pP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Settlements with tax authorities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(16)</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Reductions for tax positions of prior years</w:t>
            </w:r>
          </w:p>
        </w:tc>
        <w:tc>
          <w:tcPr>
            <w:tcW w:w="60" w:type="dxa"/>
            <w:vAlign w:val="bottom"/>
          </w:tcPr>
          <w:p>
            <w:pPr>
              <w:spacing w:after="0"/>
              <w:rPr>
                <w:sz w:val="12"/>
                <w:szCs w:val="12"/>
                <w:color w:val="auto"/>
              </w:rPr>
            </w:pP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(68)</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(111)</w:t>
            </w: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Reductions due to the lapse of the applicable statute of limitations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(20)</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1,026</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$ 877</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$858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3873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159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3873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-29210</wp:posOffset>
            </wp:positionV>
            <wp:extent cx="2159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amounts above exclude accrued interest and penalties of $168 million, $136 million and $130 million at December 31, 2009, 2008 and 2007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of the unrecognized tax benefits, if recognized, would impact the Schlumberger effective tax rate.</w:t>
      </w:r>
    </w:p>
    <w:p>
      <w:pPr>
        <w:spacing w:after="0" w:line="9" w:lineRule="exact"/>
        <w:rPr>
          <w:sz w:val="20"/>
          <w:szCs w:val="20"/>
          <w:color w:val="auto"/>
        </w:rPr>
      </w:pPr>
    </w:p>
    <w:p>
      <w:pPr>
        <w:ind w:right="420" w:firstLine="228"/>
        <w:spacing w:after="0" w:line="281" w:lineRule="auto"/>
        <w:rPr>
          <w:sz w:val="20"/>
          <w:szCs w:val="20"/>
          <w:color w:val="auto"/>
        </w:rPr>
      </w:pPr>
      <w:r>
        <w:rPr>
          <w:rFonts w:ascii="Arial" w:cs="Arial" w:eastAsia="Arial" w:hAnsi="Arial"/>
          <w:sz w:val="16"/>
          <w:szCs w:val="16"/>
          <w:color w:val="auto"/>
        </w:rPr>
        <w:t xml:space="preserve">Schlumberger classifies interest and penalties relating to uncertain tax positions within </w:t>
      </w:r>
      <w:r>
        <w:rPr>
          <w:rFonts w:ascii="Arial" w:cs="Arial" w:eastAsia="Arial" w:hAnsi="Arial"/>
          <w:sz w:val="16"/>
          <w:szCs w:val="16"/>
          <w:i w:val="1"/>
          <w:iCs w:val="1"/>
          <w:color w:val="auto"/>
        </w:rPr>
        <w:t>Taxes on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During 2009, 2008 and 2007, Schlumberger recognized approximately $32 million, $25 million and $36 million in interest and penalties, respectively.</w:t>
      </w:r>
    </w:p>
    <w:p>
      <w:pPr>
        <w:spacing w:after="0" w:line="1" w:lineRule="exact"/>
        <w:rPr>
          <w:sz w:val="20"/>
          <w:szCs w:val="20"/>
          <w:color w:val="auto"/>
        </w:rPr>
      </w:pPr>
    </w:p>
    <w:p>
      <w:pPr>
        <w:ind w:right="80" w:firstLine="228"/>
        <w:spacing w:after="0" w:line="261" w:lineRule="auto"/>
        <w:rPr>
          <w:sz w:val="20"/>
          <w:szCs w:val="20"/>
          <w:color w:val="auto"/>
        </w:rPr>
      </w:pPr>
      <w:r>
        <w:rPr>
          <w:rFonts w:ascii="Arial" w:cs="Arial" w:eastAsia="Arial" w:hAnsi="Arial"/>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2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Brazil</w:t>
            </w:r>
          </w:p>
        </w:tc>
        <w:tc>
          <w:tcPr>
            <w:tcW w:w="5980" w:type="dxa"/>
            <w:vAlign w:val="bottom"/>
            <w:shd w:val="clear" w:color="auto" w:fill="CCEEFF"/>
          </w:tcPr>
          <w:p>
            <w:pPr>
              <w:ind w:left="5320"/>
              <w:spacing w:after="0"/>
              <w:rPr>
                <w:sz w:val="20"/>
                <w:szCs w:val="20"/>
                <w:color w:val="auto"/>
              </w:rPr>
            </w:pPr>
            <w:r>
              <w:rPr>
                <w:rFonts w:ascii="Arial" w:cs="Arial" w:eastAsia="Arial" w:hAnsi="Arial"/>
                <w:sz w:val="14"/>
                <w:szCs w:val="14"/>
                <w:color w:val="auto"/>
                <w:w w:val="82"/>
              </w:rPr>
              <w:t>2004 – 2009</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Canada</w:t>
            </w:r>
          </w:p>
        </w:tc>
        <w:tc>
          <w:tcPr>
            <w:tcW w:w="5980" w:type="dxa"/>
            <w:vAlign w:val="bottom"/>
          </w:tcPr>
          <w:p>
            <w:pPr>
              <w:ind w:left="5320"/>
              <w:spacing w:after="0" w:line="149" w:lineRule="exact"/>
              <w:rPr>
                <w:sz w:val="20"/>
                <w:szCs w:val="20"/>
                <w:color w:val="auto"/>
              </w:rPr>
            </w:pPr>
            <w:r>
              <w:rPr>
                <w:rFonts w:ascii="Arial" w:cs="Arial" w:eastAsia="Arial" w:hAnsi="Arial"/>
                <w:sz w:val="14"/>
                <w:szCs w:val="14"/>
                <w:color w:val="auto"/>
                <w:w w:val="82"/>
              </w:rPr>
              <w:t>2002 – 2009</w:t>
            </w:r>
          </w:p>
        </w:tc>
      </w:tr>
      <w:tr>
        <w:trPr>
          <w:trHeight w:val="149"/>
        </w:trPr>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Mexico</w:t>
            </w:r>
          </w:p>
        </w:tc>
        <w:tc>
          <w:tcPr>
            <w:tcW w:w="5980" w:type="dxa"/>
            <w:vAlign w:val="bottom"/>
            <w:shd w:val="clear" w:color="auto" w:fill="CCEEFF"/>
          </w:tcPr>
          <w:p>
            <w:pPr>
              <w:ind w:left="5320"/>
              <w:spacing w:after="0" w:line="149" w:lineRule="exact"/>
              <w:rPr>
                <w:sz w:val="20"/>
                <w:szCs w:val="20"/>
                <w:color w:val="auto"/>
              </w:rPr>
            </w:pPr>
            <w:r>
              <w:rPr>
                <w:rFonts w:ascii="Arial" w:cs="Arial" w:eastAsia="Arial" w:hAnsi="Arial"/>
                <w:sz w:val="14"/>
                <w:szCs w:val="14"/>
                <w:color w:val="auto"/>
                <w:w w:val="82"/>
              </w:rPr>
              <w:t>2004 – 2009</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Russia</w:t>
            </w:r>
          </w:p>
        </w:tc>
        <w:tc>
          <w:tcPr>
            <w:tcW w:w="5980" w:type="dxa"/>
            <w:vAlign w:val="bottom"/>
          </w:tcPr>
          <w:p>
            <w:pPr>
              <w:ind w:left="5320"/>
              <w:spacing w:after="0" w:line="149" w:lineRule="exact"/>
              <w:rPr>
                <w:sz w:val="20"/>
                <w:szCs w:val="20"/>
                <w:color w:val="auto"/>
              </w:rPr>
            </w:pPr>
            <w:r>
              <w:rPr>
                <w:rFonts w:ascii="Arial" w:cs="Arial" w:eastAsia="Arial" w:hAnsi="Arial"/>
                <w:sz w:val="14"/>
                <w:szCs w:val="14"/>
                <w:color w:val="auto"/>
                <w:w w:val="82"/>
              </w:rPr>
              <w:t>2006 – 2009</w:t>
            </w:r>
          </w:p>
        </w:tc>
      </w:tr>
      <w:tr>
        <w:trPr>
          <w:trHeight w:val="149"/>
        </w:trPr>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Saudi Arabia</w:t>
            </w:r>
          </w:p>
        </w:tc>
        <w:tc>
          <w:tcPr>
            <w:tcW w:w="5980" w:type="dxa"/>
            <w:vAlign w:val="bottom"/>
            <w:shd w:val="clear" w:color="auto" w:fill="CCEEFF"/>
          </w:tcPr>
          <w:p>
            <w:pPr>
              <w:ind w:left="5320"/>
              <w:spacing w:after="0" w:line="149" w:lineRule="exact"/>
              <w:rPr>
                <w:sz w:val="20"/>
                <w:szCs w:val="20"/>
                <w:color w:val="auto"/>
              </w:rPr>
            </w:pPr>
            <w:r>
              <w:rPr>
                <w:rFonts w:ascii="Arial" w:cs="Arial" w:eastAsia="Arial" w:hAnsi="Arial"/>
                <w:sz w:val="14"/>
                <w:szCs w:val="14"/>
                <w:color w:val="auto"/>
                <w:w w:val="82"/>
              </w:rPr>
              <w:t>2003 – 2009</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United Kingdom</w:t>
            </w:r>
          </w:p>
        </w:tc>
        <w:tc>
          <w:tcPr>
            <w:tcW w:w="5980" w:type="dxa"/>
            <w:vAlign w:val="bottom"/>
          </w:tcPr>
          <w:p>
            <w:pPr>
              <w:ind w:left="5320"/>
              <w:spacing w:after="0" w:line="149" w:lineRule="exact"/>
              <w:rPr>
                <w:sz w:val="20"/>
                <w:szCs w:val="20"/>
                <w:color w:val="auto"/>
              </w:rPr>
            </w:pPr>
            <w:r>
              <w:rPr>
                <w:rFonts w:ascii="Arial" w:cs="Arial" w:eastAsia="Arial" w:hAnsi="Arial"/>
                <w:sz w:val="14"/>
                <w:szCs w:val="14"/>
                <w:color w:val="auto"/>
                <w:w w:val="82"/>
              </w:rPr>
              <w:t>2006 – 2009</w:t>
            </w:r>
          </w:p>
        </w:tc>
      </w:tr>
      <w:tr>
        <w:trPr>
          <w:trHeight w:val="149"/>
        </w:trPr>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5980" w:type="dxa"/>
            <w:vAlign w:val="bottom"/>
            <w:shd w:val="clear" w:color="auto" w:fill="CCEEFF"/>
          </w:tcPr>
          <w:p>
            <w:pPr>
              <w:ind w:left="5320"/>
              <w:spacing w:after="0" w:line="149" w:lineRule="exact"/>
              <w:rPr>
                <w:sz w:val="20"/>
                <w:szCs w:val="20"/>
                <w:color w:val="auto"/>
              </w:rPr>
            </w:pPr>
            <w:r>
              <w:rPr>
                <w:rFonts w:ascii="Arial" w:cs="Arial" w:eastAsia="Arial" w:hAnsi="Arial"/>
                <w:sz w:val="14"/>
                <w:szCs w:val="14"/>
                <w:color w:val="auto"/>
                <w:w w:val="82"/>
              </w:rPr>
              <w:t>2005 – 2009</w:t>
            </w:r>
          </w:p>
        </w:tc>
      </w:tr>
      <w:tr>
        <w:trPr>
          <w:trHeight w:val="310"/>
        </w:trPr>
        <w:tc>
          <w:tcPr>
            <w:tcW w:w="2560" w:type="dxa"/>
            <w:vAlign w:val="bottom"/>
          </w:tcPr>
          <w:p>
            <w:pPr>
              <w:spacing w:after="0"/>
              <w:rPr>
                <w:sz w:val="24"/>
                <w:szCs w:val="24"/>
                <w:color w:val="auto"/>
              </w:rPr>
            </w:pPr>
          </w:p>
        </w:tc>
        <w:tc>
          <w:tcPr>
            <w:tcW w:w="5980" w:type="dxa"/>
            <w:vAlign w:val="bottom"/>
          </w:tcPr>
          <w:p>
            <w:pPr>
              <w:ind w:left="1640"/>
              <w:spacing w:after="0"/>
              <w:rPr>
                <w:sz w:val="20"/>
                <w:szCs w:val="20"/>
                <w:color w:val="auto"/>
              </w:rPr>
            </w:pPr>
            <w:r>
              <w:rPr>
                <w:rFonts w:ascii="Arial" w:cs="Arial" w:eastAsia="Arial" w:hAnsi="Arial"/>
                <w:sz w:val="14"/>
                <w:szCs w:val="14"/>
                <w:color w:val="auto"/>
              </w:rPr>
              <w:t>58</w:t>
            </w: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In certain of the jurisdictions noted above, Schlumberger operates through more than one legal entity, each of which has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119"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Lease Commitments</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rental expense was $1.0 billion in 2009, $1.1 billion in 2008, and $913 million in 2007. Future minimum rental commitments under noncancelable operating leases for each of the next five years are as follows: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11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2010</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6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60" w:type="dxa"/>
            <w:vAlign w:val="bottom"/>
          </w:tcPr>
          <w:p>
            <w:pPr>
              <w:spacing w:after="0" w:line="149"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060" w:type="dxa"/>
            <w:vAlign w:val="bottom"/>
          </w:tcPr>
          <w:p>
            <w:pPr>
              <w:spacing w:after="0"/>
              <w:rPr>
                <w:sz w:val="20"/>
                <w:szCs w:val="20"/>
                <w:color w:val="auto"/>
              </w:rPr>
            </w:pPr>
            <w:r>
              <w:rPr>
                <w:rFonts w:ascii="Arial" w:cs="Arial" w:eastAsia="Arial" w:hAnsi="Arial"/>
                <w:sz w:val="14"/>
                <w:szCs w:val="14"/>
                <w:color w:val="auto"/>
              </w:rPr>
              <w:t>Thereafter</w:t>
            </w: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94"/>
              </w:rPr>
              <w:t>258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1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958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0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currently continuing its own investigation with respect to these services.</w:t>
      </w:r>
    </w:p>
    <w:p>
      <w:pPr>
        <w:spacing w:after="0" w:line="1" w:lineRule="exact"/>
        <w:rPr>
          <w:sz w:val="20"/>
          <w:szCs w:val="20"/>
          <w:color w:val="auto"/>
        </w:rPr>
      </w:pPr>
    </w:p>
    <w:p>
      <w:pPr>
        <w:ind w:right="600" w:firstLine="228"/>
        <w:spacing w:after="0" w:line="250" w:lineRule="auto"/>
        <w:rPr>
          <w:sz w:val="20"/>
          <w:szCs w:val="20"/>
          <w:color w:val="auto"/>
        </w:rPr>
      </w:pPr>
      <w:r>
        <w:rPr>
          <w:rFonts w:ascii="Arial" w:cs="Arial" w:eastAsia="Arial" w:hAnsi="Arial"/>
          <w:sz w:val="18"/>
          <w:szCs w:val="18"/>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Schlumberger is cooperating with the governmental authorities and is currently unable to predict the outcome of these matters.</w:t>
      </w:r>
    </w:p>
    <w:p>
      <w:pPr>
        <w:spacing w:after="0" w:line="1" w:lineRule="exact"/>
        <w:rPr>
          <w:sz w:val="20"/>
          <w:szCs w:val="20"/>
          <w:color w:val="auto"/>
        </w:rPr>
      </w:pPr>
    </w:p>
    <w:p>
      <w:pPr>
        <w:jc w:val="both"/>
        <w:ind w:right="40" w:firstLine="228"/>
        <w:spacing w:after="0" w:line="295" w:lineRule="auto"/>
        <w:rPr>
          <w:sz w:val="20"/>
          <w:szCs w:val="20"/>
          <w:color w:val="auto"/>
        </w:rPr>
      </w:pPr>
      <w:r>
        <w:rPr>
          <w:rFonts w:ascii="Arial" w:cs="Arial" w:eastAsia="Arial" w:hAnsi="Arial"/>
          <w:sz w:val="16"/>
          <w:szCs w:val="16"/>
          <w:color w:val="auto"/>
        </w:rPr>
        <w:t>Schlumberger and its subsidiaries are party to various other legal proceedings from time to time. A liability is accrued when a loss is both probable and can be reasonably estimated. At this time the ultimate disposition of these proceedings is not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91"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5"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The Oilfield Services segment falls into four clearly defined economic and geographical areas and is evaluated on the following basis: North America, Latin America, Europe including the CIS and Africa, and Middle East &amp; Asia. The Oilfield Services segment provides virtually all exploration and production services required during the life of an oil and gas reservoir.</w:t>
      </w:r>
    </w:p>
    <w:p>
      <w:pPr>
        <w:spacing w:after="0" w:line="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The WesternGeco segment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Financial information for the years ended December 31, 2009, 2008 and 2007, by segment, is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40" w:type="dxa"/>
            <w:vAlign w:val="bottom"/>
            <w:tcBorders>
              <w:top w:val="single" w:sz="8" w:color="auto"/>
            </w:tcBorders>
          </w:tcPr>
          <w:p>
            <w:pPr>
              <w:spacing w:after="0"/>
              <w:rPr>
                <w:sz w:val="15"/>
                <w:szCs w:val="15"/>
                <w:color w:val="auto"/>
              </w:rPr>
            </w:pPr>
          </w:p>
        </w:tc>
        <w:tc>
          <w:tcPr>
            <w:tcW w:w="3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312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8"/>
              </w:rPr>
              <w:t>before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Depn. &amp;</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50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taxes</w:t>
            </w:r>
          </w:p>
        </w:tc>
        <w:tc>
          <w:tcPr>
            <w:tcW w:w="60" w:type="dxa"/>
            <w:vAlign w:val="bottom"/>
          </w:tcPr>
          <w:p>
            <w:pPr>
              <w:spacing w:after="0"/>
              <w:rPr>
                <w:sz w:val="15"/>
                <w:szCs w:val="15"/>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78"/>
              </w:rPr>
              <w:t>Assets</w:t>
            </w:r>
          </w:p>
        </w:tc>
        <w:tc>
          <w:tcPr>
            <w:tcW w:w="2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Amortn.</w:t>
            </w:r>
          </w:p>
        </w:tc>
        <w:tc>
          <w:tcPr>
            <w:tcW w:w="2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3180" w:type="dxa"/>
            <w:vAlign w:val="bottom"/>
            <w:gridSpan w:val="2"/>
          </w:tcPr>
          <w:p>
            <w:pPr>
              <w:ind w:left="312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3,707</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216</w:t>
            </w: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2,264</w:t>
            </w:r>
          </w:p>
        </w:tc>
        <w:tc>
          <w:tcPr>
            <w:tcW w:w="52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220" w:type="dxa"/>
            <w:vAlign w:val="bottom"/>
          </w:tcPr>
          <w:p>
            <w:pPr>
              <w:spacing w:after="0"/>
              <w:rPr>
                <w:sz w:val="12"/>
                <w:szCs w:val="12"/>
                <w:color w:val="auto"/>
              </w:rPr>
            </w:pP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7,150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1,707</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4,603</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653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3,162</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w:t>
            </w:r>
          </w:p>
        </w:tc>
        <w:tc>
          <w:tcPr>
            <w:tcW w:w="1440" w:type="dxa"/>
            <w:vAlign w:val="bottom"/>
            <w:gridSpan w:val="3"/>
          </w:tcPr>
          <w:p>
            <w:pPr>
              <w:jc w:val="right"/>
              <w:ind w:right="460"/>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1,630</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40" w:type="dxa"/>
            <w:vAlign w:val="bottom"/>
            <w:tcBorders>
              <w:bottom w:val="single" w:sz="8" w:color="808080"/>
            </w:tcBorders>
          </w:tcPr>
          <w:p>
            <w:pPr>
              <w:spacing w:after="0"/>
              <w:rPr>
                <w:sz w:val="7"/>
                <w:szCs w:val="7"/>
                <w:color w:val="auto"/>
              </w:rPr>
            </w:pPr>
          </w:p>
        </w:tc>
        <w:tc>
          <w:tcPr>
            <w:tcW w:w="31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20,518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4,326</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14,776</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3,065</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Goodwill and Intangible assets</w:t>
            </w: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6,091</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 assets</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Corporate</w:t>
            </w: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4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(344)</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7,660</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(188)</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(238)</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3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$ 22,702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$ 3,934</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33,465</w:t>
            </w:r>
          </w:p>
        </w:tc>
        <w:tc>
          <w:tcPr>
            <w:tcW w:w="5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(Stated in millions)</w:t>
            </w:r>
          </w:p>
        </w:tc>
        <w:tc>
          <w:tcPr>
            <w:tcW w:w="31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366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40" w:type="dxa"/>
            <w:vAlign w:val="bottom"/>
            <w:tcBorders>
              <w:top w:val="single" w:sz="8" w:color="auto"/>
            </w:tcBorders>
          </w:tcPr>
          <w:p>
            <w:pPr>
              <w:spacing w:after="0"/>
              <w:rPr>
                <w:sz w:val="14"/>
                <w:szCs w:val="14"/>
                <w:color w:val="auto"/>
              </w:rPr>
            </w:pPr>
          </w:p>
        </w:tc>
        <w:tc>
          <w:tcPr>
            <w:tcW w:w="3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gridSpan w:val="2"/>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8"/>
              </w:rPr>
              <w:t>before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Depn. &amp;</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50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taxes</w:t>
            </w:r>
          </w:p>
        </w:tc>
        <w:tc>
          <w:tcPr>
            <w:tcW w:w="60" w:type="dxa"/>
            <w:vAlign w:val="bottom"/>
          </w:tcPr>
          <w:p>
            <w:pPr>
              <w:spacing w:after="0"/>
              <w:rPr>
                <w:sz w:val="15"/>
                <w:szCs w:val="15"/>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78"/>
              </w:rPr>
              <w:t>Assets</w:t>
            </w:r>
          </w:p>
        </w:tc>
        <w:tc>
          <w:tcPr>
            <w:tcW w:w="2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Amortn.</w:t>
            </w:r>
          </w:p>
        </w:tc>
        <w:tc>
          <w:tcPr>
            <w:tcW w:w="2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3180" w:type="dxa"/>
            <w:vAlign w:val="bottom"/>
            <w:gridSpan w:val="2"/>
          </w:tcPr>
          <w:p>
            <w:pPr>
              <w:ind w:left="312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5,914</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$ 1,371</w:t>
            </w: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2,728</w:t>
            </w:r>
          </w:p>
        </w:tc>
        <w:tc>
          <w:tcPr>
            <w:tcW w:w="52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220" w:type="dxa"/>
            <w:vAlign w:val="bottom"/>
          </w:tcPr>
          <w:p>
            <w:pPr>
              <w:spacing w:after="0"/>
              <w:rPr>
                <w:sz w:val="12"/>
                <w:szCs w:val="12"/>
                <w:color w:val="auto"/>
              </w:rPr>
            </w:pP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8,180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2,244</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4,410</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2,014</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40" w:type="dxa"/>
            <w:vAlign w:val="bottom"/>
            <w:tcBorders>
              <w:bottom w:val="single" w:sz="8" w:color="808080"/>
            </w:tcBorders>
          </w:tcPr>
          <w:p>
            <w:pPr>
              <w:spacing w:after="0"/>
              <w:rPr>
                <w:sz w:val="7"/>
                <w:szCs w:val="7"/>
                <w:color w:val="auto"/>
              </w:rPr>
            </w:pPr>
          </w:p>
        </w:tc>
        <w:tc>
          <w:tcPr>
            <w:tcW w:w="31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24,282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6,505</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15,184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836</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2,956</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Goodwill and Intangible assets</w:t>
            </w: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6,009</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 assets</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Corporate</w:t>
            </w: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4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(268)</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6,031</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(217)</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3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(116)</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3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$ 27,163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$ 6,852</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32,094</w:t>
            </w:r>
          </w:p>
        </w:tc>
        <w:tc>
          <w:tcPr>
            <w:tcW w:w="5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2,269</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120" w:type="dxa"/>
            <w:vAlign w:val="bottom"/>
            <w:vMerge w:val="restart"/>
          </w:tcPr>
          <w:p>
            <w:pPr>
              <w:jc w:val="right"/>
              <w:ind w:right="939"/>
              <w:spacing w:after="0"/>
              <w:rPr>
                <w:sz w:val="20"/>
                <w:szCs w:val="20"/>
                <w:color w:val="auto"/>
              </w:rPr>
            </w:pPr>
            <w:r>
              <w:rPr>
                <w:rFonts w:ascii="Arial" w:cs="Arial" w:eastAsia="Arial" w:hAnsi="Arial"/>
                <w:sz w:val="14"/>
                <w:szCs w:val="14"/>
                <w:color w:val="auto"/>
              </w:rPr>
              <w:t>60</w:t>
            </w:r>
          </w:p>
        </w:tc>
        <w:tc>
          <w:tcPr>
            <w:tcW w:w="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-3140075</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-3140075</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-3140075</wp:posOffset>
            </wp:positionV>
            <wp:extent cx="2159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-3140075</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-3140075</wp:posOffset>
            </wp:positionV>
            <wp:extent cx="2159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-3140075</wp:posOffset>
            </wp:positionV>
            <wp:extent cx="3873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-3140075</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-3140075</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-3140075</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-3140075</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-3140075</wp:posOffset>
            </wp:positionV>
            <wp:extent cx="2159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-3140075</wp:posOffset>
            </wp:positionV>
            <wp:extent cx="3873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-3140075</wp:posOffset>
            </wp:positionV>
            <wp:extent cx="46736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-292735</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-292735</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-292735</wp:posOffset>
            </wp:positionV>
            <wp:extent cx="2159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-292735</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-292735</wp:posOffset>
            </wp:positionV>
            <wp:extent cx="2159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-292735</wp:posOffset>
            </wp:positionV>
            <wp:extent cx="3873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-292735</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-292735</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-292735</wp:posOffset>
            </wp:positionV>
            <wp:extent cx="2159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-292735</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-292735</wp:posOffset>
            </wp:positionV>
            <wp:extent cx="2159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-292735</wp:posOffset>
            </wp:positionV>
            <wp:extent cx="38735"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-292735</wp:posOffset>
            </wp:positionV>
            <wp:extent cx="46736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6736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Income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before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Depn. &amp;</w:t>
            </w:r>
          </w:p>
        </w:tc>
        <w:tc>
          <w:tcPr>
            <w:tcW w:w="20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52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taxes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8"/>
              </w:rPr>
              <w:t>Assets</w:t>
            </w:r>
          </w:p>
        </w:tc>
        <w:tc>
          <w:tcPr>
            <w:tcW w:w="22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Amortn.</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5,345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$ 1,537</w:t>
            </w:r>
          </w:p>
        </w:tc>
        <w:tc>
          <w:tcPr>
            <w:tcW w:w="2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2,369</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367</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1,951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185</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6,602</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3,489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451</w:t>
            </w:r>
          </w:p>
        </w:tc>
        <w:tc>
          <w:tcPr>
            <w:tcW w:w="2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4,869</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2,874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393</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20" w:type="dxa"/>
            <w:vAlign w:val="bottom"/>
          </w:tcPr>
          <w:p>
            <w:pPr>
              <w:ind w:left="32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1,706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20,306</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5,959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3"/>
              </w:rPr>
              <w:t>12,389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1,401</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2,557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2,963</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2,650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546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Goodwill and Intangible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6,045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1,748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Corporate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(311)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5,021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(268)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23,277</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$ 6,625</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3"/>
              </w:rPr>
              <w:t>27,853</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1,954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2159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3873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28702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32131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260" w:firstLine="228"/>
        <w:spacing w:after="0" w:line="254" w:lineRule="auto"/>
        <w:rPr>
          <w:sz w:val="20"/>
          <w:szCs w:val="20"/>
          <w:color w:val="auto"/>
        </w:rPr>
      </w:pPr>
      <w:r>
        <w:rPr>
          <w:rFonts w:ascii="Arial" w:cs="Arial" w:eastAsia="Arial" w:hAnsi="Arial"/>
          <w:sz w:val="18"/>
          <w:szCs w:val="18"/>
          <w:color w:val="auto"/>
        </w:rPr>
        <w:t>Oilfield Services Other include certain headquarter administrative costs which are not allocated geographically, manufacturing and certain other operations, and other cost and income items maintained at the Oilfield Services level.</w:t>
      </w:r>
    </w:p>
    <w:p>
      <w:pPr>
        <w:jc w:val="both"/>
        <w:ind w:right="40" w:firstLine="228"/>
        <w:spacing w:after="0" w:line="250" w:lineRule="auto"/>
        <w:rPr>
          <w:sz w:val="20"/>
          <w:szCs w:val="20"/>
          <w:color w:val="auto"/>
        </w:rPr>
      </w:pPr>
      <w:r>
        <w:rPr>
          <w:rFonts w:ascii="Arial" w:cs="Arial" w:eastAsia="Arial" w:hAnsi="Arial"/>
          <w:sz w:val="18"/>
          <w:szCs w:val="18"/>
          <w:color w:val="auto"/>
        </w:rPr>
        <w:t>Corporate and Other is comprised principally of corporate expenses as well as interest income and interest expense not allocated to the segments in addition to interest on postretirement medical benefits, stock-based compensation costs and certain other nonoperating expenses. Corporate assets consist of cash, short-term investments, fixed income investments, held to maturity and investments in affiliates.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Segments assets consist of receivables, inventories, fixed assets and multiclient seismic data.</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each of the three years ended December 31, 2009, no single customer exceeded 10% of consolidated revenue.</w:t>
      </w:r>
    </w:p>
    <w:p>
      <w:pPr>
        <w:spacing w:after="0" w:line="9"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Schlumberger did not have revenue from third-party customers in its country of domicile during the last three years. Revenue in the United States in 2009, 2008 and 2007 was $3.7 billion, $5.9 billion and $5.6 billion, respectively.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income excludes amounts which are included in the segments’ income (2009 – $10 million: 2008 – $7 million; 2007 – $2 million).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 excludes amounts which are included in the segments’ income (2009 – $33 million; 2008 – $30 million; 2007 – $7 million).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&amp; Amortization includes multiclient seismic data costs.</w:t>
      </w:r>
    </w:p>
    <w:p>
      <w:pPr>
        <w:spacing w:after="0" w:line="141"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Benefit Plans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w:t>
      </w:r>
    </w:p>
    <w:p>
      <w:pPr>
        <w:spacing w:after="0" w:line="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Schlumberger sponsors several defined benefit pension plans that cover substantially all U.S. employees hired prior to October 1, 2004. The benefits are based on years of service and compensation, on a career-average pay basis.</w:t>
      </w:r>
    </w:p>
    <w:p>
      <w:pPr>
        <w:ind w:right="440" w:firstLine="228"/>
        <w:spacing w:after="0" w:line="361" w:lineRule="auto"/>
        <w:rPr>
          <w:sz w:val="20"/>
          <w:szCs w:val="20"/>
          <w:color w:val="auto"/>
        </w:rPr>
      </w:pPr>
      <w:r>
        <w:rPr>
          <w:rFonts w:ascii="Arial" w:cs="Arial" w:eastAsia="Arial" w:hAnsi="Arial"/>
          <w:sz w:val="15"/>
          <w:szCs w:val="15"/>
          <w:color w:val="auto"/>
        </w:rPr>
        <w:t>In addition to the United States defined benefit pension plans, Schlumberger sponsors several other international defined benefit pension plans. The most significant of these international plans are the International Staff Pension Plan, which was converted from a defined contribution plan to a defined benefit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pension plan during the fourth quarter of 2008, and the UK pension plan (collectively, the “International plans”). The International Staff Pension Plan covers certain international employees and is based on years of service and compensation on a career-average pay basis. The UK plan covers employees hired prior to April 1, 1999, and is based on years of service and compensation, on a final salary basis.</w:t>
      </w:r>
    </w:p>
    <w:p>
      <w:pPr>
        <w:ind w:right="520" w:firstLine="228"/>
        <w:spacing w:after="0" w:line="261" w:lineRule="auto"/>
        <w:rPr>
          <w:sz w:val="20"/>
          <w:szCs w:val="20"/>
          <w:color w:val="auto"/>
        </w:rPr>
      </w:pPr>
      <w:r>
        <w:rPr>
          <w:rFonts w:ascii="Arial" w:cs="Arial" w:eastAsia="Arial" w:hAnsi="Arial"/>
          <w:sz w:val="18"/>
          <w:szCs w:val="18"/>
          <w:color w:val="auto"/>
        </w:rPr>
        <w:t>The weighted-average assumed discount rate, compensation increases and the expected long-term rate of return on plan assets used to determine the net pension cost for the US and International plans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6"/>
          </w:tcPr>
          <w:p>
            <w:pPr>
              <w:ind w:left="300"/>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gridSpan w:val="2"/>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5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w w:val="76"/>
              </w:rPr>
              <w:t>2009</w:t>
            </w:r>
          </w:p>
        </w:tc>
        <w:tc>
          <w:tcPr>
            <w:tcW w:w="120" w:type="dxa"/>
            <w:vAlign w:val="bottom"/>
          </w:tcPr>
          <w:p>
            <w:pPr>
              <w:spacing w:after="0"/>
              <w:rPr>
                <w:sz w:val="22"/>
                <w:szCs w:val="22"/>
                <w:color w:val="auto"/>
              </w:rPr>
            </w:pPr>
          </w:p>
        </w:tc>
        <w:tc>
          <w:tcPr>
            <w:tcW w:w="6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22"/>
                <w:szCs w:val="22"/>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83"/>
              </w:rPr>
              <w:t>2009</w:t>
            </w:r>
          </w:p>
        </w:tc>
        <w:tc>
          <w:tcPr>
            <w:tcW w:w="60" w:type="dxa"/>
            <w:vAlign w:val="bottom"/>
          </w:tcPr>
          <w:p>
            <w:pPr>
              <w:spacing w:after="0"/>
              <w:rPr>
                <w:sz w:val="22"/>
                <w:szCs w:val="22"/>
                <w:color w:val="auto"/>
              </w:rPr>
            </w:pPr>
          </w:p>
        </w:tc>
        <w:tc>
          <w:tcPr>
            <w:tcW w:w="6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22"/>
                <w:szCs w:val="22"/>
                <w:color w:val="auto"/>
              </w:rPr>
            </w:pPr>
          </w:p>
        </w:tc>
        <w:tc>
          <w:tcPr>
            <w:tcW w:w="40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 rate</w:t>
            </w:r>
          </w:p>
        </w:tc>
        <w:tc>
          <w:tcPr>
            <w:tcW w:w="54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95"/>
              </w:rPr>
              <w:t>6.94%</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6.81%</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240" w:type="dxa"/>
            <w:vAlign w:val="bottom"/>
            <w:shd w:val="clear" w:color="auto" w:fill="CCEEFF"/>
          </w:tcPr>
          <w:p>
            <w:pPr>
              <w:spacing w:after="0"/>
              <w:rPr>
                <w:sz w:val="12"/>
                <w:szCs w:val="12"/>
                <w:color w:val="auto"/>
              </w:rPr>
            </w:pPr>
          </w:p>
        </w:tc>
        <w:tc>
          <w:tcPr>
            <w:tcW w:w="48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540" w:type="dxa"/>
            <w:vAlign w:val="bottom"/>
            <w:gridSpan w:val="3"/>
          </w:tcPr>
          <w:p>
            <w:pPr>
              <w:jc w:val="right"/>
              <w:ind w:right="72"/>
              <w:spacing w:after="0" w:line="149" w:lineRule="exact"/>
              <w:rPr>
                <w:sz w:val="20"/>
                <w:szCs w:val="20"/>
                <w:color w:val="auto"/>
              </w:rPr>
            </w:pPr>
            <w:r>
              <w:rPr>
                <w:rFonts w:ascii="Arial" w:cs="Arial" w:eastAsia="Arial" w:hAnsi="Arial"/>
                <w:sz w:val="14"/>
                <w:szCs w:val="14"/>
                <w:b w:val="1"/>
                <w:bCs w:val="1"/>
                <w:color w:val="auto"/>
                <w:w w:val="95"/>
              </w:rPr>
              <w:t>4.00%</w:t>
            </w:r>
          </w:p>
        </w:tc>
        <w:tc>
          <w:tcPr>
            <w:tcW w:w="120" w:type="dxa"/>
            <w:vAlign w:val="bottom"/>
          </w:tcPr>
          <w:p>
            <w:pPr>
              <w:spacing w:after="0"/>
              <w:rPr>
                <w:sz w:val="12"/>
                <w:szCs w:val="12"/>
                <w:color w:val="auto"/>
              </w:rPr>
            </w:pPr>
          </w:p>
        </w:tc>
        <w:tc>
          <w:tcPr>
            <w:tcW w:w="62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2"/>
                <w:szCs w:val="12"/>
                <w:color w:val="auto"/>
              </w:rPr>
            </w:pPr>
          </w:p>
        </w:tc>
        <w:tc>
          <w:tcPr>
            <w:tcW w:w="580" w:type="dxa"/>
            <w:vAlign w:val="bottom"/>
            <w:gridSpan w:val="4"/>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ind w:right="32"/>
              <w:spacing w:after="0" w:line="149" w:lineRule="exact"/>
              <w:rPr>
                <w:sz w:val="20"/>
                <w:szCs w:val="20"/>
                <w:color w:val="auto"/>
              </w:rPr>
            </w:pPr>
            <w:r>
              <w:rPr>
                <w:rFonts w:ascii="Arial" w:cs="Arial" w:eastAsia="Arial" w:hAnsi="Arial"/>
                <w:sz w:val="14"/>
                <w:szCs w:val="14"/>
                <w:b w:val="1"/>
                <w:bCs w:val="1"/>
                <w:color w:val="auto"/>
              </w:rPr>
              <w:t>4.93%</w:t>
            </w:r>
          </w:p>
        </w:tc>
        <w:tc>
          <w:tcPr>
            <w:tcW w:w="6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4.90%</w:t>
            </w:r>
          </w:p>
        </w:tc>
        <w:tc>
          <w:tcPr>
            <w:tcW w:w="240" w:type="dxa"/>
            <w:vAlign w:val="bottom"/>
          </w:tcPr>
          <w:p>
            <w:pPr>
              <w:spacing w:after="0"/>
              <w:rPr>
                <w:sz w:val="12"/>
                <w:szCs w:val="12"/>
                <w:color w:val="auto"/>
              </w:rPr>
            </w:pPr>
          </w:p>
        </w:tc>
        <w:tc>
          <w:tcPr>
            <w:tcW w:w="48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54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95"/>
              </w:rPr>
              <w:t>8.50%</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8.50%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8.35%</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240" w:type="dxa"/>
            <w:vAlign w:val="bottom"/>
            <w:shd w:val="clear" w:color="auto" w:fill="CCEEFF"/>
          </w:tcPr>
          <w:p>
            <w:pPr>
              <w:spacing w:after="0"/>
              <w:rPr>
                <w:sz w:val="12"/>
                <w:szCs w:val="12"/>
                <w:color w:val="auto"/>
              </w:rPr>
            </w:pPr>
          </w:p>
        </w:tc>
        <w:tc>
          <w:tcPr>
            <w:tcW w:w="48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220" w:type="dxa"/>
            <w:vAlign w:val="bottom"/>
          </w:tcPr>
          <w:p>
            <w:pPr>
              <w:ind w:left="220"/>
              <w:spacing w:after="0"/>
              <w:rPr>
                <w:sz w:val="20"/>
                <w:szCs w:val="20"/>
                <w:color w:val="auto"/>
              </w:rPr>
            </w:pPr>
            <w:r>
              <w:rPr>
                <w:rFonts w:ascii="Arial" w:cs="Arial" w:eastAsia="Arial" w:hAnsi="Arial"/>
                <w:sz w:val="18"/>
                <w:szCs w:val="18"/>
                <w:color w:val="auto"/>
              </w:rPr>
              <w:t>Net pension cost for 2009, 2008 and 2007 included the following components: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US</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gridSpan w:val="3"/>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3"/>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22"/>
                <w:szCs w:val="22"/>
                <w:color w:val="auto"/>
              </w:rPr>
            </w:pPr>
          </w:p>
        </w:tc>
        <w:tc>
          <w:tcPr>
            <w:tcW w:w="5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22"/>
                <w:szCs w:val="22"/>
                <w:color w:val="auto"/>
              </w:rPr>
            </w:pPr>
          </w:p>
        </w:tc>
        <w:tc>
          <w:tcPr>
            <w:tcW w:w="4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5"/>
              </w:rPr>
              <w:t>(166)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(162)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(147)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(181)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Amortization of net loss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117</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192</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spacing w:after="0"/>
              <w:rPr>
                <w:sz w:val="20"/>
                <w:szCs w:val="20"/>
                <w:color w:val="auto"/>
              </w:rPr>
            </w:pPr>
            <w:r>
              <w:rPr>
                <w:rFonts w:ascii="Arial" w:cs="Arial" w:eastAsia="Arial" w:hAnsi="Arial"/>
                <w:sz w:val="14"/>
                <w:szCs w:val="14"/>
                <w:color w:val="auto"/>
              </w:rPr>
              <w:t>Curtailment charge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gridSpan w:val="3"/>
          </w:tcPr>
          <w:p>
            <w:pPr>
              <w:jc w:val="right"/>
              <w:ind w:right="80"/>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gridSpan w:val="2"/>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gridSpan w:val="2"/>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290</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159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3873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3873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2159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3873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3873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-29210</wp:posOffset>
            </wp:positionV>
            <wp:extent cx="2159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60" w:firstLine="228"/>
        <w:spacing w:after="0" w:line="283" w:lineRule="auto"/>
        <w:rPr>
          <w:sz w:val="20"/>
          <w:szCs w:val="20"/>
          <w:color w:val="auto"/>
        </w:rPr>
      </w:pPr>
      <w:r>
        <w:rPr>
          <w:rFonts w:ascii="Arial" w:cs="Arial" w:eastAsia="Arial" w:hAnsi="Arial"/>
          <w:sz w:val="16"/>
          <w:szCs w:val="16"/>
          <w:color w:val="auto"/>
        </w:rPr>
        <w:t xml:space="preserve">Due to the actions taken by Schlumberger to reduce its global workforce (See Note 3 – </w:t>
      </w:r>
      <w:r>
        <w:rPr>
          <w:rFonts w:ascii="Arial" w:cs="Arial" w:eastAsia="Arial" w:hAnsi="Arial"/>
          <w:sz w:val="16"/>
          <w:szCs w:val="16"/>
          <w:i w:val="1"/>
          <w:iCs w:val="1"/>
          <w:color w:val="auto"/>
        </w:rPr>
        <w:t>Charges and Credits</w:t>
      </w:r>
      <w:r>
        <w:rPr>
          <w:rFonts w:ascii="Arial" w:cs="Arial" w:eastAsia="Arial" w:hAnsi="Arial"/>
          <w:sz w:val="16"/>
          <w:szCs w:val="16"/>
          <w:color w:val="auto"/>
        </w:rPr>
        <w:t>), Schlumberger experienced a significant reduction in the expected aggregate years of future service of its employees in certain of its pension plans and its postretirement medical plan. Accordingly, Schlumberger recorded a curtailment charge of $136 million during the second quarter of 2009 ($130 million relating to the pension plans and $6 million relating to the postretirement medical plan). The curtailment charge includes recognition of the change in benefit obligations as well as a portion of the previously unrecognized prior service costs, reflecting the reduction in expected future service for the impacted plans. As a result of the curtailment, Schlumberger performed a remeasurement of the impacted plans using a discount rate of 7.25% (as compared to 6.50% at December 31, 2008). All other significant assumptions were unchanged from December 31, 2008 measurement date.</w:t>
      </w:r>
    </w:p>
    <w:p>
      <w:pPr>
        <w:ind w:right="20" w:firstLine="228"/>
        <w:spacing w:after="0" w:line="250" w:lineRule="auto"/>
        <w:rPr>
          <w:sz w:val="20"/>
          <w:szCs w:val="20"/>
          <w:color w:val="auto"/>
        </w:rPr>
      </w:pPr>
      <w:r>
        <w:rPr>
          <w:rFonts w:ascii="Arial" w:cs="Arial" w:eastAsia="Arial" w:hAnsi="Arial"/>
          <w:sz w:val="18"/>
          <w:szCs w:val="18"/>
          <w:color w:val="auto"/>
        </w:rPr>
        <w:t>As the International Staff Pension Plan was converted to a defined benefit pension plan during the fourth quarter of 2008, the net pension cost for this plan was not significant in 2008.</w:t>
      </w:r>
    </w:p>
    <w:p>
      <w:pPr>
        <w:spacing w:after="0" w:line="1" w:lineRule="exact"/>
        <w:rPr>
          <w:sz w:val="20"/>
          <w:szCs w:val="20"/>
          <w:color w:val="auto"/>
        </w:rPr>
      </w:pPr>
    </w:p>
    <w:p>
      <w:pPr>
        <w:ind w:right="400" w:firstLine="228"/>
        <w:spacing w:after="0" w:line="261" w:lineRule="auto"/>
        <w:rPr>
          <w:sz w:val="20"/>
          <w:szCs w:val="20"/>
          <w:color w:val="auto"/>
        </w:rPr>
      </w:pPr>
      <w:r>
        <w:rPr>
          <w:rFonts w:ascii="Arial" w:cs="Arial" w:eastAsia="Arial" w:hAnsi="Arial"/>
          <w:sz w:val="18"/>
          <w:szCs w:val="18"/>
          <w:color w:val="auto"/>
        </w:rPr>
        <w:t>The weighted-average assumed discount rate and compensation increases used to determine the projected benefit obligations for the US and International plans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5"/>
                <w:szCs w:val="15"/>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5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22"/>
                <w:szCs w:val="22"/>
                <w:color w:val="auto"/>
              </w:rPr>
            </w:pPr>
          </w:p>
        </w:tc>
        <w:tc>
          <w:tcPr>
            <w:tcW w:w="8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2009</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 rate</w:t>
            </w:r>
          </w:p>
        </w:tc>
        <w:tc>
          <w:tcPr>
            <w:tcW w:w="5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6.00%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6.50%</w:t>
            </w:r>
          </w:p>
        </w:tc>
        <w:tc>
          <w:tcPr>
            <w:tcW w:w="8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5.89%</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Compensation increases</w:t>
            </w:r>
          </w:p>
        </w:tc>
        <w:tc>
          <w:tcPr>
            <w:tcW w:w="5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4.00%</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4.00%</w:t>
            </w:r>
          </w:p>
        </w:tc>
        <w:tc>
          <w:tcPr>
            <w:tcW w:w="8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4.93%</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40" w:type="dxa"/>
            <w:vAlign w:val="bottom"/>
          </w:tcPr>
          <w:p>
            <w:pPr>
              <w:jc w:val="right"/>
              <w:ind w:right="2572"/>
              <w:spacing w:after="0"/>
              <w:rPr>
                <w:sz w:val="20"/>
                <w:szCs w:val="20"/>
                <w:color w:val="auto"/>
              </w:rPr>
            </w:pPr>
            <w:r>
              <w:rPr>
                <w:rFonts w:ascii="Arial" w:cs="Arial" w:eastAsia="Arial" w:hAnsi="Arial"/>
                <w:sz w:val="14"/>
                <w:szCs w:val="14"/>
                <w:color w:val="auto"/>
              </w:rPr>
              <w:t>62</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projected benefit obligation, plan assets and funded status of the plans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9518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2008</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Change in Projected Benefit Obligations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Projected benefit obligation at beginning of year</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2,150</w:t>
            </w:r>
          </w:p>
        </w:tc>
        <w:tc>
          <w:tcPr>
            <w:tcW w:w="8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2,030</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2,767</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79"/>
              </w:rPr>
              <w:t>1,063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143</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189</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Actuarial losses/(gains)</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449</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97"/>
              </w:rPr>
              <w:t>(218)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tcPr>
          <w:p>
            <w:pPr>
              <w:spacing w:after="0"/>
              <w:rPr>
                <w:sz w:val="12"/>
                <w:szCs w:val="12"/>
                <w:color w:val="auto"/>
              </w:rPr>
            </w:pP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7"/>
              </w:rPr>
              <w:t>(110)</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8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(97)</w:t>
            </w:r>
          </w:p>
        </w:tc>
        <w:tc>
          <w:tcPr>
            <w:tcW w:w="80" w:type="dxa"/>
            <w:vAlign w:val="bottom"/>
          </w:tcPr>
          <w:p>
            <w:pPr>
              <w:spacing w:after="0"/>
              <w:rPr>
                <w:sz w:val="12"/>
                <w:szCs w:val="12"/>
                <w:color w:val="auto"/>
              </w:rPr>
            </w:pPr>
          </w:p>
        </w:tc>
        <w:tc>
          <w:tcPr>
            <w:tcW w:w="3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Curtailment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Impact of International Staff Pension Plan</w:t>
            </w:r>
          </w:p>
        </w:tc>
        <w:tc>
          <w:tcPr>
            <w:tcW w:w="80" w:type="dxa"/>
            <w:vAlign w:val="bottom"/>
          </w:tcPr>
          <w:p>
            <w:pPr>
              <w:spacing w:after="0"/>
              <w:rPr>
                <w:sz w:val="12"/>
                <w:szCs w:val="12"/>
                <w:color w:val="auto"/>
              </w:rPr>
            </w:pP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79"/>
              </w:rPr>
              <w:t>2,114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2,439</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2,150</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3,518</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9"/>
              </w:rPr>
              <w:t>2,767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Change in Plan Assets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Plan assets at fair value at beginning of year</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1,490</w:t>
            </w:r>
          </w:p>
        </w:tc>
        <w:tc>
          <w:tcPr>
            <w:tcW w:w="8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2,170</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1,913</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Actual return/(loss) on plan assets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358</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(572)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444</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Currency effect</w:t>
            </w:r>
          </w:p>
        </w:tc>
        <w:tc>
          <w:tcPr>
            <w:tcW w:w="80" w:type="dxa"/>
            <w:vAlign w:val="bottom"/>
          </w:tcPr>
          <w:p>
            <w:pPr>
              <w:spacing w:after="0"/>
              <w:rPr>
                <w:sz w:val="12"/>
                <w:szCs w:val="12"/>
                <w:color w:val="auto"/>
              </w:rPr>
            </w:pP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97"/>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Company contributions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586</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80" w:type="dxa"/>
            <w:vAlign w:val="bottom"/>
          </w:tcPr>
          <w:p>
            <w:pPr>
              <w:spacing w:after="0"/>
              <w:rPr>
                <w:sz w:val="12"/>
                <w:szCs w:val="12"/>
                <w:color w:val="auto"/>
              </w:rPr>
            </w:pP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7"/>
              </w:rPr>
              <w:t>(110)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(97)</w:t>
            </w: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Impact of International Staff Pension Plan</w:t>
            </w:r>
          </w:p>
        </w:tc>
        <w:tc>
          <w:tcPr>
            <w:tcW w:w="80" w:type="dxa"/>
            <w:vAlign w:val="bottom"/>
          </w:tcPr>
          <w:p>
            <w:pPr>
              <w:spacing w:after="0"/>
              <w:rPr>
                <w:sz w:val="12"/>
                <w:szCs w:val="12"/>
                <w:color w:val="auto"/>
              </w:rPr>
            </w:pP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79"/>
              </w:rPr>
              <w:t>1,037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fair value at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2,254</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1,490</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2,976</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9"/>
              </w:rPr>
              <w:t>1,913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Funded status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7"/>
              </w:rPr>
              <w:t>(185)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(660)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(542)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(854)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Amounts Recognized in Balance Sheet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Benefits</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7"/>
              </w:rPr>
              <w:t>(185)</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(660)</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(542)</w:t>
            </w: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(877)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amount recognized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7"/>
              </w:rPr>
              <w:t>(185)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(660)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(542)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(854)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Amounts Recognized in Accumulated Other Comprehensive Income</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833</w:t>
            </w:r>
          </w:p>
        </w:tc>
        <w:tc>
          <w:tcPr>
            <w:tcW w:w="8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877</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335</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Prior service cost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881</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9"/>
              </w:rPr>
              <w:t>1,080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869</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1,216</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9"/>
              </w:rPr>
              <w:t>1,221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benefit obligation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2,226</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1,972</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3,257</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9"/>
              </w:rPr>
              <w:t>2,317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-3168015</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-3168015</wp:posOffset>
            </wp:positionV>
            <wp:extent cx="2159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-3168015</wp:posOffset>
            </wp:positionV>
            <wp:extent cx="3873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-3168015</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-3168015</wp:posOffset>
            </wp:positionV>
            <wp:extent cx="2159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-3168015</wp:posOffset>
            </wp:positionV>
            <wp:extent cx="3873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-3168015</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-3168015</wp:posOffset>
            </wp:positionV>
            <wp:extent cx="2159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-3168015</wp:posOffset>
            </wp:positionV>
            <wp:extent cx="3873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-3168015</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-3168015</wp:posOffset>
            </wp:positionV>
            <wp:extent cx="215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-3168015</wp:posOffset>
            </wp:positionV>
            <wp:extent cx="3873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-1915795</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-1915795</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-1915795</wp:posOffset>
            </wp:positionV>
            <wp:extent cx="3873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-1915795</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-1915795</wp:posOffset>
            </wp:positionV>
            <wp:extent cx="2159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-1915795</wp:posOffset>
            </wp:positionV>
            <wp:extent cx="3873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-1915795</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-1915795</wp:posOffset>
            </wp:positionV>
            <wp:extent cx="2159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-1915795</wp:posOffset>
            </wp:positionV>
            <wp:extent cx="3873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-1915795</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-1915795</wp:posOffset>
            </wp:positionV>
            <wp:extent cx="2159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-1915795</wp:posOffset>
            </wp:positionV>
            <wp:extent cx="38735"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-1658620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-1658620</wp:posOffset>
            </wp:positionV>
            <wp:extent cx="2159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-1658620</wp:posOffset>
            </wp:positionV>
            <wp:extent cx="3873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-1658620</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-1658620</wp:posOffset>
            </wp:positionV>
            <wp:extent cx="2159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-1658620</wp:posOffset>
            </wp:positionV>
            <wp:extent cx="3873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-1658620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-1658620</wp:posOffset>
            </wp:positionV>
            <wp:extent cx="2159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-1658620</wp:posOffset>
            </wp:positionV>
            <wp:extent cx="38735"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-1658620</wp:posOffset>
            </wp:positionV>
            <wp:extent cx="1270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-1658620</wp:posOffset>
            </wp:positionV>
            <wp:extent cx="2159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-1658620</wp:posOffset>
            </wp:positionV>
            <wp:extent cx="38735"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-972820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-972820</wp:posOffset>
            </wp:positionV>
            <wp:extent cx="2159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-972820</wp:posOffset>
            </wp:positionV>
            <wp:extent cx="38735"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-972820</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-972820</wp:posOffset>
            </wp:positionV>
            <wp:extent cx="2159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-972820</wp:posOffset>
            </wp:positionV>
            <wp:extent cx="3873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-972820</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-972820</wp:posOffset>
            </wp:positionV>
            <wp:extent cx="2159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-972820</wp:posOffset>
            </wp:positionV>
            <wp:extent cx="38735"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-972820</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-972820</wp:posOffset>
            </wp:positionV>
            <wp:extent cx="2159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-972820</wp:posOffset>
            </wp:positionV>
            <wp:extent cx="38735"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-286385</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-286385</wp:posOffset>
            </wp:positionV>
            <wp:extent cx="2159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-286385</wp:posOffset>
            </wp:positionV>
            <wp:extent cx="38735"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-286385</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-286385</wp:posOffset>
            </wp:positionV>
            <wp:extent cx="2159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-286385</wp:posOffset>
            </wp:positionV>
            <wp:extent cx="38735"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-286385</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-286385</wp:posOffset>
            </wp:positionV>
            <wp:extent cx="2159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-286385</wp:posOffset>
            </wp:positionV>
            <wp:extent cx="38735"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-286385</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-286385</wp:posOffset>
            </wp:positionV>
            <wp:extent cx="2159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-286385</wp:posOffset>
            </wp:positionV>
            <wp:extent cx="3873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8735"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38735"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38735"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2159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260" w:firstLine="228"/>
        <w:spacing w:after="0" w:line="252" w:lineRule="auto"/>
        <w:rPr>
          <w:sz w:val="20"/>
          <w:szCs w:val="20"/>
          <w:color w:val="auto"/>
        </w:rPr>
      </w:pPr>
      <w:r>
        <w:rPr>
          <w:rFonts w:ascii="Arial" w:cs="Arial" w:eastAsia="Arial" w:hAnsi="Arial"/>
          <w:sz w:val="18"/>
          <w:szCs w:val="18"/>
          <w:color w:val="auto"/>
        </w:rPr>
        <w:t>The funded status position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weighted-average allocation of plan assets and the target allocation by asset category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0"/>
              </w:rPr>
              <w:t>International</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5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Target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21"/>
                <w:szCs w:val="21"/>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Target</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3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w:t>
            </w: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 60%</w:t>
            </w: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48%</w:t>
            </w:r>
          </w:p>
        </w:tc>
        <w:tc>
          <w:tcPr>
            <w:tcW w:w="7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55</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0"/>
              </w:rPr>
              <w:t>– 70%</w:t>
            </w:r>
          </w:p>
        </w:tc>
        <w:tc>
          <w:tcPr>
            <w:tcW w:w="110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59%</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Debt securities</w:t>
            </w:r>
          </w:p>
        </w:tc>
        <w:tc>
          <w:tcPr>
            <w:tcW w:w="3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5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 38</w:t>
            </w: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38</w:t>
            </w:r>
          </w:p>
        </w:tc>
        <w:tc>
          <w:tcPr>
            <w:tcW w:w="460" w:type="dxa"/>
            <w:vAlign w:val="bottom"/>
          </w:tcPr>
          <w:p>
            <w:pPr>
              <w:spacing w:after="0"/>
              <w:rPr>
                <w:sz w:val="12"/>
                <w:szCs w:val="12"/>
                <w:color w:val="auto"/>
              </w:rPr>
            </w:pPr>
          </w:p>
        </w:tc>
        <w:tc>
          <w:tcPr>
            <w:tcW w:w="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4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20</w:t>
            </w:r>
          </w:p>
        </w:tc>
        <w:tc>
          <w:tcPr>
            <w:tcW w:w="4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 35</w:t>
            </w: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32</w:t>
            </w:r>
          </w:p>
        </w:tc>
        <w:tc>
          <w:tcPr>
            <w:tcW w:w="460" w:type="dxa"/>
            <w:vAlign w:val="bottom"/>
          </w:tcPr>
          <w:p>
            <w:pPr>
              <w:spacing w:after="0"/>
              <w:rPr>
                <w:sz w:val="12"/>
                <w:szCs w:val="12"/>
                <w:color w:val="auto"/>
              </w:rPr>
            </w:pPr>
          </w:p>
        </w:tc>
        <w:tc>
          <w:tcPr>
            <w:tcW w:w="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3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8</w:t>
            </w: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4</w:t>
            </w: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20"/>
                <w:szCs w:val="20"/>
                <w:color w:val="auto"/>
              </w:rPr>
            </w:pPr>
            <w:r>
              <w:rPr>
                <w:rFonts w:ascii="Arial" w:cs="Arial" w:eastAsia="Arial" w:hAnsi="Arial"/>
                <w:sz w:val="14"/>
                <w:szCs w:val="14"/>
                <w:color w:val="auto"/>
              </w:rPr>
              <w:t>Other investments</w:t>
            </w:r>
          </w:p>
        </w:tc>
        <w:tc>
          <w:tcPr>
            <w:tcW w:w="3520" w:type="dxa"/>
            <w:vAlign w:val="bottom"/>
            <w:gridSpan w:val="2"/>
          </w:tcPr>
          <w:p>
            <w:pPr>
              <w:jc w:val="right"/>
              <w:spacing w:after="0"/>
              <w:rPr>
                <w:sz w:val="20"/>
                <w:szCs w:val="20"/>
                <w:color w:val="auto"/>
              </w:rPr>
            </w:pPr>
            <w:r>
              <w:rPr>
                <w:rFonts w:ascii="Arial" w:cs="Arial" w:eastAsia="Arial" w:hAnsi="Arial"/>
                <w:sz w:val="14"/>
                <w:szCs w:val="14"/>
                <w:b w:val="1"/>
                <w:bCs w:val="1"/>
                <w:color w:val="auto"/>
              </w:rPr>
              <w:t>0</w:t>
            </w: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 12</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w:t>
            </w:r>
          </w:p>
        </w:tc>
        <w:tc>
          <w:tcPr>
            <w:tcW w:w="460" w:type="dxa"/>
            <w:vAlign w:val="bottom"/>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9</w:t>
            </w:r>
          </w:p>
        </w:tc>
        <w:tc>
          <w:tcPr>
            <w:tcW w:w="4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 10</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5</w:t>
            </w:r>
          </w:p>
        </w:tc>
        <w:tc>
          <w:tcPr>
            <w:tcW w:w="460" w:type="dxa"/>
            <w:vAlign w:val="bottom"/>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3540" w:type="dxa"/>
            <w:vAlign w:val="bottom"/>
            <w:tcBorders>
              <w:bottom w:val="single" w:sz="8" w:color="808080"/>
            </w:tcBorders>
          </w:tcPr>
          <w:p>
            <w:pPr>
              <w:spacing w:after="0"/>
              <w:rPr>
                <w:sz w:val="7"/>
                <w:szCs w:val="7"/>
                <w:color w:val="auto"/>
              </w:rPr>
            </w:pPr>
          </w:p>
        </w:tc>
        <w:tc>
          <w:tcPr>
            <w:tcW w:w="33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100%</w:t>
            </w: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100%</w:t>
            </w:r>
          </w:p>
        </w:tc>
        <w:tc>
          <w:tcPr>
            <w:tcW w:w="7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100%</w:t>
            </w:r>
          </w:p>
        </w:tc>
        <w:tc>
          <w:tcPr>
            <w:tcW w:w="110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100%</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2"/>
        </w:trPr>
        <w:tc>
          <w:tcPr>
            <w:tcW w:w="3540" w:type="dxa"/>
            <w:vAlign w:val="bottom"/>
          </w:tcPr>
          <w:p>
            <w:pPr>
              <w:spacing w:after="0"/>
              <w:rPr>
                <w:sz w:val="11"/>
                <w:szCs w:val="11"/>
                <w:color w:val="auto"/>
              </w:rPr>
            </w:pPr>
          </w:p>
        </w:tc>
        <w:tc>
          <w:tcPr>
            <w:tcW w:w="3360" w:type="dxa"/>
            <w:vAlign w:val="bottom"/>
            <w:vMerge w:val="restart"/>
          </w:tcPr>
          <w:p>
            <w:pPr>
              <w:jc w:val="right"/>
              <w:ind w:right="1052"/>
              <w:spacing w:after="0"/>
              <w:rPr>
                <w:sz w:val="20"/>
                <w:szCs w:val="20"/>
                <w:color w:val="auto"/>
              </w:rPr>
            </w:pPr>
            <w:r>
              <w:rPr>
                <w:rFonts w:ascii="Arial" w:cs="Arial" w:eastAsia="Arial" w:hAnsi="Arial"/>
                <w:sz w:val="14"/>
                <w:szCs w:val="14"/>
                <w:color w:val="auto"/>
              </w:rPr>
              <w:t>63</w:t>
            </w:r>
          </w:p>
        </w:tc>
        <w:tc>
          <w:tcPr>
            <w:tcW w:w="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35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-292735</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-292735</wp:posOffset>
            </wp:positionV>
            <wp:extent cx="38735"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-292735</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-292735</wp:posOffset>
            </wp:positionV>
            <wp:extent cx="38735"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-292735</wp:posOffset>
            </wp:positionV>
            <wp:extent cx="1270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-292735</wp:posOffset>
            </wp:positionV>
            <wp:extent cx="38735"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-292735</wp:posOffset>
            </wp:positionV>
            <wp:extent cx="1270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-292735</wp:posOffset>
            </wp:positionV>
            <wp:extent cx="38735"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-292735</wp:posOffset>
            </wp:positionV>
            <wp:extent cx="127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-292735</wp:posOffset>
            </wp:positionV>
            <wp:extent cx="3873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-292735</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-292735</wp:posOffset>
            </wp:positionV>
            <wp:extent cx="38735"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40" w:firstLine="228"/>
        <w:spacing w:after="0" w:line="283" w:lineRule="auto"/>
        <w:rPr>
          <w:sz w:val="20"/>
          <w:szCs w:val="20"/>
          <w:color w:val="auto"/>
        </w:rPr>
      </w:pPr>
      <w:r>
        <w:rPr>
          <w:rFonts w:ascii="Arial" w:cs="Arial" w:eastAsia="Arial" w:hAnsi="Arial"/>
          <w:sz w:val="16"/>
          <w:szCs w:val="16"/>
          <w:color w:val="auto"/>
        </w:rPr>
        <w:t>Schlumberger’s investment policy includes various guidelines and procedures designed to ensure that assets are prudently invested in a manner necessary to meet the future benefit obligation of the pension plans. The policy does not permit the direct investment of plan assets in any Schlumberger security. Schlumberger’s investment horizon is long-term and accordingly the target asset allocations encompass a strategic, long-term perspective of capital markets, expected risk and return behavior and perceived future economic conditions. The key investment principles of diversification, assessment of risk and targeting the optimal expected returns for given levels of risk are applied. The target asset allocation is reviewed periodically and is determined based on a</w:t>
      </w:r>
    </w:p>
    <w:p>
      <w:pPr>
        <w:spacing w:after="0" w:line="2"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long-term projection of capital market outcomes, inflation rates, fixed income yields, returns, volatilities and correlation relationships. The inclusion of any given asset class in the target asset allocation is considered in relation to its impact on the overall risk/return characteristics as well as its impact on the overall investment return. As part of its strategy, Schlumberger may utilize certain derivative instruments, such as options, futures, swaps and forwards, within the plans to manage risks (currency, interest rate, etc.) or as a substitute for physical securities or to obtain exposure to different markets.</w:t>
      </w:r>
    </w:p>
    <w:p>
      <w:pPr>
        <w:spacing w:after="0" w:line="3"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Asset performance is monitored frequently with an overall expectation that plan assets will meet or exceed the weighted index of its target asset allocation and component benchmark over rolling five year periods.</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The expected long-term rate of return on assets assumptions reflect the average rate of earnings expected on funds invested or to be invested. The assumptions have been determined by reflecting expectations regarding future rates of return for the portfolio considering the asset allocation and related historical rates of return. The appropriateness of the assumptions is reviewed annually.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of Schlumberger’s pension plan assets at December 31, 2009, by asset category, was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w w:val="81"/>
              </w:rPr>
              <w:t>US Plan Assets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4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Quoted Prices</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 Active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Identical</w:t>
            </w:r>
          </w:p>
        </w:tc>
        <w:tc>
          <w:tcPr>
            <w:tcW w:w="580" w:type="dxa"/>
            <w:vAlign w:val="bottom"/>
          </w:tcPr>
          <w:p>
            <w:pPr>
              <w:spacing w:after="0"/>
              <w:rPr>
                <w:sz w:val="12"/>
                <w:szCs w:val="12"/>
                <w:color w:val="auto"/>
              </w:rPr>
            </w:pPr>
          </w:p>
        </w:tc>
        <w:tc>
          <w:tcPr>
            <w:tcW w:w="12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Assets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1"/>
              </w:rPr>
              <w:t>(Level One)</w:t>
            </w:r>
          </w:p>
        </w:tc>
        <w:tc>
          <w:tcPr>
            <w:tcW w:w="580" w:type="dxa"/>
            <w:vAlign w:val="bottom"/>
          </w:tcPr>
          <w:p>
            <w:pPr>
              <w:spacing w:after="0"/>
              <w:rPr>
                <w:sz w:val="15"/>
                <w:szCs w:val="15"/>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(Level Two)</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(Level Three)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 Catergory:</w:t>
            </w:r>
          </w:p>
        </w:tc>
        <w:tc>
          <w:tcPr>
            <w:tcW w:w="1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16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191</w:t>
            </w:r>
          </w:p>
        </w:tc>
        <w:tc>
          <w:tcPr>
            <w:tcW w:w="5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Securities :</w:t>
            </w:r>
          </w:p>
        </w:tc>
        <w:tc>
          <w:tcPr>
            <w:tcW w:w="1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320"/>
              <w:spacing w:after="0" w:line="149" w:lineRule="exact"/>
              <w:rPr>
                <w:sz w:val="20"/>
                <w:szCs w:val="20"/>
                <w:color w:val="auto"/>
              </w:rPr>
            </w:pPr>
            <w:r>
              <w:rPr>
                <w:rFonts w:ascii="Arial" w:cs="Arial" w:eastAsia="Arial" w:hAnsi="Arial"/>
                <w:sz w:val="11"/>
                <w:szCs w:val="11"/>
                <w:color w:val="auto"/>
              </w:rPr>
              <w:t>U.S.</w:t>
            </w:r>
            <w:r>
              <w:rPr>
                <w:rFonts w:ascii="Arial" w:cs="Arial" w:eastAsia="Arial" w:hAnsi="Arial"/>
                <w:sz w:val="17"/>
                <w:szCs w:val="17"/>
                <w:color w:val="auto"/>
                <w:vertAlign w:val="superscript"/>
              </w:rPr>
              <w:t>(a)</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710</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710</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International</w:t>
            </w:r>
            <w:r>
              <w:rPr>
                <w:rFonts w:ascii="Arial" w:cs="Arial" w:eastAsia="Arial" w:hAnsi="Arial"/>
                <w:sz w:val="17"/>
                <w:szCs w:val="17"/>
                <w:color w:val="auto"/>
                <w:vertAlign w:val="superscript"/>
              </w:rPr>
              <w:t>(b)</w:t>
            </w:r>
          </w:p>
        </w:tc>
        <w:tc>
          <w:tcPr>
            <w:tcW w:w="1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355</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b w:val="1"/>
                <w:bCs w:val="1"/>
                <w:color w:val="auto"/>
              </w:rPr>
              <w:t>Debt securities:</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Corporate bonds</w:t>
            </w:r>
            <w:r>
              <w:rPr>
                <w:rFonts w:ascii="Arial" w:cs="Arial" w:eastAsia="Arial" w:hAnsi="Arial"/>
                <w:sz w:val="17"/>
                <w:szCs w:val="17"/>
                <w:color w:val="auto"/>
                <w:vertAlign w:val="superscript"/>
              </w:rPr>
              <w:t>(c)</w:t>
            </w:r>
          </w:p>
        </w:tc>
        <w:tc>
          <w:tcPr>
            <w:tcW w:w="1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193</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320"/>
              <w:spacing w:after="0" w:line="149" w:lineRule="exact"/>
              <w:rPr>
                <w:sz w:val="20"/>
                <w:szCs w:val="20"/>
                <w:color w:val="auto"/>
              </w:rPr>
            </w:pPr>
            <w:r>
              <w:rPr>
                <w:rFonts w:ascii="Arial" w:cs="Arial" w:eastAsia="Arial" w:hAnsi="Arial"/>
                <w:sz w:val="11"/>
                <w:szCs w:val="11"/>
                <w:color w:val="auto"/>
              </w:rPr>
              <w:t>Government and government-related debt securities</w:t>
            </w:r>
            <w:r>
              <w:rPr>
                <w:rFonts w:ascii="Arial" w:cs="Arial" w:eastAsia="Arial" w:hAnsi="Arial"/>
                <w:sz w:val="17"/>
                <w:szCs w:val="17"/>
                <w:color w:val="auto"/>
                <w:vertAlign w:val="superscript"/>
              </w:rPr>
              <w:t>(d)</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462</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Government agency collateralized mortgage obligations and mortgage backed securities</w:t>
            </w:r>
            <w:r>
              <w:rPr>
                <w:rFonts w:ascii="Arial" w:cs="Arial" w:eastAsia="Arial" w:hAnsi="Arial"/>
                <w:sz w:val="17"/>
                <w:szCs w:val="17"/>
                <w:color w:val="auto"/>
                <w:vertAlign w:val="superscript"/>
              </w:rPr>
              <w:t>(e)</w:t>
            </w:r>
          </w:p>
        </w:tc>
        <w:tc>
          <w:tcPr>
            <w:tcW w:w="1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136</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320"/>
              <w:spacing w:after="0" w:line="149" w:lineRule="exact"/>
              <w:rPr>
                <w:sz w:val="20"/>
                <w:szCs w:val="20"/>
                <w:color w:val="auto"/>
              </w:rPr>
            </w:pPr>
            <w:r>
              <w:rPr>
                <w:rFonts w:ascii="Arial" w:cs="Arial" w:eastAsia="Arial" w:hAnsi="Arial"/>
                <w:sz w:val="11"/>
                <w:szCs w:val="11"/>
                <w:color w:val="auto"/>
              </w:rPr>
              <w:t>Other collateralized mortgage obligations and mortgage-backed securities</w:t>
            </w:r>
            <w:r>
              <w:rPr>
                <w:rFonts w:ascii="Arial" w:cs="Arial" w:eastAsia="Arial" w:hAnsi="Arial"/>
                <w:sz w:val="17"/>
                <w:szCs w:val="17"/>
                <w:color w:val="auto"/>
                <w:vertAlign w:val="superscript"/>
              </w:rPr>
              <w:t>(f)</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71</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Investments:</w:t>
            </w:r>
          </w:p>
        </w:tc>
        <w:tc>
          <w:tcPr>
            <w:tcW w:w="1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320"/>
              <w:spacing w:after="0" w:line="149" w:lineRule="exact"/>
              <w:rPr>
                <w:sz w:val="20"/>
                <w:szCs w:val="20"/>
                <w:color w:val="auto"/>
              </w:rPr>
            </w:pPr>
            <w:r>
              <w:rPr>
                <w:rFonts w:ascii="Arial" w:cs="Arial" w:eastAsia="Arial" w:hAnsi="Arial"/>
                <w:sz w:val="11"/>
                <w:szCs w:val="11"/>
                <w:color w:val="auto"/>
              </w:rPr>
              <w:t>Private equity</w:t>
            </w:r>
            <w:r>
              <w:rPr>
                <w:rFonts w:ascii="Arial" w:cs="Arial" w:eastAsia="Arial" w:hAnsi="Arial"/>
                <w:sz w:val="17"/>
                <w:szCs w:val="17"/>
                <w:color w:val="auto"/>
                <w:vertAlign w:val="superscript"/>
              </w:rPr>
              <w:t>(g)</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Real estate</w:t>
            </w:r>
            <w:r>
              <w:rPr>
                <w:rFonts w:ascii="Arial" w:cs="Arial" w:eastAsia="Arial" w:hAnsi="Arial"/>
                <w:sz w:val="17"/>
                <w:szCs w:val="17"/>
                <w:color w:val="auto"/>
                <w:vertAlign w:val="superscript"/>
              </w:rPr>
              <w:t>(h)</w:t>
            </w:r>
          </w:p>
        </w:tc>
        <w:tc>
          <w:tcPr>
            <w:tcW w:w="1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37</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9"/>
              </w:rPr>
              <w:t>2,254</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1,342</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776</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540" w:type="dxa"/>
            <w:vAlign w:val="bottom"/>
            <w:vMerge w:val="restart"/>
          </w:tcPr>
          <w:p>
            <w:pPr>
              <w:jc w:val="right"/>
              <w:ind w:right="1132"/>
              <w:spacing w:after="0"/>
              <w:rPr>
                <w:sz w:val="20"/>
                <w:szCs w:val="20"/>
                <w:color w:val="auto"/>
              </w:rPr>
            </w:pPr>
            <w:r>
              <w:rPr>
                <w:rFonts w:ascii="Arial" w:cs="Arial" w:eastAsia="Arial" w:hAnsi="Arial"/>
                <w:sz w:val="14"/>
                <w:szCs w:val="14"/>
                <w:color w:val="auto"/>
              </w:rPr>
              <w:t>64</w:t>
            </w: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-292735</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-292735</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-292735</wp:posOffset>
            </wp:positionV>
            <wp:extent cx="2159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-292735</wp:posOffset>
            </wp:positionV>
            <wp:extent cx="1270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-292735</wp:posOffset>
            </wp:positionV>
            <wp:extent cx="1270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-292735</wp:posOffset>
            </wp:positionV>
            <wp:extent cx="21590"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-292735</wp:posOffset>
            </wp:positionV>
            <wp:extent cx="12700"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-292735</wp:posOffset>
            </wp:positionV>
            <wp:extent cx="1270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-292735</wp:posOffset>
            </wp:positionV>
            <wp:extent cx="21590"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-292735</wp:posOffset>
            </wp:positionV>
            <wp:extent cx="1270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-292735</wp:posOffset>
            </wp:positionV>
            <wp:extent cx="2159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International Plan Assets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9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gridSpan w:val="2"/>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Quoted Prices</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 Active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Markets for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Identical</w:t>
            </w:r>
          </w:p>
        </w:tc>
        <w:tc>
          <w:tcPr>
            <w:tcW w:w="580" w:type="dxa"/>
            <w:vAlign w:val="bottom"/>
          </w:tcPr>
          <w:p>
            <w:pPr>
              <w:spacing w:after="0"/>
              <w:rPr>
                <w:sz w:val="12"/>
                <w:szCs w:val="12"/>
                <w:color w:val="auto"/>
              </w:rPr>
            </w:pPr>
          </w:p>
        </w:tc>
        <w:tc>
          <w:tcPr>
            <w:tcW w:w="12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Assets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4"/>
              </w:rPr>
              <w:t>(Level One)</w:t>
            </w:r>
          </w:p>
        </w:tc>
        <w:tc>
          <w:tcPr>
            <w:tcW w:w="580" w:type="dxa"/>
            <w:vAlign w:val="bottom"/>
          </w:tcPr>
          <w:p>
            <w:pPr>
              <w:spacing w:after="0"/>
              <w:rPr>
                <w:sz w:val="15"/>
                <w:szCs w:val="15"/>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(Level Two)</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(Level Three)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 Catergory: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111</w:t>
            </w:r>
          </w:p>
        </w:tc>
        <w:tc>
          <w:tcPr>
            <w:tcW w:w="5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Securities: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320"/>
              <w:spacing w:after="0" w:line="149" w:lineRule="exact"/>
              <w:rPr>
                <w:sz w:val="20"/>
                <w:szCs w:val="20"/>
                <w:color w:val="auto"/>
              </w:rPr>
            </w:pPr>
            <w:r>
              <w:rPr>
                <w:rFonts w:ascii="Arial" w:cs="Arial" w:eastAsia="Arial" w:hAnsi="Arial"/>
                <w:sz w:val="11"/>
                <w:szCs w:val="11"/>
                <w:color w:val="auto"/>
              </w:rPr>
              <w:t>U.S.</w:t>
            </w:r>
            <w:r>
              <w:rPr>
                <w:rFonts w:ascii="Arial" w:cs="Arial" w:eastAsia="Arial" w:hAnsi="Arial"/>
                <w:sz w:val="17"/>
                <w:szCs w:val="17"/>
                <w:color w:val="auto"/>
                <w:vertAlign w:val="superscript"/>
              </w:rPr>
              <w:t>(a)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79"/>
              </w:rPr>
              <w:t>1,113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1,113</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International</w:t>
            </w:r>
            <w:r>
              <w:rPr>
                <w:rFonts w:ascii="Arial" w:cs="Arial" w:eastAsia="Arial" w:hAnsi="Arial"/>
                <w:sz w:val="17"/>
                <w:szCs w:val="17"/>
                <w:color w:val="auto"/>
                <w:vertAlign w:val="superscript"/>
              </w:rPr>
              <w:t>(b)</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643</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b w:val="1"/>
                <w:bCs w:val="1"/>
                <w:color w:val="auto"/>
              </w:rPr>
              <w:t>Debt securities: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Corporate bonds</w:t>
            </w:r>
            <w:r>
              <w:rPr>
                <w:rFonts w:ascii="Arial" w:cs="Arial" w:eastAsia="Arial" w:hAnsi="Arial"/>
                <w:sz w:val="17"/>
                <w:szCs w:val="17"/>
                <w:color w:val="auto"/>
                <w:vertAlign w:val="superscript"/>
              </w:rPr>
              <w:t>(c)</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257</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320"/>
              <w:spacing w:after="0" w:line="149" w:lineRule="exact"/>
              <w:rPr>
                <w:sz w:val="20"/>
                <w:szCs w:val="20"/>
                <w:color w:val="auto"/>
              </w:rPr>
            </w:pPr>
            <w:r>
              <w:rPr>
                <w:rFonts w:ascii="Arial" w:cs="Arial" w:eastAsia="Arial" w:hAnsi="Arial"/>
                <w:sz w:val="11"/>
                <w:szCs w:val="11"/>
                <w:color w:val="auto"/>
              </w:rPr>
              <w:t>Government and government-related</w:t>
            </w:r>
            <w:r>
              <w:rPr>
                <w:rFonts w:ascii="Arial" w:cs="Arial" w:eastAsia="Arial" w:hAnsi="Arial"/>
                <w:sz w:val="17"/>
                <w:szCs w:val="17"/>
                <w:color w:val="auto"/>
                <w:vertAlign w:val="superscript"/>
              </w:rPr>
              <w:t>(d)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492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Government agency collateralized mortgage obligations and mortgage backed securities</w:t>
            </w:r>
            <w:r>
              <w:rPr>
                <w:rFonts w:ascii="Arial" w:cs="Arial" w:eastAsia="Arial" w:hAnsi="Arial"/>
                <w:sz w:val="17"/>
                <w:szCs w:val="17"/>
                <w:color w:val="auto"/>
                <w:vertAlign w:val="superscript"/>
              </w:rPr>
              <w:t>(e)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137</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320"/>
              <w:spacing w:after="0" w:line="149" w:lineRule="exact"/>
              <w:rPr>
                <w:sz w:val="20"/>
                <w:szCs w:val="20"/>
                <w:color w:val="auto"/>
              </w:rPr>
            </w:pPr>
            <w:r>
              <w:rPr>
                <w:rFonts w:ascii="Arial" w:cs="Arial" w:eastAsia="Arial" w:hAnsi="Arial"/>
                <w:sz w:val="11"/>
                <w:szCs w:val="11"/>
                <w:color w:val="auto"/>
              </w:rPr>
              <w:t>Other collateralized mortgage obligations and mortgage-backed securities</w:t>
            </w:r>
            <w:r>
              <w:rPr>
                <w:rFonts w:ascii="Arial" w:cs="Arial" w:eastAsia="Arial" w:hAnsi="Arial"/>
                <w:sz w:val="17"/>
                <w:szCs w:val="17"/>
                <w:color w:val="auto"/>
                <w:vertAlign w:val="superscript"/>
              </w:rPr>
              <w:t>(f)</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70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Investments: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320"/>
              <w:spacing w:after="0" w:line="149" w:lineRule="exact"/>
              <w:rPr>
                <w:sz w:val="20"/>
                <w:szCs w:val="20"/>
                <w:color w:val="auto"/>
              </w:rPr>
            </w:pPr>
            <w:r>
              <w:rPr>
                <w:rFonts w:ascii="Arial" w:cs="Arial" w:eastAsia="Arial" w:hAnsi="Arial"/>
                <w:sz w:val="11"/>
                <w:szCs w:val="11"/>
                <w:color w:val="auto"/>
              </w:rPr>
              <w:t>Private equity</w:t>
            </w:r>
            <w:r>
              <w:rPr>
                <w:rFonts w:ascii="Arial" w:cs="Arial" w:eastAsia="Arial" w:hAnsi="Arial"/>
                <w:sz w:val="17"/>
                <w:szCs w:val="17"/>
                <w:color w:val="auto"/>
                <w:vertAlign w:val="superscript"/>
              </w:rPr>
              <w:t>(g)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87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Real estate</w:t>
            </w:r>
            <w:r>
              <w:rPr>
                <w:rFonts w:ascii="Arial" w:cs="Arial" w:eastAsia="Arial" w:hAnsi="Arial"/>
                <w:sz w:val="17"/>
                <w:szCs w:val="17"/>
                <w:color w:val="auto"/>
                <w:vertAlign w:val="superscript"/>
              </w:rPr>
              <w:t>(h)</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9"/>
              </w:rPr>
              <w:t>2,976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2,276</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21590"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values presented above were determined based on valuation techniques categorized as follows:</w:t>
      </w:r>
    </w:p>
    <w:p>
      <w:pPr>
        <w:spacing w:after="0" w:line="77" w:lineRule="exact"/>
        <w:rPr>
          <w:sz w:val="20"/>
          <w:szCs w:val="20"/>
          <w:color w:val="auto"/>
        </w:rPr>
      </w:pPr>
    </w:p>
    <w:p>
      <w:pPr>
        <w:ind w:left="780" w:hanging="326"/>
        <w:spacing w:after="0"/>
        <w:tabs>
          <w:tab w:leader="none" w:pos="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Level one: The use of quoted prices in active markets for identical instruments.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Level three: The use of significantly unobservable inputs and that typically require the use of management’s estimates of assumptions that market participants would use in pricing.</w:t>
      </w:r>
    </w:p>
    <w:p>
      <w:pPr>
        <w:spacing w:after="0" w:line="37" w:lineRule="exact"/>
        <w:rPr>
          <w:rFonts w:ascii="Arial" w:cs="Arial" w:eastAsia="Arial" w:hAnsi="Arial"/>
          <w:sz w:val="18"/>
          <w:szCs w:val="18"/>
          <w:color w:val="auto"/>
        </w:rPr>
      </w:pPr>
    </w:p>
    <w:p>
      <w:pPr>
        <w:ind w:left="460" w:right="820" w:hanging="452"/>
        <w:spacing w:after="0" w:line="305"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US equities include companies that are well diversified by industry sector and equity style (i.e., growth and value strategies). Active and passive management strategies are employed. Investments are primarily in large capitalization stocks and, to a lesser extent, mid- and small-cap stocks.</w:t>
      </w:r>
    </w:p>
    <w:p>
      <w:pPr>
        <w:ind w:left="460" w:right="2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International equities are invested in companies that are traded on exchanges outside the U.S. and are well diversified by industry sector, country and equity style. Active and passive strategies are employed. The vast majority of the investments are made in companies in developed markets with a small percentage in emerging markets.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Corporate bonds consist primarily of investment grade bonds from diversified industries.</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Government and government-related debt securities are comprised primarily of inflation protected U.S. treasuries and, to a lesser extent, other government-related securities.</w:t>
      </w:r>
    </w:p>
    <w:p>
      <w:pPr>
        <w:jc w:val="both"/>
        <w:ind w:left="460" w:right="1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Government agency collateralized mortgage obligations and mortgage backed-securities are debt obligations that represent claims to the cash flows from pools of mortgage loans which are purchased from banks, mortgage companies, and other originators and then assembled into pools by governmental and quasi-governmental entities.</w:t>
      </w:r>
    </w:p>
    <w:p>
      <w:pPr>
        <w:spacing w:after="0" w:line="1" w:lineRule="exact"/>
        <w:rPr>
          <w:rFonts w:ascii="Arial" w:cs="Arial" w:eastAsia="Arial" w:hAnsi="Arial"/>
          <w:sz w:val="18"/>
          <w:szCs w:val="18"/>
          <w:color w:val="auto"/>
        </w:rPr>
      </w:pPr>
    </w:p>
    <w:p>
      <w:pPr>
        <w:ind w:left="460" w:right="620" w:hanging="452"/>
        <w:spacing w:after="0" w:line="300"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Other collateralized mortgage obligations and mortgage-backed securities are debt obligations that represent claims to the cash flows from pools of mortgage loans which are purchased from banks, mortgage companies, and other originators and then assembled into pools by a private entities.</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Private equity includes investments in several fund of funds limited partnerships.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Real estate primarily includes investments in real estate limited partnerships, concentrated in commercial real estate.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380" w:firstLine="228"/>
        <w:spacing w:after="0" w:line="306" w:lineRule="auto"/>
        <w:rPr>
          <w:sz w:val="20"/>
          <w:szCs w:val="20"/>
          <w:color w:val="auto"/>
        </w:rPr>
      </w:pPr>
      <w:r>
        <w:rPr>
          <w:rFonts w:ascii="Arial" w:cs="Arial" w:eastAsia="Arial" w:hAnsi="Arial"/>
          <w:sz w:val="16"/>
          <w:szCs w:val="16"/>
          <w:color w:val="auto"/>
        </w:rPr>
        <w:t>The funding policy is to annually contribute amounts that are based upon a number of factors including the actuarial accrued liability, amounts that are deductible for income tax purposes, legal funding requirements and available cash flow. Schlumberger currently anticipates contributing approximately $500 million to $600 million to its defined benefit pension plans in 2010, subject to market and business conditions.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 Other than Pensions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United States subsidiary provide certain health care benefits to former US employees who have retired.</w:t>
      </w:r>
    </w:p>
    <w:p>
      <w:pPr>
        <w:spacing w:after="0" w:line="15" w:lineRule="exact"/>
        <w:rPr>
          <w:sz w:val="20"/>
          <w:szCs w:val="20"/>
          <w:color w:val="auto"/>
        </w:rPr>
      </w:pPr>
    </w:p>
    <w:p>
      <w:pPr>
        <w:ind w:right="60" w:firstLine="228"/>
        <w:spacing w:after="0" w:line="261" w:lineRule="auto"/>
        <w:rPr>
          <w:sz w:val="20"/>
          <w:szCs w:val="20"/>
          <w:color w:val="auto"/>
        </w:rPr>
      </w:pPr>
      <w:r>
        <w:rPr>
          <w:rFonts w:ascii="Arial" w:cs="Arial" w:eastAsia="Arial" w:hAnsi="Arial"/>
          <w:sz w:val="18"/>
          <w:szCs w:val="18"/>
          <w:color w:val="auto"/>
        </w:rPr>
        <w:t>The actuarial assumptions used to determine the accumulated postretirement benefit obligation and net periodic benefit cost for the US postretirement medical plan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7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Benefit Obligation</w:t>
            </w:r>
          </w:p>
        </w:tc>
        <w:tc>
          <w:tcPr>
            <w:tcW w:w="480" w:type="dxa"/>
            <w:vAlign w:val="bottom"/>
          </w:tcPr>
          <w:p>
            <w:pPr>
              <w:spacing w:after="0"/>
              <w:rPr>
                <w:sz w:val="14"/>
                <w:szCs w:val="14"/>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Net Periodic Benefit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7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at December 31,</w:t>
            </w:r>
          </w:p>
        </w:tc>
        <w:tc>
          <w:tcPr>
            <w:tcW w:w="480" w:type="dxa"/>
            <w:vAlign w:val="bottom"/>
          </w:tcPr>
          <w:p>
            <w:pPr>
              <w:spacing w:after="0"/>
              <w:rPr>
                <w:sz w:val="15"/>
                <w:szCs w:val="15"/>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Cost for the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780" w:type="dxa"/>
            <w:vAlign w:val="bottom"/>
          </w:tcPr>
          <w:p>
            <w:pPr>
              <w:jc w:val="right"/>
              <w:ind w:right="332"/>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22"/>
                <w:szCs w:val="22"/>
                <w:color w:val="auto"/>
              </w:rPr>
            </w:pPr>
          </w:p>
        </w:tc>
        <w:tc>
          <w:tcPr>
            <w:tcW w:w="480" w:type="dxa"/>
            <w:vAlign w:val="bottom"/>
          </w:tcPr>
          <w:p>
            <w:pPr>
              <w:jc w:val="right"/>
              <w:ind w:right="132"/>
              <w:spacing w:after="0"/>
              <w:rPr>
                <w:sz w:val="20"/>
                <w:szCs w:val="20"/>
                <w:color w:val="auto"/>
              </w:rPr>
            </w:pPr>
            <w:r>
              <w:rPr>
                <w:rFonts w:ascii="Arial" w:cs="Arial" w:eastAsia="Arial" w:hAnsi="Arial"/>
                <w:sz w:val="14"/>
                <w:szCs w:val="14"/>
                <w:b w:val="1"/>
                <w:bCs w:val="1"/>
                <w:color w:val="auto"/>
                <w:w w:val="83"/>
              </w:rPr>
              <w:t>2009</w:t>
            </w: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 rate</w:t>
            </w:r>
          </w:p>
        </w:tc>
        <w:tc>
          <w:tcPr>
            <w:tcW w:w="7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6.00%</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6.50%</w:t>
            </w: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6.94%</w:t>
            </w:r>
          </w:p>
        </w:tc>
        <w:tc>
          <w:tcPr>
            <w:tcW w:w="8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6.50%</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Return on plan assets</w:t>
            </w:r>
          </w:p>
        </w:tc>
        <w:tc>
          <w:tcPr>
            <w:tcW w:w="78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8.00%</w:t>
            </w: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8.00%</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medical cost trend rate</w:t>
            </w:r>
          </w:p>
        </w:tc>
        <w:tc>
          <w:tcPr>
            <w:tcW w:w="7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8.00%</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9.00%</w:t>
            </w: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8.00%</w:t>
            </w:r>
          </w:p>
        </w:tc>
        <w:tc>
          <w:tcPr>
            <w:tcW w:w="8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9.00%</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Ultimate medical cost trend rate</w:t>
            </w: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5.00%</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5.00%</w:t>
            </w: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5.00%</w:t>
            </w: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that the rate reaches the ultimate trend rate</w:t>
            </w:r>
          </w:p>
        </w:tc>
        <w:tc>
          <w:tcPr>
            <w:tcW w:w="7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2015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w w:val="83"/>
              </w:rPr>
              <w:t>2015</w:t>
            </w:r>
          </w:p>
        </w:tc>
        <w:tc>
          <w:tcPr>
            <w:tcW w:w="8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2012</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net periodic benefit cost for the US postretirement medical plan included the following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2009</w:t>
            </w:r>
          </w:p>
        </w:tc>
        <w:tc>
          <w:tcPr>
            <w:tcW w:w="2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2007</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9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$ 19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2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(2)</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2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credit</w:t>
            </w: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2"/>
                <w:szCs w:val="12"/>
                <w:color w:val="auto"/>
              </w:rPr>
            </w:pPr>
          </w:p>
        </w:tc>
        <w:tc>
          <w:tcPr>
            <w:tcW w:w="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8"/>
              </w:rPr>
              <w:t>(27)</w:t>
            </w:r>
          </w:p>
        </w:tc>
        <w:tc>
          <w:tcPr>
            <w:tcW w:w="80" w:type="dxa"/>
            <w:vAlign w:val="bottom"/>
          </w:tcPr>
          <w:p>
            <w:pPr>
              <w:spacing w:after="0"/>
              <w:rPr>
                <w:sz w:val="12"/>
                <w:szCs w:val="12"/>
                <w:color w:val="auto"/>
              </w:rPr>
            </w:pP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net loss</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20" w:type="dxa"/>
            <w:vAlign w:val="bottom"/>
          </w:tcPr>
          <w:p>
            <w:pPr>
              <w:spacing w:after="0"/>
              <w:rPr>
                <w:sz w:val="20"/>
                <w:szCs w:val="20"/>
                <w:color w:val="auto"/>
              </w:rPr>
            </w:pPr>
            <w:r>
              <w:rPr>
                <w:rFonts w:ascii="Arial" w:cs="Arial" w:eastAsia="Arial" w:hAnsi="Arial"/>
                <w:sz w:val="14"/>
                <w:szCs w:val="14"/>
                <w:color w:val="auto"/>
              </w:rPr>
              <w:t>Curtailment charge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9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$ 57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9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1270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-29210</wp:posOffset>
            </wp:positionV>
            <wp:extent cx="21590"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accumulated postretirement benefit obligation, plan assets and funded status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Borders>
              <w:top w:val="single" w:sz="8" w:color="auto"/>
            </w:tcBorders>
          </w:tcPr>
          <w:p>
            <w:pPr>
              <w:spacing w:after="0"/>
              <w:rPr>
                <w:sz w:val="15"/>
                <w:szCs w:val="15"/>
                <w:color w:val="auto"/>
              </w:rPr>
            </w:pPr>
          </w:p>
        </w:tc>
        <w:tc>
          <w:tcPr>
            <w:tcW w:w="59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2008</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4700" w:type="dxa"/>
            <w:vAlign w:val="bottom"/>
          </w:tcPr>
          <w:p>
            <w:pPr>
              <w:spacing w:after="0"/>
              <w:rPr>
                <w:sz w:val="3"/>
                <w:szCs w:val="3"/>
                <w:color w:val="auto"/>
              </w:rPr>
            </w:pPr>
          </w:p>
        </w:tc>
        <w:tc>
          <w:tcPr>
            <w:tcW w:w="5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Change in Accumulated Postretirement Benefit Obligation</w:t>
            </w:r>
          </w:p>
        </w:tc>
        <w:tc>
          <w:tcPr>
            <w:tcW w:w="5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Benefit obligation at beginning of year</w:t>
            </w:r>
          </w:p>
        </w:tc>
        <w:tc>
          <w:tcPr>
            <w:tcW w:w="5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862</w:t>
            </w: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792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5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5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5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5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5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(31)</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Impact of curtailment</w:t>
            </w:r>
          </w:p>
        </w:tc>
        <w:tc>
          <w:tcPr>
            <w:tcW w:w="5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00" w:type="dxa"/>
            <w:vAlign w:val="bottom"/>
            <w:tcBorders>
              <w:bottom w:val="single" w:sz="8" w:color="808080"/>
            </w:tcBorders>
          </w:tcPr>
          <w:p>
            <w:pPr>
              <w:spacing w:after="0"/>
              <w:rPr>
                <w:sz w:val="7"/>
                <w:szCs w:val="7"/>
                <w:color w:val="auto"/>
              </w:rPr>
            </w:pPr>
          </w:p>
        </w:tc>
        <w:tc>
          <w:tcPr>
            <w:tcW w:w="55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 obligation at end of year</w:t>
            </w:r>
          </w:p>
        </w:tc>
        <w:tc>
          <w:tcPr>
            <w:tcW w:w="5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991</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5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Change in Plan Assets</w:t>
            </w:r>
          </w:p>
        </w:tc>
        <w:tc>
          <w:tcPr>
            <w:tcW w:w="5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Plan assets at fair value at beginning of year</w:t>
            </w:r>
          </w:p>
        </w:tc>
        <w:tc>
          <w:tcPr>
            <w:tcW w:w="5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Company contributions</w:t>
            </w:r>
          </w:p>
        </w:tc>
        <w:tc>
          <w:tcPr>
            <w:tcW w:w="5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5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5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(31)</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Actual return/(loss) on plan assets</w:t>
            </w:r>
          </w:p>
        </w:tc>
        <w:tc>
          <w:tcPr>
            <w:tcW w:w="5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00" w:type="dxa"/>
            <w:vAlign w:val="bottom"/>
            <w:tcBorders>
              <w:bottom w:val="single" w:sz="8" w:color="808080"/>
            </w:tcBorders>
          </w:tcPr>
          <w:p>
            <w:pPr>
              <w:spacing w:after="0"/>
              <w:rPr>
                <w:sz w:val="7"/>
                <w:szCs w:val="7"/>
                <w:color w:val="auto"/>
              </w:rPr>
            </w:pPr>
          </w:p>
        </w:tc>
        <w:tc>
          <w:tcPr>
            <w:tcW w:w="55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fair value at end of year</w:t>
            </w:r>
          </w:p>
        </w:tc>
        <w:tc>
          <w:tcPr>
            <w:tcW w:w="5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5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Funded Status</w:t>
            </w:r>
          </w:p>
        </w:tc>
        <w:tc>
          <w:tcPr>
            <w:tcW w:w="5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85"/>
              </w:rPr>
              <w:t>(933)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(833)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5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Amounts Recognized in Accumulated Other Comprehensive Income</w:t>
            </w:r>
          </w:p>
        </w:tc>
        <w:tc>
          <w:tcPr>
            <w:tcW w:w="5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5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223</w:t>
            </w: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Prior service cost</w:t>
            </w:r>
          </w:p>
        </w:tc>
        <w:tc>
          <w:tcPr>
            <w:tcW w:w="5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(56)</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55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5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167</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5540" w:type="dxa"/>
            <w:vAlign w:val="bottom"/>
            <w:vMerge w:val="restart"/>
          </w:tcPr>
          <w:p>
            <w:pPr>
              <w:jc w:val="right"/>
              <w:ind w:right="4412"/>
              <w:spacing w:after="0"/>
              <w:rPr>
                <w:sz w:val="20"/>
                <w:szCs w:val="20"/>
                <w:color w:val="auto"/>
              </w:rPr>
            </w:pPr>
            <w:r>
              <w:rPr>
                <w:rFonts w:ascii="Arial" w:cs="Arial" w:eastAsia="Arial" w:hAnsi="Arial"/>
                <w:sz w:val="14"/>
                <w:szCs w:val="14"/>
                <w:color w:val="auto"/>
              </w:rPr>
              <w:t>66</w:t>
            </w: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-2205355</wp:posOffset>
            </wp:positionV>
            <wp:extent cx="1270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-2205355</wp:posOffset>
            </wp:positionV>
            <wp:extent cx="21590"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-2205355</wp:posOffset>
            </wp:positionV>
            <wp:extent cx="38735"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-2205355</wp:posOffset>
            </wp:positionV>
            <wp:extent cx="12700"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-2205355</wp:posOffset>
            </wp:positionV>
            <wp:extent cx="21590"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-2205355</wp:posOffset>
            </wp:positionV>
            <wp:extent cx="38735"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-1235710</wp:posOffset>
            </wp:positionV>
            <wp:extent cx="1270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-1235710</wp:posOffset>
            </wp:positionV>
            <wp:extent cx="21590"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-1235710</wp:posOffset>
            </wp:positionV>
            <wp:extent cx="38735"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-1235710</wp:posOffset>
            </wp:positionV>
            <wp:extent cx="12700"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-1235710</wp:posOffset>
            </wp:positionV>
            <wp:extent cx="21590"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-1235710</wp:posOffset>
            </wp:positionV>
            <wp:extent cx="38735"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-978535</wp:posOffset>
            </wp:positionV>
            <wp:extent cx="12700"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-978535</wp:posOffset>
            </wp:positionV>
            <wp:extent cx="21590"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-978535</wp:posOffset>
            </wp:positionV>
            <wp:extent cx="38735"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-978535</wp:posOffset>
            </wp:positionV>
            <wp:extent cx="12700"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-978535</wp:posOffset>
            </wp:positionV>
            <wp:extent cx="21590"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-978535</wp:posOffset>
            </wp:positionV>
            <wp:extent cx="38735"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-292735</wp:posOffset>
            </wp:positionV>
            <wp:extent cx="12700"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-292735</wp:posOffset>
            </wp:positionV>
            <wp:extent cx="21590"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-292735</wp:posOffset>
            </wp:positionV>
            <wp:extent cx="38735"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-292735</wp:posOffset>
            </wp:positionV>
            <wp:extent cx="12700"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-292735</wp:posOffset>
            </wp:positionV>
            <wp:extent cx="2159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-292735</wp:posOffset>
            </wp:positionV>
            <wp:extent cx="38735"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underfunded position is included in </w:t>
      </w:r>
      <w:r>
        <w:rPr>
          <w:rFonts w:ascii="Arial" w:cs="Arial" w:eastAsia="Arial" w:hAnsi="Arial"/>
          <w:sz w:val="18"/>
          <w:szCs w:val="18"/>
          <w:i w:val="1"/>
          <w:iCs w:val="1"/>
          <w:color w:val="auto"/>
        </w:rPr>
        <w:t>Postretirement Benefits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p>
    <w:p>
      <w:pPr>
        <w:spacing w:after="0" w:line="15" w:lineRule="exact"/>
        <w:rPr>
          <w:sz w:val="20"/>
          <w:szCs w:val="20"/>
          <w:color w:val="auto"/>
        </w:rPr>
      </w:pPr>
    </w:p>
    <w:p>
      <w:pPr>
        <w:ind w:right="20" w:firstLine="228"/>
        <w:spacing w:after="0" w:line="261" w:lineRule="auto"/>
        <w:rPr>
          <w:sz w:val="20"/>
          <w:szCs w:val="20"/>
          <w:color w:val="auto"/>
        </w:rPr>
      </w:pPr>
      <w:r>
        <w:rPr>
          <w:rFonts w:ascii="Arial" w:cs="Arial" w:eastAsia="Arial" w:hAnsi="Arial"/>
          <w:sz w:val="18"/>
          <w:szCs w:val="18"/>
          <w:color w:val="auto"/>
        </w:rPr>
        <w:t>Assumed health care cost trend rates have a significant effect on the amounts reported for the U.S. postretirement medical plan. A one percentage point change in assumed health care cost trend rates would have the following effects: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4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One percentage</w:t>
            </w:r>
          </w:p>
        </w:tc>
        <w:tc>
          <w:tcPr>
            <w:tcW w:w="5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0"/>
              </w:rPr>
              <w:t>One percentage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point increase</w:t>
            </w:r>
          </w:p>
        </w:tc>
        <w:tc>
          <w:tcPr>
            <w:tcW w:w="56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4"/>
              </w:rPr>
              <w:t>point 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on total service and interest cost components</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color w:val="auto"/>
              </w:rPr>
              <w:t>Effect on accumulated postretirement benefit obligation</w:t>
            </w: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4"/>
                <w:szCs w:val="14"/>
                <w:color w:val="auto"/>
              </w:rPr>
              <w:t>154</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expected benefits to be paid under the US and International pension plans as well as the postretirement medical plan (which is disclosed net of the annual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Medicare Part D subsidy, which ranges from $3 million to $10 million per year) were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Borders>
              <w:top w:val="single" w:sz="8" w:color="auto"/>
            </w:tcBorders>
          </w:tcPr>
          <w:p>
            <w:pPr>
              <w:spacing w:after="0"/>
              <w:rPr>
                <w:sz w:val="15"/>
                <w:szCs w:val="15"/>
                <w:color w:val="auto"/>
              </w:rPr>
            </w:pPr>
          </w:p>
        </w:tc>
        <w:tc>
          <w:tcPr>
            <w:tcW w:w="34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w w:val="93"/>
              </w:rPr>
              <w:t>Pension Benefits</w:t>
            </w: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00" w:type="dxa"/>
            <w:vAlign w:val="bottom"/>
          </w:tcPr>
          <w:p>
            <w:pPr>
              <w:spacing w:after="0"/>
              <w:rPr>
                <w:sz w:val="6"/>
                <w:szCs w:val="6"/>
                <w:color w:val="auto"/>
              </w:rPr>
            </w:pPr>
          </w:p>
        </w:tc>
        <w:tc>
          <w:tcPr>
            <w:tcW w:w="344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vMerge w:val="restart"/>
          </w:tcPr>
          <w:p>
            <w:pPr>
              <w:spacing w:after="0"/>
              <w:rPr>
                <w:sz w:val="6"/>
                <w:szCs w:val="6"/>
                <w:color w:val="auto"/>
              </w:rPr>
            </w:pPr>
          </w:p>
        </w:tc>
        <w:tc>
          <w:tcPr>
            <w:tcW w:w="8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4"/>
              </w:rPr>
              <w:t>Postretirement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US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International</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Medical 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3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$ 114</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118</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3880" w:type="dxa"/>
            <w:vAlign w:val="bottom"/>
            <w:gridSpan w:val="3"/>
          </w:tcPr>
          <w:p>
            <w:pPr>
              <w:ind w:left="3560"/>
              <w:spacing w:after="0" w:line="149" w:lineRule="exact"/>
              <w:rPr>
                <w:sz w:val="20"/>
                <w:szCs w:val="20"/>
                <w:color w:val="auto"/>
              </w:rPr>
            </w:pPr>
            <w:r>
              <w:rPr>
                <w:rFonts w:ascii="Arial" w:cs="Arial" w:eastAsia="Arial" w:hAnsi="Arial"/>
                <w:sz w:val="14"/>
                <w:szCs w:val="14"/>
                <w:color w:val="auto"/>
              </w:rPr>
              <w:t>117</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3740" w:type="dxa"/>
            <w:vAlign w:val="bottom"/>
            <w:gridSpan w:val="2"/>
            <w:shd w:val="clear" w:color="auto" w:fill="CCEEFF"/>
          </w:tcPr>
          <w:p>
            <w:pPr>
              <w:ind w:left="3540"/>
              <w:spacing w:after="0" w:line="149" w:lineRule="exact"/>
              <w:rPr>
                <w:sz w:val="20"/>
                <w:szCs w:val="20"/>
                <w:color w:val="auto"/>
              </w:rPr>
            </w:pPr>
            <w:r>
              <w:rPr>
                <w:rFonts w:ascii="Arial" w:cs="Arial" w:eastAsia="Arial" w:hAnsi="Arial"/>
                <w:sz w:val="14"/>
                <w:szCs w:val="14"/>
                <w:color w:val="auto"/>
                <w:w w:val="76"/>
              </w:rPr>
              <w:t>121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2013</w:t>
            </w:r>
          </w:p>
        </w:tc>
        <w:tc>
          <w:tcPr>
            <w:tcW w:w="3740" w:type="dxa"/>
            <w:vAlign w:val="bottom"/>
            <w:gridSpan w:val="2"/>
          </w:tcPr>
          <w:p>
            <w:pPr>
              <w:ind w:left="3540"/>
              <w:spacing w:after="0" w:line="149" w:lineRule="exact"/>
              <w:rPr>
                <w:sz w:val="20"/>
                <w:szCs w:val="20"/>
                <w:color w:val="auto"/>
              </w:rPr>
            </w:pPr>
            <w:r>
              <w:rPr>
                <w:rFonts w:ascii="Arial" w:cs="Arial" w:eastAsia="Arial" w:hAnsi="Arial"/>
                <w:sz w:val="14"/>
                <w:szCs w:val="14"/>
                <w:color w:val="auto"/>
                <w:w w:val="76"/>
              </w:rPr>
              <w:t>125</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2014</w:t>
            </w:r>
          </w:p>
        </w:tc>
        <w:tc>
          <w:tcPr>
            <w:tcW w:w="3740" w:type="dxa"/>
            <w:vAlign w:val="bottom"/>
            <w:gridSpan w:val="2"/>
            <w:shd w:val="clear" w:color="auto" w:fill="CCEEFF"/>
          </w:tcPr>
          <w:p>
            <w:pPr>
              <w:ind w:left="3540"/>
              <w:spacing w:after="0" w:line="149" w:lineRule="exact"/>
              <w:rPr>
                <w:sz w:val="20"/>
                <w:szCs w:val="20"/>
                <w:color w:val="auto"/>
              </w:rPr>
            </w:pPr>
            <w:r>
              <w:rPr>
                <w:rFonts w:ascii="Arial" w:cs="Arial" w:eastAsia="Arial" w:hAnsi="Arial"/>
                <w:sz w:val="14"/>
                <w:szCs w:val="14"/>
                <w:color w:val="auto"/>
                <w:w w:val="76"/>
              </w:rPr>
              <w:t>129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2015 – 2019</w:t>
            </w:r>
          </w:p>
        </w:tc>
        <w:tc>
          <w:tcPr>
            <w:tcW w:w="3740" w:type="dxa"/>
            <w:vAlign w:val="bottom"/>
            <w:gridSpan w:val="2"/>
          </w:tcPr>
          <w:p>
            <w:pPr>
              <w:ind w:left="3540"/>
              <w:spacing w:after="0"/>
              <w:rPr>
                <w:sz w:val="20"/>
                <w:szCs w:val="20"/>
                <w:color w:val="auto"/>
              </w:rPr>
            </w:pPr>
            <w:r>
              <w:rPr>
                <w:rFonts w:ascii="Arial" w:cs="Arial" w:eastAsia="Arial" w:hAnsi="Arial"/>
                <w:sz w:val="14"/>
                <w:szCs w:val="14"/>
                <w:color w:val="auto"/>
                <w:w w:val="76"/>
              </w:rPr>
              <w:t>733</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976</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right="80" w:firstLine="228"/>
        <w:spacing w:after="0" w:line="30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at December 31, 2009 are non-cash pretax charges which have not yet been recognized in net periodic benefit cost. The estimated amounts that will be amortized from the estimated portion of each component of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which is expected to be recognized as a component of net periodic benefit cost during the year-ending December 31, 2010 is as follows: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812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2"/>
          </w:tcPr>
          <w:p>
            <w:pPr>
              <w:ind w:left="960"/>
              <w:spacing w:after="0" w:line="129" w:lineRule="exact"/>
              <w:rPr>
                <w:sz w:val="20"/>
                <w:szCs w:val="20"/>
                <w:color w:val="auto"/>
              </w:rPr>
            </w:pPr>
            <w:r>
              <w:rPr>
                <w:rFonts w:ascii="Arial" w:cs="Arial" w:eastAsia="Arial" w:hAnsi="Arial"/>
                <w:sz w:val="14"/>
                <w:szCs w:val="14"/>
                <w:b w:val="1"/>
                <w:bCs w:val="1"/>
                <w:color w:val="auto"/>
              </w:rPr>
              <w:t>Pension</w:t>
            </w:r>
          </w:p>
        </w:tc>
        <w:tc>
          <w:tcPr>
            <w:tcW w:w="1420" w:type="dxa"/>
            <w:vAlign w:val="bottom"/>
            <w:tcBorders>
              <w:top w:val="single" w:sz="8" w:color="auto"/>
            </w:tcBorders>
            <w:gridSpan w:val="2"/>
          </w:tcPr>
          <w:p>
            <w:pPr>
              <w:ind w:left="480"/>
              <w:spacing w:after="0" w:line="129" w:lineRule="exact"/>
              <w:rPr>
                <w:sz w:val="20"/>
                <w:szCs w:val="20"/>
                <w:color w:val="auto"/>
              </w:rPr>
            </w:pPr>
            <w:r>
              <w:rPr>
                <w:rFonts w:ascii="Arial" w:cs="Arial" w:eastAsia="Arial" w:hAnsi="Arial"/>
                <w:sz w:val="14"/>
                <w:szCs w:val="14"/>
                <w:b w:val="1"/>
                <w:bCs w:val="1"/>
                <w:color w:val="auto"/>
                <w:w w:val="93"/>
              </w:rPr>
              <w:t>Postretirement</w:t>
            </w:r>
          </w:p>
        </w:tc>
      </w:tr>
      <w:tr>
        <w:trPr>
          <w:trHeight w:val="161"/>
        </w:trPr>
        <w:tc>
          <w:tcPr>
            <w:tcW w:w="8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85"/>
              </w:rPr>
              <w:t>Plans</w:t>
            </w: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Medical Plan</w:t>
            </w:r>
          </w:p>
        </w:tc>
      </w:tr>
      <w:tr>
        <w:trPr>
          <w:trHeight w:val="142"/>
        </w:trPr>
        <w:tc>
          <w:tcPr>
            <w:tcW w:w="8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actuarial losses</w:t>
            </w:r>
          </w:p>
        </w:tc>
        <w:tc>
          <w:tcPr>
            <w:tcW w:w="1060" w:type="dxa"/>
            <w:vAlign w:val="bottom"/>
            <w:shd w:val="clear" w:color="auto" w:fill="CCEEFF"/>
          </w:tcPr>
          <w:p>
            <w:pPr>
              <w:ind w:left="960"/>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12"/>
              <w:spacing w:after="0" w:line="142" w:lineRule="exact"/>
              <w:rPr>
                <w:sz w:val="20"/>
                <w:szCs w:val="20"/>
                <w:color w:val="auto"/>
              </w:rPr>
            </w:pPr>
            <w:r>
              <w:rPr>
                <w:rFonts w:ascii="Arial" w:cs="Arial" w:eastAsia="Arial" w:hAnsi="Arial"/>
                <w:sz w:val="14"/>
                <w:szCs w:val="14"/>
                <w:color w:val="auto"/>
              </w:rPr>
              <w:t>77</w:t>
            </w:r>
          </w:p>
        </w:tc>
        <w:tc>
          <w:tcPr>
            <w:tcW w:w="560" w:type="dxa"/>
            <w:vAlign w:val="bottom"/>
            <w:shd w:val="clear" w:color="auto" w:fill="CCEEFF"/>
          </w:tcPr>
          <w:p>
            <w:pPr>
              <w:ind w:left="480"/>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11</w:t>
            </w:r>
          </w:p>
        </w:tc>
      </w:tr>
      <w:tr>
        <w:trPr>
          <w:trHeight w:val="172"/>
        </w:trPr>
        <w:tc>
          <w:tcPr>
            <w:tcW w:w="8120" w:type="dxa"/>
            <w:vAlign w:val="bottom"/>
          </w:tcPr>
          <w:p>
            <w:pPr>
              <w:spacing w:after="0"/>
              <w:rPr>
                <w:sz w:val="20"/>
                <w:szCs w:val="20"/>
                <w:color w:val="auto"/>
              </w:rPr>
            </w:pPr>
            <w:r>
              <w:rPr>
                <w:rFonts w:ascii="Arial" w:cs="Arial" w:eastAsia="Arial" w:hAnsi="Arial"/>
                <w:sz w:val="14"/>
                <w:szCs w:val="14"/>
                <w:color w:val="auto"/>
              </w:rPr>
              <w:t>Prior service cost / (credit)</w:t>
            </w:r>
          </w:p>
        </w:tc>
        <w:tc>
          <w:tcPr>
            <w:tcW w:w="1060" w:type="dxa"/>
            <w:vAlign w:val="bottom"/>
          </w:tcPr>
          <w:p>
            <w:pPr>
              <w:ind w:left="9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12"/>
              <w:spacing w:after="0"/>
              <w:rPr>
                <w:sz w:val="20"/>
                <w:szCs w:val="20"/>
                <w:color w:val="auto"/>
              </w:rPr>
            </w:pPr>
            <w:r>
              <w:rPr>
                <w:rFonts w:ascii="Arial" w:cs="Arial" w:eastAsia="Arial" w:hAnsi="Arial"/>
                <w:sz w:val="14"/>
                <w:szCs w:val="14"/>
                <w:color w:val="auto"/>
              </w:rPr>
              <w:t>116</w:t>
            </w:r>
          </w:p>
        </w:tc>
        <w:tc>
          <w:tcPr>
            <w:tcW w:w="560" w:type="dxa"/>
            <w:vAlign w:val="bottom"/>
          </w:tcPr>
          <w:p>
            <w:pPr>
              <w:ind w:left="48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r>
    </w:tbl>
    <w:p>
      <w:pPr>
        <w:spacing w:after="0" w:line="35"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addition to providing defined pension benefits and a postretirement medical plan, Schlumberger and its subsidiaries have other deferred benefit programs, primarily profit sharing and defined contribution pension plans. Expenses for these programs were $418 million, $482 million and $408 million in 2009, 2008 and 2007,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w:t>
        <w:tab/>
        <w:t>Supplementary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and income taxes was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$249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6"/>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7"/>
              </w:rPr>
              <w:t>$  289</w:t>
            </w:r>
          </w:p>
        </w:tc>
        <w:tc>
          <w:tcPr>
            <w:tcW w:w="2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269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spacing w:after="0"/>
              <w:rPr>
                <w:sz w:val="20"/>
                <w:szCs w:val="20"/>
                <w:color w:val="auto"/>
              </w:rPr>
            </w:pPr>
            <w:r>
              <w:rPr>
                <w:rFonts w:ascii="Arial" w:cs="Arial" w:eastAsia="Arial" w:hAnsi="Arial"/>
                <w:sz w:val="14"/>
                <w:szCs w:val="14"/>
                <w:color w:val="auto"/>
              </w:rPr>
              <w:t>Income taxes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$665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6"/>
          </w:tcPr>
          <w:p>
            <w:pPr>
              <w:jc w:val="center"/>
              <w:ind w:right="100"/>
              <w:spacing w:after="0"/>
              <w:rPr>
                <w:sz w:val="20"/>
                <w:szCs w:val="20"/>
                <w:color w:val="auto"/>
              </w:rPr>
            </w:pPr>
            <w:r>
              <w:rPr>
                <w:rFonts w:ascii="Arial" w:cs="Arial" w:eastAsia="Arial" w:hAnsi="Arial"/>
                <w:sz w:val="14"/>
                <w:szCs w:val="14"/>
                <w:color w:val="auto"/>
                <w:w w:val="88"/>
              </w:rPr>
              <w:t>$1,158</w:t>
            </w:r>
          </w:p>
        </w:tc>
        <w:tc>
          <w:tcPr>
            <w:tcW w:w="220" w:type="dxa"/>
            <w:vAlign w:val="bottom"/>
          </w:tcPr>
          <w:p>
            <w:pPr>
              <w:spacing w:after="0"/>
              <w:rPr>
                <w:sz w:val="15"/>
                <w:szCs w:val="15"/>
                <w:color w:val="auto"/>
              </w:rPr>
            </w:pPr>
          </w:p>
        </w:tc>
        <w:tc>
          <w:tcPr>
            <w:tcW w:w="420" w:type="dxa"/>
            <w:vAlign w:val="bottom"/>
            <w:gridSpan w:val="4"/>
          </w:tcPr>
          <w:p>
            <w:pPr>
              <w:jc w:val="right"/>
              <w:spacing w:after="0"/>
              <w:rPr>
                <w:sz w:val="20"/>
                <w:szCs w:val="20"/>
                <w:color w:val="auto"/>
              </w:rPr>
            </w:pPr>
            <w:r>
              <w:rPr>
                <w:rFonts w:ascii="Arial" w:cs="Arial" w:eastAsia="Arial" w:hAnsi="Arial"/>
                <w:sz w:val="14"/>
                <w:szCs w:val="14"/>
                <w:color w:val="auto"/>
                <w:w w:val="93"/>
              </w:rPr>
              <w:t>$1,127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460" w:type="dxa"/>
            <w:vAlign w:val="bottom"/>
          </w:tcPr>
          <w:p>
            <w:pPr>
              <w:ind w:left="220"/>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are summarized as follows:</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4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9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Payroll, vacation and employee benefits</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$ 1,047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line="149" w:lineRule="exact"/>
              <w:rPr>
                <w:sz w:val="20"/>
                <w:szCs w:val="20"/>
                <w:color w:val="auto"/>
              </w:rPr>
            </w:pPr>
            <w:r>
              <w:rPr>
                <w:rFonts w:ascii="Arial" w:cs="Arial" w:eastAsia="Arial" w:hAnsi="Arial"/>
                <w:sz w:val="14"/>
                <w:szCs w:val="14"/>
                <w:color w:val="auto"/>
              </w:rPr>
              <w:t>Trade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4"/>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1,793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2,163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$ 5,003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$ 5,318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8"/>
                <w:szCs w:val="18"/>
                <w:color w:val="auto"/>
              </w:rPr>
              <w:t>includes the following: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9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4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9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$ 61</w:t>
            </w:r>
          </w:p>
        </w:tc>
        <w:tc>
          <w:tcPr>
            <w:tcW w:w="120" w:type="dxa"/>
            <w:vAlign w:val="bottom"/>
            <w:shd w:val="clear" w:color="auto" w:fill="CCEEFF"/>
          </w:tcPr>
          <w:p>
            <w:pPr>
              <w:spacing w:after="0"/>
              <w:rPr>
                <w:sz w:val="12"/>
                <w:szCs w:val="12"/>
                <w:color w:val="auto"/>
              </w:rPr>
            </w:pPr>
          </w:p>
        </w:tc>
        <w:tc>
          <w:tcPr>
            <w:tcW w:w="64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w:t>
            </w:r>
          </w:p>
        </w:tc>
        <w:tc>
          <w:tcPr>
            <w:tcW w:w="2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209</w:t>
            </w:r>
          </w:p>
        </w:tc>
        <w:tc>
          <w:tcPr>
            <w:tcW w:w="120" w:type="dxa"/>
            <w:vAlign w:val="bottom"/>
          </w:tcPr>
          <w:p>
            <w:pPr>
              <w:spacing w:after="0"/>
              <w:rPr>
                <w:sz w:val="12"/>
                <w:szCs w:val="12"/>
                <w:color w:val="auto"/>
              </w:rPr>
            </w:pPr>
          </w:p>
        </w:tc>
        <w:tc>
          <w:tcPr>
            <w:tcW w:w="64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293</w:t>
            </w:r>
          </w:p>
        </w:tc>
        <w:tc>
          <w:tcPr>
            <w:tcW w:w="220" w:type="dxa"/>
            <w:vAlign w:val="bottom"/>
          </w:tcPr>
          <w:p>
            <w:pPr>
              <w:spacing w:after="0"/>
              <w:rPr>
                <w:sz w:val="12"/>
                <w:szCs w:val="12"/>
                <w:color w:val="auto"/>
              </w:rPr>
            </w:pPr>
          </w:p>
        </w:tc>
        <w:tc>
          <w:tcPr>
            <w:tcW w:w="4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12"/>
                <w:szCs w:val="12"/>
                <w:color w:val="auto"/>
              </w:rPr>
            </w:pPr>
          </w:p>
        </w:tc>
        <w:tc>
          <w:tcPr>
            <w:tcW w:w="860" w:type="dxa"/>
            <w:vAlign w:val="bottom"/>
            <w:gridSpan w:val="7"/>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$273</w:t>
            </w:r>
          </w:p>
        </w:tc>
        <w:tc>
          <w:tcPr>
            <w:tcW w:w="120" w:type="dxa"/>
            <w:vAlign w:val="bottom"/>
            <w:shd w:val="clear" w:color="auto" w:fill="CCEEFF"/>
          </w:tcPr>
          <w:p>
            <w:pPr>
              <w:spacing w:after="0"/>
              <w:rPr>
                <w:sz w:val="12"/>
                <w:szCs w:val="12"/>
                <w:color w:val="auto"/>
              </w:rPr>
            </w:pPr>
          </w:p>
        </w:tc>
        <w:tc>
          <w:tcPr>
            <w:tcW w:w="64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$402</w:t>
            </w:r>
          </w:p>
        </w:tc>
        <w:tc>
          <w:tcPr>
            <w:tcW w:w="2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tc>
        <w:tc>
          <w:tcPr>
            <w:tcW w:w="2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9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4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4"/>
          </w:tcPr>
          <w:p>
            <w:pPr>
              <w:jc w:val="center"/>
              <w:ind w:left="52"/>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9460" w:type="dxa"/>
            <w:vAlign w:val="bottom"/>
          </w:tcPr>
          <w:p>
            <w:pPr>
              <w:spacing w:after="0"/>
              <w:rPr>
                <w:sz w:val="7"/>
                <w:szCs w:val="7"/>
                <w:color w:val="auto"/>
              </w:rPr>
            </w:pPr>
          </w:p>
        </w:tc>
        <w:tc>
          <w:tcPr>
            <w:tcW w:w="32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$133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5"/>
              </w:rPr>
              <w:t>$ 86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line="149" w:lineRule="exact"/>
              <w:rPr>
                <w:sz w:val="20"/>
                <w:szCs w:val="20"/>
                <w:color w:val="auto"/>
              </w:rPr>
            </w:pPr>
            <w:r>
              <w:rPr>
                <w:rFonts w:ascii="Arial" w:cs="Arial" w:eastAsia="Arial" w:hAnsi="Arial"/>
                <w:sz w:val="14"/>
                <w:szCs w:val="14"/>
                <w:color w:val="auto"/>
              </w:rPr>
              <w:t>Provision</w:t>
            </w:r>
          </w:p>
        </w:tc>
        <w:tc>
          <w:tcPr>
            <w:tcW w:w="3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65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written off</w:t>
            </w:r>
          </w:p>
        </w:tc>
        <w:tc>
          <w:tcPr>
            <w:tcW w:w="5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(27)</w:t>
            </w:r>
          </w:p>
        </w:tc>
        <w:tc>
          <w:tcPr>
            <w:tcW w:w="120" w:type="dxa"/>
            <w:vAlign w:val="bottom"/>
            <w:shd w:val="clear" w:color="auto" w:fill="CCEEFF"/>
          </w:tcPr>
          <w:p>
            <w:pPr>
              <w:spacing w:after="0"/>
              <w:rPr>
                <w:sz w:val="12"/>
                <w:szCs w:val="12"/>
                <w:color w:val="auto"/>
              </w:rPr>
            </w:pPr>
          </w:p>
        </w:tc>
        <w:tc>
          <w:tcPr>
            <w:tcW w:w="64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$160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3"/>
              </w:rPr>
              <w:t>$133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$ 86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-2378710</wp:posOffset>
            </wp:positionV>
            <wp:extent cx="12700"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-2378710</wp:posOffset>
            </wp:positionV>
            <wp:extent cx="12700"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-2378710</wp:posOffset>
            </wp:positionV>
            <wp:extent cx="2159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-2378710</wp:posOffset>
            </wp:positionV>
            <wp:extent cx="12700"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-2378710</wp:posOffset>
            </wp:positionV>
            <wp:extent cx="12700"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-2378710</wp:posOffset>
            </wp:positionV>
            <wp:extent cx="21590"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-1203960</wp:posOffset>
            </wp:positionV>
            <wp:extent cx="12700"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-1203960</wp:posOffset>
            </wp:positionV>
            <wp:extent cx="1270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-1203960</wp:posOffset>
            </wp:positionV>
            <wp:extent cx="21590"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-1203960</wp:posOffset>
            </wp:positionV>
            <wp:extent cx="12700"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-1203960</wp:posOffset>
            </wp:positionV>
            <wp:extent cx="21590"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-1203960</wp:posOffset>
            </wp:positionV>
            <wp:extent cx="38735"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-1203960</wp:posOffset>
            </wp:positionV>
            <wp:extent cx="12700"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-1203960</wp:posOffset>
            </wp:positionV>
            <wp:extent cx="12700"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-1203960</wp:posOffset>
            </wp:positionV>
            <wp:extent cx="21590"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38735"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38735"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12700"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-29210</wp:posOffset>
            </wp:positionV>
            <wp:extent cx="21590"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72" w:lineRule="exact"/>
        <w:rPr>
          <w:sz w:val="20"/>
          <w:szCs w:val="20"/>
          <w:color w:val="auto"/>
        </w:rPr>
      </w:pPr>
    </w:p>
    <w:p>
      <w:pPr>
        <w:jc w:val="both"/>
        <w:ind w:right="440"/>
        <w:spacing w:after="0" w:line="284" w:lineRule="auto"/>
        <w:rPr>
          <w:sz w:val="20"/>
          <w:szCs w:val="20"/>
          <w:color w:val="auto"/>
        </w:rPr>
      </w:pPr>
      <w:r>
        <w:rPr>
          <w:rFonts w:ascii="Arial" w:cs="Arial" w:eastAsia="Arial" w:hAnsi="Arial"/>
          <w:sz w:val="16"/>
          <w:szCs w:val="16"/>
          <w:color w:val="auto"/>
        </w:rPr>
        <w:t xml:space="preserve">During the fourth quarter of 2009, Schlumberger recorded a net $22 million charge related to the resolution of a customs assessment pertaining to its former offshore contract drilling business, as well as the resolution of certain contingencies associated with other previously disposed of businesses. This amount is included in </w:t>
      </w:r>
      <w:r>
        <w:rPr>
          <w:rFonts w:ascii="Arial" w:cs="Arial" w:eastAsia="Arial" w:hAnsi="Arial"/>
          <w:sz w:val="16"/>
          <w:szCs w:val="16"/>
          <w:i w:val="1"/>
          <w:iCs w:val="1"/>
          <w:color w:val="auto"/>
        </w:rPr>
        <w:t>Income (Loss) from 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sz w:val="20"/>
          <w:szCs w:val="20"/>
          <w:color w:val="auto"/>
        </w:rPr>
      </w:pPr>
    </w:p>
    <w:p>
      <w:pPr>
        <w:ind w:right="120" w:firstLine="228"/>
        <w:spacing w:after="0" w:line="323" w:lineRule="auto"/>
        <w:rPr>
          <w:sz w:val="20"/>
          <w:szCs w:val="20"/>
          <w:color w:val="auto"/>
        </w:rPr>
      </w:pPr>
      <w:r>
        <w:rPr>
          <w:rFonts w:ascii="Arial" w:cs="Arial" w:eastAsia="Arial" w:hAnsi="Arial"/>
          <w:sz w:val="16"/>
          <w:szCs w:val="16"/>
          <w:color w:val="auto"/>
        </w:rPr>
        <w:t xml:space="preserve">During the first quarter of 2008, Schlumberger recorded a gain of $38 million related to the resolution of a contingency associated with a previously disposed of business. This gain is included in </w:t>
      </w:r>
      <w:r>
        <w:rPr>
          <w:rFonts w:ascii="Arial" w:cs="Arial" w:eastAsia="Arial" w:hAnsi="Arial"/>
          <w:sz w:val="16"/>
          <w:szCs w:val="16"/>
          <w:i w:val="1"/>
          <w:iCs w:val="1"/>
          <w:color w:val="auto"/>
        </w:rPr>
        <w:t>Income (Loss) from 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have been evaluated through February 5, 2010, which is the date the financial statements were issued.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management of Schlumberger Limited is responsible for establishing and maintaining adequate internal control over financial reporting as defined in Rule 13a–15(f) of the Securities Exchange Act of 1934, as amended. Schlumberger Limited’s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right="280" w:firstLine="228"/>
        <w:spacing w:after="0" w:line="250" w:lineRule="auto"/>
        <w:rPr>
          <w:sz w:val="20"/>
          <w:szCs w:val="20"/>
          <w:color w:val="auto"/>
        </w:rPr>
      </w:pPr>
      <w:r>
        <w:rPr>
          <w:rFonts w:ascii="Arial" w:cs="Arial" w:eastAsia="Arial" w:hAnsi="Arial"/>
          <w:sz w:val="18"/>
          <w:szCs w:val="18"/>
          <w:color w:val="auto"/>
        </w:rPr>
        <w:t>Schlumberger Limited management assessed the effectiveness of its internal control over financial reporting as of December 31, 2009. In making this assessment, it used the criteria set forth by the Committee of Sponsoring Organizations of the Treadway Commission (COSO) in Internal Control – Integrated Framework. Based on this assessment Schlumberger Limited management has concluded that, as of December 31, 2009, its internal control over financial reporting is effective based on those criteria.</w:t>
      </w:r>
    </w:p>
    <w:p>
      <w:pPr>
        <w:spacing w:after="0" w:line="2" w:lineRule="exact"/>
        <w:rPr>
          <w:sz w:val="20"/>
          <w:szCs w:val="20"/>
          <w:color w:val="auto"/>
        </w:rPr>
      </w:pPr>
    </w:p>
    <w:p>
      <w:pPr>
        <w:ind w:right="100" w:firstLine="228"/>
        <w:spacing w:after="0" w:line="261" w:lineRule="auto"/>
        <w:rPr>
          <w:sz w:val="20"/>
          <w:szCs w:val="20"/>
          <w:color w:val="auto"/>
        </w:rPr>
      </w:pPr>
      <w:r>
        <w:rPr>
          <w:rFonts w:ascii="Arial" w:cs="Arial" w:eastAsia="Arial" w:hAnsi="Arial"/>
          <w:sz w:val="18"/>
          <w:szCs w:val="18"/>
          <w:color w:val="auto"/>
        </w:rPr>
        <w:t>The effectiveness of Schlumberger Limited’s internal control over financial reporting as of December 31, 2009, has been audited by PricewaterhouseCoopers LLP, an independent registered public accounting firm, as stated in their report which appears herein.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stockholders’ equity and of cash</w:t>
      </w:r>
    </w:p>
    <w:p>
      <w:pPr>
        <w:spacing w:after="0" w:line="3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flows present fairly, in all material respects, the financial position of Schlumberger Limited and its subsidiaries at December 31, 2009 and 2008, and the results of their operations and their cash flows for each of the three years in the period ended December 31, 2009 in conformity with accounting principles generally accepted in the United States of America. Also in our opinion, the Company maintained, in all material respects, effective internal control over financial reporting as of December 31, 2009,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5, 2010</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 9, 9A, 9B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Schlumberger’s results by quarter for the years ended December 31, 2009 and 2008.</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6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10" w:type="dxa"/>
            <w:vAlign w:val="bottom"/>
            <w:tcBorders>
              <w:top w:val="single" w:sz="8" w:color="auto"/>
            </w:tcBorders>
          </w:tcPr>
          <w:p>
            <w:pPr>
              <w:spacing w:after="0"/>
              <w:rPr>
                <w:sz w:val="11"/>
                <w:szCs w:val="11"/>
                <w:color w:val="auto"/>
              </w:rPr>
            </w:pPr>
          </w:p>
        </w:tc>
        <w:tc>
          <w:tcPr>
            <w:tcW w:w="55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4"/>
          </w:tcPr>
          <w:p>
            <w:pPr>
              <w:jc w:val="right"/>
              <w:ind w:right="20"/>
              <w:spacing w:after="0" w:line="12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5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4"/>
          </w:tcPr>
          <w:p>
            <w:pPr>
              <w:jc w:val="right"/>
              <w:ind w:right="20"/>
              <w:spacing w:after="0" w:line="135" w:lineRule="exact"/>
              <w:rPr>
                <w:sz w:val="20"/>
                <w:szCs w:val="20"/>
                <w:color w:val="auto"/>
              </w:rPr>
            </w:pPr>
            <w:r>
              <w:rPr>
                <w:rFonts w:ascii="Arial" w:cs="Arial" w:eastAsia="Arial" w:hAnsi="Arial"/>
                <w:sz w:val="14"/>
                <w:szCs w:val="14"/>
                <w:b w:val="1"/>
                <w:bCs w:val="1"/>
                <w:color w:val="auto"/>
              </w:rPr>
              <w:t>share of</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55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Net Income</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4"/>
          </w:tcPr>
          <w:p>
            <w:pPr>
              <w:jc w:val="right"/>
              <w:ind w:right="20"/>
              <w:spacing w:after="0" w:line="229" w:lineRule="exact"/>
              <w:rPr>
                <w:sz w:val="20"/>
                <w:szCs w:val="20"/>
                <w:color w:val="auto"/>
              </w:rPr>
            </w:pPr>
            <w:r>
              <w:rPr>
                <w:rFonts w:ascii="Arial" w:cs="Arial" w:eastAsia="Arial" w:hAnsi="Arial"/>
                <w:sz w:val="14"/>
                <w:szCs w:val="14"/>
                <w:b w:val="1"/>
                <w:bCs w:val="1"/>
                <w:color w:val="auto"/>
                <w:w w:val="90"/>
              </w:rPr>
              <w:t xml:space="preserve">Schlumberger </w:t>
            </w:r>
            <w:r>
              <w:rPr>
                <w:rFonts w:ascii="Arial" w:cs="Arial" w:eastAsia="Arial" w:hAnsi="Arial"/>
                <w:sz w:val="22"/>
                <w:szCs w:val="22"/>
                <w:b w:val="1"/>
                <w:bCs w:val="1"/>
                <w:color w:val="auto"/>
                <w:w w:val="90"/>
                <w:vertAlign w:val="superscript"/>
              </w:rPr>
              <w:t>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 w:type="dxa"/>
            <w:vAlign w:val="bottom"/>
          </w:tcPr>
          <w:p>
            <w:pPr>
              <w:spacing w:after="0"/>
              <w:rPr>
                <w:sz w:val="3"/>
                <w:szCs w:val="3"/>
                <w:color w:val="auto"/>
              </w:rPr>
            </w:pPr>
          </w:p>
        </w:tc>
        <w:tc>
          <w:tcPr>
            <w:tcW w:w="55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Gross</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w w:val="87"/>
              </w:rPr>
              <w:t>attributable to</w:t>
            </w:r>
          </w:p>
        </w:tc>
        <w:tc>
          <w:tcPr>
            <w:tcW w:w="5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 w:type="dxa"/>
            <w:vAlign w:val="bottom"/>
          </w:tcPr>
          <w:p>
            <w:pPr>
              <w:spacing w:after="0"/>
              <w:rPr>
                <w:sz w:val="6"/>
                <w:szCs w:val="6"/>
                <w:color w:val="auto"/>
              </w:rPr>
            </w:pPr>
          </w:p>
        </w:tc>
        <w:tc>
          <w:tcPr>
            <w:tcW w:w="55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520" w:type="dxa"/>
            <w:vAlign w:val="bottom"/>
          </w:tcPr>
          <w:p>
            <w:pPr>
              <w:spacing w:after="0"/>
              <w:rPr>
                <w:sz w:val="15"/>
                <w:szCs w:val="15"/>
                <w:color w:val="auto"/>
              </w:rPr>
            </w:pPr>
          </w:p>
        </w:tc>
        <w:tc>
          <w:tcPr>
            <w:tcW w:w="66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w w:val="90"/>
              </w:rPr>
              <w:t xml:space="preserve">Margin </w:t>
            </w:r>
            <w:r>
              <w:rPr>
                <w:rFonts w:ascii="Arial" w:cs="Arial" w:eastAsia="Arial" w:hAnsi="Arial"/>
                <w:sz w:val="20"/>
                <w:szCs w:val="20"/>
                <w:b w:val="1"/>
                <w:bCs w:val="1"/>
                <w:color w:val="auto"/>
                <w:w w:val="90"/>
                <w:vertAlign w:val="superscript"/>
              </w:rPr>
              <w:t>1, 2</w:t>
            </w:r>
          </w:p>
        </w:tc>
        <w:tc>
          <w:tcPr>
            <w:tcW w:w="520" w:type="dxa"/>
            <w:vAlign w:val="bottom"/>
          </w:tcPr>
          <w:p>
            <w:pPr>
              <w:spacing w:after="0"/>
              <w:rPr>
                <w:sz w:val="15"/>
                <w:szCs w:val="15"/>
                <w:color w:val="auto"/>
              </w:rPr>
            </w:pPr>
          </w:p>
        </w:tc>
        <w:tc>
          <w:tcPr>
            <w:tcW w:w="92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w w:val="89"/>
              </w:rPr>
              <w:t xml:space="preserve">Schlumberger </w:t>
            </w:r>
            <w:r>
              <w:rPr>
                <w:rFonts w:ascii="Arial" w:cs="Arial" w:eastAsia="Arial" w:hAnsi="Arial"/>
                <w:sz w:val="20"/>
                <w:szCs w:val="20"/>
                <w:b w:val="1"/>
                <w:bCs w:val="1"/>
                <w:color w:val="auto"/>
                <w:w w:val="89"/>
                <w:vertAlign w:val="superscript"/>
              </w:rPr>
              <w:t>2</w:t>
            </w:r>
          </w:p>
        </w:tc>
        <w:tc>
          <w:tcPr>
            <w:tcW w:w="5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0"/>
              </w:rPr>
              <w:t>Basic</w:t>
            </w:r>
          </w:p>
        </w:tc>
        <w:tc>
          <w:tcPr>
            <w:tcW w:w="540" w:type="dxa"/>
            <w:vAlign w:val="bottom"/>
          </w:tcPr>
          <w:p>
            <w:pPr>
              <w:spacing w:after="0"/>
              <w:rPr>
                <w:sz w:val="15"/>
                <w:szCs w:val="15"/>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Quarters-2009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320"/>
              <w:spacing w:after="0" w:line="149" w:lineRule="exact"/>
              <w:rPr>
                <w:sz w:val="20"/>
                <w:szCs w:val="20"/>
                <w:color w:val="auto"/>
              </w:rPr>
            </w:pPr>
            <w:r>
              <w:rPr>
                <w:rFonts w:ascii="Arial" w:cs="Arial" w:eastAsia="Arial" w:hAnsi="Arial"/>
                <w:sz w:val="14"/>
                <w:szCs w:val="14"/>
                <w:color w:val="auto"/>
              </w:rPr>
              <w:t>First</w:t>
            </w:r>
          </w:p>
        </w:tc>
        <w:tc>
          <w:tcPr>
            <w:tcW w:w="10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6,000</w:t>
            </w:r>
          </w:p>
        </w:tc>
        <w:tc>
          <w:tcPr>
            <w:tcW w:w="63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55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1,511</w:t>
            </w:r>
          </w:p>
        </w:tc>
        <w:tc>
          <w:tcPr>
            <w:tcW w:w="6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938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$0.78</w:t>
            </w:r>
          </w:p>
        </w:tc>
        <w:tc>
          <w:tcPr>
            <w:tcW w:w="6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Second</w:t>
            </w:r>
            <w:r>
              <w:rPr>
                <w:rFonts w:ascii="Arial" w:cs="Arial" w:eastAsia="Arial" w:hAnsi="Arial"/>
                <w:sz w:val="17"/>
                <w:szCs w:val="17"/>
                <w:color w:val="auto"/>
                <w:vertAlign w:val="superscript"/>
              </w:rPr>
              <w:t>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5,528</w:t>
            </w:r>
          </w:p>
        </w:tc>
        <w:tc>
          <w:tcPr>
            <w:tcW w:w="5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1,119</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0.51</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320"/>
              <w:spacing w:after="0" w:line="149" w:lineRule="exact"/>
              <w:rPr>
                <w:sz w:val="20"/>
                <w:szCs w:val="20"/>
                <w:color w:val="auto"/>
              </w:rPr>
            </w:pPr>
            <w:r>
              <w:rPr>
                <w:rFonts w:ascii="Arial" w:cs="Arial" w:eastAsia="Arial" w:hAnsi="Arial"/>
                <w:sz w:val="14"/>
                <w:szCs w:val="14"/>
                <w:color w:val="auto"/>
              </w:rPr>
              <w:t>Third</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5,430</w:t>
            </w:r>
          </w:p>
        </w:tc>
        <w:tc>
          <w:tcPr>
            <w:tcW w:w="5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1,309</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787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Fourth</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5,744</w:t>
            </w:r>
          </w:p>
        </w:tc>
        <w:tc>
          <w:tcPr>
            <w:tcW w:w="5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1,367</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5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22,702</w:t>
            </w:r>
          </w:p>
        </w:tc>
        <w:tc>
          <w:tcPr>
            <w:tcW w:w="63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5,307</w:t>
            </w:r>
          </w:p>
        </w:tc>
        <w:tc>
          <w:tcPr>
            <w:tcW w:w="6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3,134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$2.62</w:t>
            </w:r>
          </w:p>
        </w:tc>
        <w:tc>
          <w:tcPr>
            <w:tcW w:w="6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5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Quarters-2008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320"/>
              <w:spacing w:after="0" w:line="149" w:lineRule="exact"/>
              <w:rPr>
                <w:sz w:val="20"/>
                <w:szCs w:val="20"/>
                <w:color w:val="auto"/>
              </w:rPr>
            </w:pPr>
            <w:r>
              <w:rPr>
                <w:rFonts w:ascii="Arial" w:cs="Arial" w:eastAsia="Arial" w:hAnsi="Arial"/>
                <w:sz w:val="14"/>
                <w:szCs w:val="14"/>
                <w:color w:val="auto"/>
              </w:rPr>
              <w:t>First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6,290</w:t>
            </w:r>
          </w:p>
        </w:tc>
        <w:tc>
          <w:tcPr>
            <w:tcW w:w="63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1,932</w:t>
            </w:r>
          </w:p>
        </w:tc>
        <w:tc>
          <w:tcPr>
            <w:tcW w:w="600" w:type="dxa"/>
            <w:vAlign w:val="bottom"/>
            <w:gridSpan w:val="2"/>
          </w:tcPr>
          <w:p>
            <w:pPr>
              <w:ind w:left="52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1,338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w:t>
            </w:r>
          </w:p>
        </w:tc>
        <w:tc>
          <w:tcPr>
            <w:tcW w:w="6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Second</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6,746</w:t>
            </w:r>
          </w:p>
        </w:tc>
        <w:tc>
          <w:tcPr>
            <w:tcW w:w="5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2,137</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320"/>
              <w:spacing w:after="0" w:line="149" w:lineRule="exact"/>
              <w:rPr>
                <w:sz w:val="20"/>
                <w:szCs w:val="20"/>
                <w:color w:val="auto"/>
              </w:rPr>
            </w:pPr>
            <w:r>
              <w:rPr>
                <w:rFonts w:ascii="Arial" w:cs="Arial" w:eastAsia="Arial" w:hAnsi="Arial"/>
                <w:sz w:val="14"/>
                <w:szCs w:val="14"/>
                <w:color w:val="auto"/>
              </w:rPr>
              <w:t>Third</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7,259</w:t>
            </w:r>
          </w:p>
        </w:tc>
        <w:tc>
          <w:tcPr>
            <w:tcW w:w="5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2,292</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1,526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Fourth</w:t>
            </w:r>
            <w:r>
              <w:rPr>
                <w:rFonts w:ascii="Arial" w:cs="Arial" w:eastAsia="Arial" w:hAnsi="Arial"/>
                <w:sz w:val="17"/>
                <w:szCs w:val="17"/>
                <w:color w:val="auto"/>
                <w:vertAlign w:val="superscript"/>
              </w:rPr>
              <w:t>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6,868</w:t>
            </w:r>
          </w:p>
        </w:tc>
        <w:tc>
          <w:tcPr>
            <w:tcW w:w="5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0.96</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5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27,163</w:t>
            </w:r>
          </w:p>
        </w:tc>
        <w:tc>
          <w:tcPr>
            <w:tcW w:w="63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8,195</w:t>
            </w:r>
          </w:p>
        </w:tc>
        <w:tc>
          <w:tcPr>
            <w:tcW w:w="6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6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55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21590"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21590"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21590"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Gross margin equals </w:t>
      </w:r>
      <w:r>
        <w:rPr>
          <w:rFonts w:ascii="Arial" w:cs="Arial" w:eastAsia="Arial" w:hAnsi="Arial"/>
          <w:sz w:val="14"/>
          <w:szCs w:val="14"/>
          <w:i w:val="1"/>
          <w:iCs w:val="1"/>
          <w:color w:val="auto"/>
        </w:rPr>
        <w:t>Revenue</w:t>
      </w:r>
      <w:r>
        <w:rPr>
          <w:rFonts w:ascii="Arial" w:cs="Arial" w:eastAsia="Arial" w:hAnsi="Arial"/>
          <w:sz w:val="14"/>
          <w:szCs w:val="14"/>
          <w:color w:val="auto"/>
        </w:rPr>
        <w:t xml:space="preserve"> less </w:t>
      </w:r>
      <w:r>
        <w:rPr>
          <w:rFonts w:ascii="Arial" w:cs="Arial" w:eastAsia="Arial" w:hAnsi="Arial"/>
          <w:sz w:val="14"/>
          <w:szCs w:val="14"/>
          <w:i w:val="1"/>
          <w:iCs w:val="1"/>
          <w:color w:val="auto"/>
        </w:rPr>
        <w:t>Cost of revenue</w:t>
      </w:r>
      <w:r>
        <w:rPr>
          <w:rFonts w:ascii="Arial" w:cs="Arial" w:eastAsia="Arial" w:hAnsi="Arial"/>
          <w:sz w:val="14"/>
          <w:szCs w:val="14"/>
          <w:color w:val="auto"/>
        </w:rPr>
        <w:t>.</w:t>
      </w:r>
    </w:p>
    <w:p>
      <w:pPr>
        <w:ind w:left="340" w:hanging="332"/>
        <w:spacing w:after="0" w:line="22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may not add due to rounding.</w:t>
      </w:r>
    </w:p>
    <w:p>
      <w:pPr>
        <w:ind w:left="340" w:hanging="332"/>
        <w:spacing w:after="0" w:line="22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Net income in the second quarter of 2009 includes after-tax charges of $207 million.</w:t>
      </w: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Net income in the fourth quarter of 2008 includes after-tax charges of $93 million.</w:t>
      </w:r>
    </w:p>
    <w:p>
      <w:pPr>
        <w:spacing w:after="0" w:line="43"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Mark of Schlumberger</w:t>
      </w:r>
    </w:p>
    <w:p>
      <w:pPr>
        <w:spacing w:after="0" w:line="1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7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the design and operation of Schlumberger’s disclosure controls and procedures. Based upon Schlumberger’s evaluation, the CEO and the CFO have concluded that, as of December 31, 2009, the disclosure controls and procedures were effective to provide reasonable assurance that information required to be disclosed in the reports Schlumberger files and submits under the Securities Exchange Act of 1934 is recorded, processed, summarized and reported within the time periods specified in SEC rules and forms.</w:t>
      </w:r>
    </w:p>
    <w:p>
      <w:pPr>
        <w:spacing w:after="0" w:line="2" w:lineRule="exact"/>
        <w:rPr>
          <w:sz w:val="20"/>
          <w:szCs w:val="20"/>
          <w:color w:val="auto"/>
        </w:rPr>
      </w:pPr>
    </w:p>
    <w:p>
      <w:pPr>
        <w:ind w:right="460" w:firstLine="228"/>
        <w:spacing w:after="0" w:line="281" w:lineRule="auto"/>
        <w:rPr>
          <w:sz w:val="20"/>
          <w:szCs w:val="20"/>
          <w:color w:val="auto"/>
        </w:rPr>
      </w:pPr>
      <w:r>
        <w:rPr>
          <w:rFonts w:ascii="Arial" w:cs="Arial" w:eastAsia="Arial" w:hAnsi="Arial"/>
          <w:sz w:val="16"/>
          <w:szCs w:val="16"/>
          <w:color w:val="auto"/>
        </w:rPr>
        <w:t>There has been no change in Schlumberger’s internal control over financial reporting that occurred during the quarter ended December 31, 2009 that has materially affected, or is reasonably likely to materially affect, Schlumberger’s internal control over financial reporting.</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Management’s Report on Internal Control Over Financial Reporting.</w:t>
      </w:r>
    </w:p>
    <w:p>
      <w:pPr>
        <w:spacing w:after="0" w:line="1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III, Item 10, 11, 12</w:t>
      </w:r>
    </w:p>
    <w:p>
      <w:pPr>
        <w:spacing w:after="0" w:line="20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PART III</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 of Schlumberger.</w:t>
      </w:r>
    </w:p>
    <w:p>
      <w:pPr>
        <w:spacing w:after="0" w:line="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See “Item 4. Submission of Matters to a Vote of Security Holders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2010 Proxy Statement is incorporated herein by reference.</w:t>
      </w:r>
    </w:p>
    <w:p>
      <w:pPr>
        <w:spacing w:after="0" w:line="1" w:lineRule="exact"/>
        <w:rPr>
          <w:sz w:val="20"/>
          <w:szCs w:val="20"/>
          <w:color w:val="auto"/>
        </w:rPr>
      </w:pPr>
    </w:p>
    <w:p>
      <w:pPr>
        <w:ind w:firstLine="228"/>
        <w:spacing w:after="0" w:line="295" w:lineRule="auto"/>
        <w:rPr>
          <w:sz w:val="20"/>
          <w:szCs w:val="20"/>
          <w:color w:val="auto"/>
        </w:rPr>
      </w:pPr>
      <w:r>
        <w:rPr>
          <w:rFonts w:ascii="Arial" w:cs="Arial" w:eastAsia="Arial" w:hAnsi="Arial"/>
          <w:sz w:val="16"/>
          <w:szCs w:val="16"/>
          <w:color w:val="auto"/>
        </w:rPr>
        <w:t xml:space="preserve">Schlumberger has adopted a Code of Ethics that applies to all of it directors, officers and employees, including its principal executive, financial and accounting officers, or persons performing similar functions. Schlumberger’s Code of Ethics is posted on its corporate governance website located at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In addition, amendments to the Code of Ethics and any grant of a waiver from a provision of the Code of Ethics requiring disclosure under applicable SEC rules will be disclosed on Schlumberger’s corporate governance website located at </w:t>
      </w:r>
      <w:r>
        <w:rPr>
          <w:rFonts w:ascii="Arial" w:cs="Arial" w:eastAsia="Arial" w:hAnsi="Arial"/>
          <w:sz w:val="16"/>
          <w:szCs w:val="16"/>
          <w:u w:val="single" w:color="auto"/>
          <w:color w:val="auto"/>
        </w:rPr>
        <w:t>www.slb.com/ir.</w:t>
      </w:r>
    </w:p>
    <w:p>
      <w:pPr>
        <w:spacing w:after="0" w:line="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7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information set forth under the captions “Compensation Discussion and Analysis,” “Executive Compensation,” “Compensation Committee Report” and “Director Compensation” in Schlumberger’s 2010 Proxy Statement is incorporated herein by reference.</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w:t>
      </w:r>
    </w:p>
    <w:p>
      <w:pPr>
        <w:spacing w:after="0" w:line="1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Matters.</w:t>
      </w:r>
    </w:p>
    <w:p>
      <w:pPr>
        <w:spacing w:after="0" w:line="5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information under the captions “Security Ownership by Certain Beneficial Owners” and “Security Ownership by Management” in Schlumberger’s 2010 Proxy Statement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below sets forth the following information as of December 31, 2009 for (1) all compensation plans previously approved by our stockholders and (2) all compensation plans not previously approved by our stockholders.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(c) Number of secutities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1"/>
              </w:rPr>
              <w:t>(a) Number of securities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1"/>
              </w:rPr>
              <w:t>to be issued upon exercise</w:t>
            </w:r>
          </w:p>
        </w:tc>
        <w:tc>
          <w:tcPr>
            <w:tcW w:w="620" w:type="dxa"/>
            <w:vAlign w:val="bottom"/>
          </w:tcPr>
          <w:p>
            <w:pPr>
              <w:spacing w:after="0"/>
              <w:rPr>
                <w:sz w:val="12"/>
                <w:szCs w:val="12"/>
                <w:color w:val="auto"/>
              </w:rPr>
            </w:pPr>
          </w:p>
        </w:tc>
        <w:tc>
          <w:tcPr>
            <w:tcW w:w="3000" w:type="dxa"/>
            <w:vAlign w:val="bottom"/>
            <w:gridSpan w:val="3"/>
          </w:tcPr>
          <w:p>
            <w:pPr>
              <w:jc w:val="right"/>
              <w:ind w:right="1260"/>
              <w:spacing w:after="0" w:line="149" w:lineRule="exact"/>
              <w:rPr>
                <w:sz w:val="20"/>
                <w:szCs w:val="20"/>
                <w:color w:val="auto"/>
              </w:rPr>
            </w:pPr>
            <w:r>
              <w:rPr>
                <w:rFonts w:ascii="Arial" w:cs="Arial" w:eastAsia="Arial" w:hAnsi="Arial"/>
                <w:sz w:val="14"/>
                <w:szCs w:val="14"/>
                <w:b w:val="1"/>
                <w:bCs w:val="1"/>
                <w:color w:val="auto"/>
                <w:w w:val="85"/>
              </w:rPr>
              <w:t>(b) Weighted-average exercise</w:t>
            </w: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w w:val="95"/>
              </w:rPr>
              <w:t>price of such outstanding</w:t>
            </w: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74"/>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warrants and rights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87"/>
              </w:rPr>
              <w:t>options, warrants and rights</w:t>
            </w:r>
          </w:p>
        </w:tc>
        <w:tc>
          <w:tcPr>
            <w:tcW w:w="1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compensation 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Equity compensation plans approved by security</w:t>
            </w:r>
          </w:p>
        </w:tc>
        <w:tc>
          <w:tcPr>
            <w:tcW w:w="1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holders</w:t>
            </w:r>
          </w:p>
        </w:tc>
        <w:tc>
          <w:tcPr>
            <w:tcW w:w="1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36,842,774</w:t>
            </w:r>
          </w:p>
        </w:tc>
        <w:tc>
          <w:tcPr>
            <w:tcW w:w="6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920" w:type="dxa"/>
            <w:vAlign w:val="bottom"/>
            <w:gridSpan w:val="2"/>
            <w:shd w:val="clear" w:color="auto" w:fill="CCEEFF"/>
          </w:tcPr>
          <w:p>
            <w:pPr>
              <w:jc w:val="right"/>
              <w:ind w:right="1260"/>
              <w:spacing w:after="0" w:line="159" w:lineRule="exact"/>
              <w:rPr>
                <w:sz w:val="20"/>
                <w:szCs w:val="20"/>
                <w:color w:val="auto"/>
              </w:rPr>
            </w:pPr>
            <w:r>
              <w:rPr>
                <w:rFonts w:ascii="Arial" w:cs="Arial" w:eastAsia="Arial" w:hAnsi="Arial"/>
                <w:sz w:val="14"/>
                <w:szCs w:val="14"/>
                <w:color w:val="auto"/>
              </w:rPr>
              <w:t>48.47</w:t>
            </w:r>
          </w:p>
        </w:tc>
        <w:tc>
          <w:tcPr>
            <w:tcW w:w="1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18,672,633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80" w:type="dxa"/>
            <w:vAlign w:val="bottom"/>
            <w:gridSpan w:val="2"/>
          </w:tcPr>
          <w:p>
            <w:pPr>
              <w:spacing w:after="0" w:line="138" w:lineRule="exact"/>
              <w:rPr>
                <w:sz w:val="20"/>
                <w:szCs w:val="20"/>
                <w:color w:val="auto"/>
              </w:rPr>
            </w:pPr>
            <w:r>
              <w:rPr>
                <w:rFonts w:ascii="Arial" w:cs="Arial" w:eastAsia="Arial" w:hAnsi="Arial"/>
                <w:sz w:val="14"/>
                <w:szCs w:val="14"/>
                <w:color w:val="auto"/>
              </w:rPr>
              <w:t>Equity compensation plans not approved by security</w:t>
            </w:r>
          </w:p>
        </w:tc>
        <w:tc>
          <w:tcPr>
            <w:tcW w:w="1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gridSpan w:val="2"/>
          </w:tcPr>
          <w:p>
            <w:pPr>
              <w:ind w:left="320"/>
              <w:spacing w:after="0"/>
              <w:rPr>
                <w:sz w:val="20"/>
                <w:szCs w:val="20"/>
                <w:color w:val="auto"/>
              </w:rPr>
            </w:pPr>
            <w:r>
              <w:rPr>
                <w:rFonts w:ascii="Arial" w:cs="Arial" w:eastAsia="Arial" w:hAnsi="Arial"/>
                <w:sz w:val="14"/>
                <w:szCs w:val="14"/>
                <w:color w:val="auto"/>
              </w:rPr>
              <w:t>holders</w:t>
            </w:r>
          </w:p>
        </w:tc>
        <w:tc>
          <w:tcPr>
            <w:tcW w:w="2120" w:type="dxa"/>
            <w:vAlign w:val="bottom"/>
            <w:gridSpan w:val="2"/>
          </w:tcPr>
          <w:p>
            <w:pPr>
              <w:jc w:val="right"/>
              <w:ind w:right="640"/>
              <w:spacing w:after="0"/>
              <w:rPr>
                <w:sz w:val="20"/>
                <w:szCs w:val="20"/>
                <w:color w:val="auto"/>
              </w:rPr>
            </w:pPr>
            <w:r>
              <w:rPr>
                <w:rFonts w:ascii="Arial" w:cs="Arial" w:eastAsia="Arial" w:hAnsi="Arial"/>
                <w:sz w:val="14"/>
                <w:szCs w:val="14"/>
                <w:color w:val="auto"/>
              </w:rPr>
              <w:t>N/A</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2"/>
          </w:tcPr>
          <w:p>
            <w:pPr>
              <w:jc w:val="right"/>
              <w:ind w:right="1260"/>
              <w:spacing w:after="0"/>
              <w:rPr>
                <w:sz w:val="20"/>
                <w:szCs w:val="20"/>
                <w:color w:val="auto"/>
              </w:rPr>
            </w:pPr>
            <w:r>
              <w:rPr>
                <w:rFonts w:ascii="Arial" w:cs="Arial" w:eastAsia="Arial" w:hAnsi="Arial"/>
                <w:sz w:val="14"/>
                <w:szCs w:val="14"/>
                <w:color w:val="auto"/>
              </w:rPr>
              <w:t>N/A</w:t>
            </w: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36,842,774</w:t>
            </w:r>
          </w:p>
        </w:tc>
        <w:tc>
          <w:tcPr>
            <w:tcW w:w="6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920" w:type="dxa"/>
            <w:vAlign w:val="bottom"/>
            <w:gridSpan w:val="2"/>
            <w:shd w:val="clear" w:color="auto" w:fill="CCEEFF"/>
          </w:tcPr>
          <w:p>
            <w:pPr>
              <w:jc w:val="right"/>
              <w:ind w:right="1260"/>
              <w:spacing w:after="0" w:line="149" w:lineRule="exact"/>
              <w:rPr>
                <w:sz w:val="20"/>
                <w:szCs w:val="20"/>
                <w:color w:val="auto"/>
              </w:rPr>
            </w:pPr>
            <w:r>
              <w:rPr>
                <w:rFonts w:ascii="Arial" w:cs="Arial" w:eastAsia="Arial" w:hAnsi="Arial"/>
                <w:sz w:val="14"/>
                <w:szCs w:val="14"/>
                <w:color w:val="auto"/>
              </w:rPr>
              <w:t>48.47</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18,672,633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Excluding securities reflected in column (a)</w:t>
      </w:r>
    </w:p>
    <w:p>
      <w:pPr>
        <w:spacing w:after="0" w:line="139"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Equity compensation plans approved by Schlumberger stockholders include the Schlumberger 1994 Stock Option Plan, as amended; the Schlumberger 1998 Stock Option Plan, as amended; the Schlumberger 2001 Stock Option Plan, as amended; the Schlumberger 2005 Stock Incentive Plan, as amended; the Schlumberger 2008 Stock Incentive Plan, as amended; the Schlumberger Discounted Stock Purchase Plan and the Schlumberger 2004 Stock and Deferral Plan for Non-Employee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III, Item 13, 14</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information under the captions “Corporate Governance – Director Independence” and “Corporate Governance – Policies and Procedures for Approval of Related Person Transactions” in Schlumberger’s 2010 Proxy Statement is incorporated herein by reference.</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under the caption “Appointment of Independent Registered Public Accounting Firm” in Schlumberger’s 2010 Proxy Statement is incorporated herein by reference.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IV, Item 15</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IV</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following documents are filed as part of this Report:</w:t>
      </w:r>
    </w:p>
    <w:p>
      <w:pPr>
        <w:spacing w:after="0" w:line="153" w:lineRule="exact"/>
        <w:rPr>
          <w:sz w:val="20"/>
          <w:szCs w:val="20"/>
          <w:color w:val="auto"/>
        </w:rPr>
      </w:pPr>
    </w:p>
    <w:tbl>
      <w:tblPr>
        <w:tblLayout w:type="fixed"/>
        <w:tblInd w:w="380" w:type="dxa"/>
        <w:tblCellMar>
          <w:top w:w="0" w:type="dxa"/>
          <w:left w:w="0" w:type="dxa"/>
          <w:bottom w:w="0" w:type="dxa"/>
          <w:right w:w="0" w:type="dxa"/>
        </w:tblCellMar>
      </w:tblPr>
      <w:tr>
        <w:trPr>
          <w:trHeight w:val="174"/>
        </w:trPr>
        <w:tc>
          <w:tcPr>
            <w:tcW w:w="8640" w:type="dxa"/>
            <w:vAlign w:val="bottom"/>
            <w:gridSpan w:val="9"/>
            <w:vMerge w:val="restart"/>
          </w:tcPr>
          <w:p>
            <w:pPr>
              <w:spacing w:after="0"/>
              <w:rPr>
                <w:sz w:val="20"/>
                <w:szCs w:val="20"/>
                <w:color w:val="auto"/>
              </w:rPr>
            </w:pPr>
            <w:r>
              <w:rPr>
                <w:rFonts w:ascii="Arial" w:cs="Arial" w:eastAsia="Arial" w:hAnsi="Arial"/>
                <w:sz w:val="18"/>
                <w:szCs w:val="18"/>
                <w:color w:val="auto"/>
              </w:rPr>
              <w:t>(1) Financial Statements</w:t>
            </w:r>
          </w:p>
        </w:tc>
        <w:tc>
          <w:tcPr>
            <w:tcW w:w="2300" w:type="dxa"/>
            <w:vAlign w:val="bottom"/>
          </w:tcPr>
          <w:p>
            <w:pPr>
              <w:ind w:left="16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01"/>
        </w:trPr>
        <w:tc>
          <w:tcPr>
            <w:tcW w:w="8640" w:type="dxa"/>
            <w:vAlign w:val="bottom"/>
            <w:gridSpan w:val="9"/>
            <w:vMerge w:val="continue"/>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56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Consolidated Statement of Income for the three years ended December 31, 2009</w:t>
              </w:r>
            </w:hyperlink>
          </w:p>
        </w:tc>
        <w:tc>
          <w:tcPr>
            <w:tcW w:w="2560" w:type="dxa"/>
            <w:vAlign w:val="bottom"/>
            <w:gridSpan w:val="3"/>
          </w:tcPr>
          <w:p>
            <w:pPr>
              <w:spacing w:after="0"/>
              <w:rPr>
                <w:sz w:val="21"/>
                <w:szCs w:val="21"/>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42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Consolidated Balance Sheet at December 31, 2009 and 2008</w:t>
              </w:r>
            </w:hyperlink>
          </w:p>
        </w:tc>
        <w:tc>
          <w:tcPr>
            <w:tcW w:w="3940" w:type="dxa"/>
            <w:vAlign w:val="bottom"/>
            <w:gridSpan w:val="4"/>
          </w:tcPr>
          <w:p>
            <w:pPr>
              <w:spacing w:after="0"/>
              <w:rPr>
                <w:sz w:val="22"/>
                <w:szCs w:val="22"/>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59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Consolidated Statement of Cash Flows for the three years ended December 31, 2009</w:t>
              </w:r>
            </w:hyperlink>
          </w:p>
        </w:tc>
        <w:tc>
          <w:tcPr>
            <w:tcW w:w="2260" w:type="dxa"/>
            <w:vAlign w:val="bottom"/>
            <w:gridSpan w:val="2"/>
          </w:tcPr>
          <w:p>
            <w:pPr>
              <w:spacing w:after="0"/>
              <w:rPr>
                <w:sz w:val="22"/>
                <w:szCs w:val="22"/>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6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Statement of Stockholders’ Equity for the three years ended December 31, 2009</w:t>
              </w:r>
            </w:hyperlink>
          </w:p>
        </w:tc>
        <w:tc>
          <w:tcPr>
            <w:tcW w:w="1600" w:type="dxa"/>
            <w:vAlign w:val="bottom"/>
          </w:tcPr>
          <w:p>
            <w:pPr>
              <w:spacing w:after="0"/>
              <w:rPr>
                <w:sz w:val="22"/>
                <w:szCs w:val="22"/>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w w:val="82"/>
              </w:rPr>
              <w:t>38 and 39</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30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Notes to Consolidated Financial Statements</w:t>
              </w:r>
            </w:hyperlink>
          </w:p>
        </w:tc>
        <w:tc>
          <w:tcPr>
            <w:tcW w:w="5120" w:type="dxa"/>
            <w:vAlign w:val="bottom"/>
            <w:gridSpan w:val="6"/>
          </w:tcPr>
          <w:p>
            <w:pPr>
              <w:spacing w:after="0"/>
              <w:rPr>
                <w:sz w:val="22"/>
                <w:szCs w:val="22"/>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40 to 68</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41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Report of Independent Registered Public Accounting Firm</w:t>
              </w:r>
            </w:hyperlink>
          </w:p>
        </w:tc>
        <w:tc>
          <w:tcPr>
            <w:tcW w:w="4080" w:type="dxa"/>
            <w:vAlign w:val="bottom"/>
            <w:gridSpan w:val="5"/>
          </w:tcPr>
          <w:p>
            <w:pPr>
              <w:spacing w:after="0"/>
              <w:rPr>
                <w:sz w:val="22"/>
                <w:szCs w:val="22"/>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8200" w:type="dxa"/>
            <w:vAlign w:val="bottom"/>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Quarterly Results (Unaudited)</w:t>
              </w:r>
            </w:hyperlink>
          </w:p>
        </w:tc>
        <w:tc>
          <w:tcPr>
            <w:tcW w:w="2300" w:type="dxa"/>
            <w:vAlign w:val="bottom"/>
          </w:tcPr>
          <w:p>
            <w:pPr>
              <w:ind w:left="16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Financial statements of 20%-50% owned companies accounted for under the equity method and unconsolidated subsidiaries have been omitted because they do not meet the materiality tests for assets or income.</w:t>
      </w:r>
    </w:p>
    <w:p>
      <w:pPr>
        <w:spacing w:after="0" w:line="105" w:lineRule="exact"/>
        <w:rPr>
          <w:sz w:val="20"/>
          <w:szCs w:val="20"/>
          <w:color w:val="auto"/>
        </w:rPr>
      </w:pPr>
    </w:p>
    <w:p>
      <w:pPr>
        <w:ind w:left="980" w:hanging="378"/>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Statement Schedules not required</w:t>
      </w:r>
    </w:p>
    <w:p>
      <w:pPr>
        <w:spacing w:after="0" w:line="76" w:lineRule="exact"/>
        <w:rPr>
          <w:rFonts w:ascii="Arial" w:cs="Arial" w:eastAsia="Arial" w:hAnsi="Arial"/>
          <w:sz w:val="18"/>
          <w:szCs w:val="18"/>
          <w:color w:val="auto"/>
        </w:rPr>
      </w:pPr>
    </w:p>
    <w:p>
      <w:pPr>
        <w:ind w:left="980" w:hanging="378"/>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Exhibits: the exhibits listed in the accompanying “Index to Exhibits” are filed or incorporated by reference as part of this Form 10-K.</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320"/>
          </w:cols>
          <w:pgMar w:left="24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5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Date: February 5, 2010</w:t>
            </w:r>
          </w:p>
        </w:tc>
        <w:tc>
          <w:tcPr>
            <w:tcW w:w="7560" w:type="dxa"/>
            <w:vAlign w:val="bottom"/>
            <w:gridSpan w:val="2"/>
          </w:tcPr>
          <w:p>
            <w:pPr>
              <w:ind w:left="2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432"/>
        </w:trPr>
        <w:tc>
          <w:tcPr>
            <w:tcW w:w="3860" w:type="dxa"/>
            <w:vAlign w:val="bottom"/>
          </w:tcPr>
          <w:p>
            <w:pPr>
              <w:spacing w:after="0"/>
              <w:rPr>
                <w:sz w:val="24"/>
                <w:szCs w:val="24"/>
                <w:color w:val="auto"/>
              </w:rPr>
            </w:pPr>
          </w:p>
        </w:tc>
        <w:tc>
          <w:tcPr>
            <w:tcW w:w="2660" w:type="dxa"/>
            <w:vAlign w:val="bottom"/>
          </w:tcPr>
          <w:p>
            <w:pPr>
              <w:ind w:left="2220"/>
              <w:spacing w:after="0"/>
              <w:rPr>
                <w:sz w:val="20"/>
                <w:szCs w:val="20"/>
                <w:color w:val="auto"/>
              </w:rPr>
            </w:pPr>
            <w:r>
              <w:rPr>
                <w:rFonts w:ascii="Arial" w:cs="Arial" w:eastAsia="Arial" w:hAnsi="Arial"/>
                <w:sz w:val="18"/>
                <w:szCs w:val="18"/>
                <w:color w:val="auto"/>
              </w:rPr>
              <w:t>By:</w:t>
            </w:r>
          </w:p>
        </w:tc>
        <w:tc>
          <w:tcPr>
            <w:tcW w:w="4900" w:type="dxa"/>
            <w:vAlign w:val="bottom"/>
          </w:tcPr>
          <w:p>
            <w:pPr>
              <w:ind w:left="154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r>
      <w:tr>
        <w:trPr>
          <w:trHeight w:val="110"/>
        </w:trPr>
        <w:tc>
          <w:tcPr>
            <w:tcW w:w="38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r>
      <w:tr>
        <w:trPr>
          <w:trHeight w:val="309"/>
        </w:trPr>
        <w:tc>
          <w:tcPr>
            <w:tcW w:w="38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22"/>
        </w:trPr>
        <w:tc>
          <w:tcPr>
            <w:tcW w:w="38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3220" w:type="dxa"/>
            <w:vAlign w:val="bottom"/>
          </w:tcPr>
          <w:p>
            <w:pPr>
              <w:jc w:val="center"/>
              <w:ind w:right="1953"/>
              <w:spacing w:after="0"/>
              <w:rPr>
                <w:sz w:val="20"/>
                <w:szCs w:val="20"/>
                <w:color w:val="auto"/>
              </w:rPr>
            </w:pPr>
            <w:r>
              <w:rPr>
                <w:rFonts w:ascii="Arial" w:cs="Arial" w:eastAsia="Arial" w:hAnsi="Arial"/>
                <w:sz w:val="14"/>
                <w:szCs w:val="14"/>
                <w:b w:val="1"/>
                <w:bCs w:val="1"/>
                <w:color w:val="auto"/>
                <w:w w:val="89"/>
              </w:rPr>
              <w:t>Name</w:t>
            </w:r>
          </w:p>
        </w:tc>
        <w:tc>
          <w:tcPr>
            <w:tcW w:w="4540" w:type="dxa"/>
            <w:vAlign w:val="bottom"/>
          </w:tcPr>
          <w:p>
            <w:pPr>
              <w:ind w:left="33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03"/>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w w:val="99"/>
              </w:rPr>
              <w:t>Director, Chairman and Chief Executive Officer</w:t>
            </w:r>
          </w:p>
        </w:tc>
        <w:tc>
          <w:tcPr>
            <w:tcW w:w="0" w:type="dxa"/>
            <w:vAlign w:val="bottom"/>
          </w:tcPr>
          <w:p>
            <w:pPr>
              <w:spacing w:after="0"/>
              <w:rPr>
                <w:sz w:val="1"/>
                <w:szCs w:val="1"/>
                <w:color w:val="auto"/>
              </w:rPr>
            </w:pPr>
          </w:p>
        </w:tc>
      </w:tr>
      <w:tr>
        <w:trPr>
          <w:trHeight w:val="116"/>
        </w:trPr>
        <w:tc>
          <w:tcPr>
            <w:tcW w:w="204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2040" w:type="dxa"/>
            <w:vAlign w:val="bottom"/>
          </w:tcPr>
          <w:p>
            <w:pPr>
              <w:spacing w:after="0"/>
              <w:rPr>
                <w:sz w:val="7"/>
                <w:szCs w:val="7"/>
                <w:color w:val="auto"/>
              </w:rPr>
            </w:pPr>
          </w:p>
        </w:tc>
        <w:tc>
          <w:tcPr>
            <w:tcW w:w="3220" w:type="dxa"/>
            <w:vAlign w:val="bottom"/>
            <w:vMerge w:val="restart"/>
          </w:tcPr>
          <w:p>
            <w:pPr>
              <w:jc w:val="center"/>
              <w:ind w:right="1933"/>
              <w:spacing w:after="0"/>
              <w:rPr>
                <w:sz w:val="20"/>
                <w:szCs w:val="20"/>
                <w:color w:val="auto"/>
              </w:rPr>
            </w:pPr>
            <w:r>
              <w:rPr>
                <w:rFonts w:ascii="Arial" w:cs="Arial" w:eastAsia="Arial" w:hAnsi="Arial"/>
                <w:sz w:val="18"/>
                <w:szCs w:val="18"/>
                <w:color w:val="auto"/>
                <w:w w:val="91"/>
              </w:rPr>
              <w:t>Andrew Gould</w:t>
            </w: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3220" w:type="dxa"/>
            <w:vAlign w:val="bottom"/>
            <w:vMerge w:val="continue"/>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40" w:type="dxa"/>
            <w:vAlign w:val="bottom"/>
          </w:tcPr>
          <w:p>
            <w:pPr>
              <w:ind w:left="1860"/>
              <w:spacing w:after="0"/>
              <w:rPr>
                <w:sz w:val="20"/>
                <w:szCs w:val="20"/>
                <w:color w:val="auto"/>
              </w:rPr>
            </w:pPr>
            <w:r>
              <w:rPr>
                <w:rFonts w:ascii="Arial" w:cs="Arial" w:eastAsia="Arial" w:hAnsi="Arial"/>
                <w:sz w:val="18"/>
                <w:szCs w:val="18"/>
                <w:color w:val="auto"/>
                <w:w w:val="83"/>
              </w:rPr>
              <w:t>/s/</w:t>
            </w:r>
          </w:p>
        </w:tc>
        <w:tc>
          <w:tcPr>
            <w:tcW w:w="3220" w:type="dxa"/>
            <w:vAlign w:val="bottom"/>
          </w:tcPr>
          <w:p>
            <w:pPr>
              <w:jc w:val="center"/>
              <w:ind w:right="1893"/>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IMON</w:t>
            </w:r>
            <w:r>
              <w:rPr>
                <w:rFonts w:ascii="Arial" w:cs="Arial" w:eastAsia="Arial" w:hAnsi="Arial"/>
                <w:sz w:val="18"/>
                <w:szCs w:val="18"/>
                <w:color w:val="auto"/>
                <w:w w:val="99"/>
              </w:rPr>
              <w:t xml:space="preserve"> A</w:t>
            </w:r>
            <w:r>
              <w:rPr>
                <w:rFonts w:ascii="Arial" w:cs="Arial" w:eastAsia="Arial" w:hAnsi="Arial"/>
                <w:sz w:val="14"/>
                <w:szCs w:val="14"/>
                <w:color w:val="auto"/>
                <w:w w:val="99"/>
              </w:rPr>
              <w:t>YAT</w:t>
            </w:r>
          </w:p>
        </w:tc>
        <w:tc>
          <w:tcPr>
            <w:tcW w:w="4540" w:type="dxa"/>
            <w:vAlign w:val="bottom"/>
          </w:tcPr>
          <w:p>
            <w:pPr>
              <w:ind w:left="800"/>
              <w:spacing w:after="0"/>
              <w:rPr>
                <w:sz w:val="20"/>
                <w:szCs w:val="20"/>
                <w:color w:val="auto"/>
              </w:rPr>
            </w:pPr>
            <w:r>
              <w:rPr>
                <w:rFonts w:ascii="Arial" w:cs="Arial" w:eastAsia="Arial" w:hAnsi="Arial"/>
                <w:sz w:val="18"/>
                <w:szCs w:val="18"/>
                <w:color w:val="auto"/>
                <w:w w:val="89"/>
              </w:rPr>
              <w:t>Executive Vice President and Chief Financial Officer</w:t>
            </w:r>
          </w:p>
        </w:tc>
        <w:tc>
          <w:tcPr>
            <w:tcW w:w="0" w:type="dxa"/>
            <w:vAlign w:val="bottom"/>
          </w:tcPr>
          <w:p>
            <w:pPr>
              <w:spacing w:after="0"/>
              <w:rPr>
                <w:sz w:val="1"/>
                <w:szCs w:val="1"/>
                <w:color w:val="auto"/>
              </w:rPr>
            </w:pPr>
          </w:p>
        </w:tc>
      </w:tr>
      <w:tr>
        <w:trPr>
          <w:trHeight w:val="116"/>
        </w:trPr>
        <w:tc>
          <w:tcPr>
            <w:tcW w:w="204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86"/>
        </w:trPr>
        <w:tc>
          <w:tcPr>
            <w:tcW w:w="2040" w:type="dxa"/>
            <w:vAlign w:val="bottom"/>
          </w:tcPr>
          <w:p>
            <w:pPr>
              <w:spacing w:after="0"/>
              <w:rPr>
                <w:sz w:val="7"/>
                <w:szCs w:val="7"/>
                <w:color w:val="auto"/>
              </w:rPr>
            </w:pPr>
          </w:p>
        </w:tc>
        <w:tc>
          <w:tcPr>
            <w:tcW w:w="3220" w:type="dxa"/>
            <w:vAlign w:val="bottom"/>
            <w:vMerge w:val="restart"/>
          </w:tcPr>
          <w:p>
            <w:pPr>
              <w:jc w:val="center"/>
              <w:ind w:right="1953"/>
              <w:spacing w:after="0"/>
              <w:rPr>
                <w:sz w:val="20"/>
                <w:szCs w:val="20"/>
                <w:color w:val="auto"/>
              </w:rPr>
            </w:pPr>
            <w:r>
              <w:rPr>
                <w:rFonts w:ascii="Arial" w:cs="Arial" w:eastAsia="Arial" w:hAnsi="Arial"/>
                <w:sz w:val="18"/>
                <w:szCs w:val="18"/>
                <w:color w:val="auto"/>
                <w:w w:val="89"/>
              </w:rPr>
              <w:t>Simon Ayat</w:t>
            </w: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3220" w:type="dxa"/>
            <w:vAlign w:val="bottom"/>
            <w:vMerge w:val="continue"/>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40" w:type="dxa"/>
            <w:vAlign w:val="bottom"/>
          </w:tcPr>
          <w:p>
            <w:pPr>
              <w:ind w:left="1720"/>
              <w:spacing w:after="0"/>
              <w:rPr>
                <w:sz w:val="20"/>
                <w:szCs w:val="20"/>
                <w:color w:val="auto"/>
              </w:rPr>
            </w:pPr>
            <w:r>
              <w:rPr>
                <w:rFonts w:ascii="Arial" w:cs="Arial" w:eastAsia="Arial" w:hAnsi="Arial"/>
                <w:sz w:val="18"/>
                <w:szCs w:val="18"/>
                <w:color w:val="auto"/>
              </w:rPr>
              <w:t>/s/</w:t>
            </w:r>
          </w:p>
        </w:tc>
        <w:tc>
          <w:tcPr>
            <w:tcW w:w="3220" w:type="dxa"/>
            <w:vAlign w:val="bottom"/>
          </w:tcPr>
          <w:p>
            <w:pPr>
              <w:jc w:val="center"/>
              <w:ind w:right="1893"/>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4540" w:type="dxa"/>
            <w:vAlign w:val="bottom"/>
          </w:tcPr>
          <w:p>
            <w:pPr>
              <w:ind w:left="80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116"/>
        </w:trPr>
        <w:tc>
          <w:tcPr>
            <w:tcW w:w="204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86"/>
        </w:trPr>
        <w:tc>
          <w:tcPr>
            <w:tcW w:w="2040" w:type="dxa"/>
            <w:vAlign w:val="bottom"/>
          </w:tcPr>
          <w:p>
            <w:pPr>
              <w:spacing w:after="0"/>
              <w:rPr>
                <w:sz w:val="7"/>
                <w:szCs w:val="7"/>
                <w:color w:val="auto"/>
              </w:rPr>
            </w:pPr>
          </w:p>
        </w:tc>
        <w:tc>
          <w:tcPr>
            <w:tcW w:w="3220" w:type="dxa"/>
            <w:vAlign w:val="bottom"/>
            <w:vMerge w:val="restart"/>
          </w:tcPr>
          <w:p>
            <w:pPr>
              <w:jc w:val="center"/>
              <w:ind w:right="1933"/>
              <w:spacing w:after="0"/>
              <w:rPr>
                <w:sz w:val="20"/>
                <w:szCs w:val="20"/>
                <w:color w:val="auto"/>
              </w:rPr>
            </w:pPr>
            <w:r>
              <w:rPr>
                <w:rFonts w:ascii="Arial" w:cs="Arial" w:eastAsia="Arial" w:hAnsi="Arial"/>
                <w:sz w:val="18"/>
                <w:szCs w:val="18"/>
                <w:color w:val="auto"/>
                <w:w w:val="91"/>
              </w:rPr>
              <w:t>Howard Guild</w:t>
            </w: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3220" w:type="dxa"/>
            <w:vAlign w:val="bottom"/>
            <w:vMerge w:val="continue"/>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4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w w:val="88"/>
              </w:rPr>
              <w:t>Philippe Camus</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260" w:type="dxa"/>
            <w:vAlign w:val="bottom"/>
            <w:tcBorders>
              <w:bottom w:val="single" w:sz="8" w:color="808080"/>
            </w:tcBorders>
            <w:gridSpan w:val="2"/>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gridSpan w:val="2"/>
          </w:tcPr>
          <w:p>
            <w:pPr>
              <w:jc w:val="center"/>
              <w:spacing w:after="0"/>
              <w:rPr>
                <w:sz w:val="20"/>
                <w:szCs w:val="20"/>
                <w:color w:val="auto"/>
              </w:rPr>
            </w:pPr>
            <w:r>
              <w:rPr>
                <w:rFonts w:ascii="Arial" w:cs="Arial" w:eastAsia="Arial" w:hAnsi="Arial"/>
                <w:sz w:val="18"/>
                <w:szCs w:val="18"/>
                <w:color w:val="auto"/>
                <w:w w:val="89"/>
              </w:rPr>
              <w:t>Jamie S. Gorelick</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4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w w:val="86"/>
              </w:rPr>
              <w:t>Tony Isaac</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260" w:type="dxa"/>
            <w:vAlign w:val="bottom"/>
            <w:tcBorders>
              <w:bottom w:val="single" w:sz="8" w:color="808080"/>
            </w:tcBorders>
            <w:gridSpan w:val="2"/>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gridSpan w:val="2"/>
          </w:tcPr>
          <w:p>
            <w:pPr>
              <w:jc w:val="center"/>
              <w:spacing w:after="0"/>
              <w:rPr>
                <w:sz w:val="20"/>
                <w:szCs w:val="20"/>
                <w:color w:val="auto"/>
              </w:rPr>
            </w:pPr>
            <w:r>
              <w:rPr>
                <w:rFonts w:ascii="Arial" w:cs="Arial" w:eastAsia="Arial" w:hAnsi="Arial"/>
                <w:sz w:val="18"/>
                <w:szCs w:val="18"/>
                <w:color w:val="auto"/>
                <w:w w:val="91"/>
              </w:rPr>
              <w:t>Nikolay Kudryavtsev</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4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w w:val="90"/>
              </w:rPr>
              <w:t>Adrian Lajous</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260" w:type="dxa"/>
            <w:vAlign w:val="bottom"/>
            <w:tcBorders>
              <w:bottom w:val="single" w:sz="8" w:color="808080"/>
            </w:tcBorders>
            <w:gridSpan w:val="2"/>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gridSpan w:val="2"/>
          </w:tcPr>
          <w:p>
            <w:pPr>
              <w:jc w:val="center"/>
              <w:spacing w:after="0"/>
              <w:rPr>
                <w:sz w:val="20"/>
                <w:szCs w:val="20"/>
                <w:color w:val="auto"/>
              </w:rPr>
            </w:pPr>
            <w:r>
              <w:rPr>
                <w:rFonts w:ascii="Arial" w:cs="Arial" w:eastAsia="Arial" w:hAnsi="Arial"/>
                <w:sz w:val="18"/>
                <w:szCs w:val="18"/>
                <w:color w:val="auto"/>
                <w:w w:val="91"/>
              </w:rPr>
              <w:t>Michael E. Marks</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4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w w:val="90"/>
              </w:rPr>
              <w:t>Leo Rafael Reif</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4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40" w:type="dxa"/>
            <w:vAlign w:val="bottom"/>
          </w:tcPr>
          <w:p>
            <w:pPr>
              <w:spacing w:after="0"/>
              <w:rPr>
                <w:sz w:val="24"/>
                <w:szCs w:val="24"/>
                <w:color w:val="auto"/>
              </w:rPr>
            </w:pPr>
          </w:p>
        </w:tc>
        <w:tc>
          <w:tcPr>
            <w:tcW w:w="3220" w:type="dxa"/>
            <w:vAlign w:val="bottom"/>
          </w:tcPr>
          <w:p>
            <w:pPr>
              <w:jc w:val="center"/>
              <w:ind w:right="1953"/>
              <w:spacing w:after="0"/>
              <w:rPr>
                <w:sz w:val="20"/>
                <w:szCs w:val="20"/>
                <w:color w:val="auto"/>
              </w:rPr>
            </w:pPr>
            <w:r>
              <w:rPr>
                <w:rFonts w:ascii="Arial" w:cs="Arial" w:eastAsia="Arial" w:hAnsi="Arial"/>
                <w:sz w:val="18"/>
                <w:szCs w:val="18"/>
                <w:color w:val="auto"/>
                <w:w w:val="87"/>
              </w:rPr>
              <w:t>Tore Sandvold</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4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40" w:type="dxa"/>
            <w:vAlign w:val="bottom"/>
          </w:tcPr>
          <w:p>
            <w:pPr>
              <w:spacing w:after="0"/>
              <w:rPr>
                <w:sz w:val="24"/>
                <w:szCs w:val="24"/>
                <w:color w:val="auto"/>
              </w:rPr>
            </w:pPr>
          </w:p>
        </w:tc>
        <w:tc>
          <w:tcPr>
            <w:tcW w:w="3220" w:type="dxa"/>
            <w:vAlign w:val="bottom"/>
          </w:tcPr>
          <w:p>
            <w:pPr>
              <w:jc w:val="center"/>
              <w:ind w:right="1953"/>
              <w:spacing w:after="0"/>
              <w:rPr>
                <w:sz w:val="20"/>
                <w:szCs w:val="20"/>
                <w:color w:val="auto"/>
              </w:rPr>
            </w:pPr>
            <w:r>
              <w:rPr>
                <w:rFonts w:ascii="Arial" w:cs="Arial" w:eastAsia="Arial" w:hAnsi="Arial"/>
                <w:sz w:val="18"/>
                <w:szCs w:val="18"/>
                <w:color w:val="auto"/>
                <w:w w:val="89"/>
              </w:rPr>
              <w:t>Henri Seydoux</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4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40" w:type="dxa"/>
            <w:vAlign w:val="bottom"/>
          </w:tcPr>
          <w:p>
            <w:pPr>
              <w:spacing w:after="0"/>
              <w:rPr>
                <w:sz w:val="24"/>
                <w:szCs w:val="24"/>
                <w:color w:val="auto"/>
              </w:rPr>
            </w:pPr>
          </w:p>
        </w:tc>
        <w:tc>
          <w:tcPr>
            <w:tcW w:w="3220" w:type="dxa"/>
            <w:vAlign w:val="bottom"/>
          </w:tcPr>
          <w:p>
            <w:pPr>
              <w:jc w:val="center"/>
              <w:ind w:right="1933"/>
              <w:spacing w:after="0"/>
              <w:rPr>
                <w:sz w:val="20"/>
                <w:szCs w:val="20"/>
                <w:color w:val="auto"/>
              </w:rPr>
            </w:pPr>
            <w:r>
              <w:rPr>
                <w:rFonts w:ascii="Arial" w:cs="Arial" w:eastAsia="Arial" w:hAnsi="Arial"/>
                <w:sz w:val="18"/>
                <w:szCs w:val="18"/>
                <w:color w:val="auto"/>
                <w:w w:val="90"/>
              </w:rPr>
              <w:t>Linda G. Stuntz</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260" w:type="dxa"/>
            <w:vAlign w:val="bottom"/>
            <w:gridSpan w:val="2"/>
          </w:tcPr>
          <w:p>
            <w:pPr>
              <w:ind w:left="150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LEXANDER</w:t>
            </w:r>
            <w:r>
              <w:rPr>
                <w:rFonts w:ascii="Arial" w:cs="Arial" w:eastAsia="Arial" w:hAnsi="Arial"/>
                <w:sz w:val="18"/>
                <w:szCs w:val="18"/>
                <w:color w:val="auto"/>
              </w:rPr>
              <w:t xml:space="preserve"> C. J</w:t>
            </w:r>
            <w:r>
              <w:rPr>
                <w:rFonts w:ascii="Arial" w:cs="Arial" w:eastAsia="Arial" w:hAnsi="Arial"/>
                <w:sz w:val="14"/>
                <w:szCs w:val="14"/>
                <w:color w:val="auto"/>
              </w:rPr>
              <w:t>UDEN</w:t>
            </w:r>
          </w:p>
        </w:tc>
        <w:tc>
          <w:tcPr>
            <w:tcW w:w="4540" w:type="dxa"/>
            <w:vAlign w:val="bottom"/>
          </w:tcPr>
          <w:p>
            <w:pPr>
              <w:ind w:left="800"/>
              <w:spacing w:after="0"/>
              <w:rPr>
                <w:sz w:val="20"/>
                <w:szCs w:val="20"/>
                <w:color w:val="auto"/>
              </w:rPr>
            </w:pPr>
            <w:r>
              <w:rPr>
                <w:rFonts w:ascii="Arial" w:cs="Arial" w:eastAsia="Arial" w:hAnsi="Arial"/>
                <w:sz w:val="18"/>
                <w:szCs w:val="18"/>
                <w:color w:val="auto"/>
              </w:rPr>
              <w:t>February 5, 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3362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 Alexander C. Juden Attorney-in-Fact</w:t>
      </w:r>
    </w:p>
    <w:p>
      <w:pPr>
        <w:sectPr>
          <w:pgSz w:w="11900" w:h="16838" w:orient="portrait"/>
          <w:cols w:equalWidth="0" w:num="1">
            <w:col w:w="11420"/>
          </w:cols>
          <w:pgMar w:left="240" w:top="459" w:right="239" w:bottom="759"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20"/>
          </w:cols>
          <w:pgMar w:left="240" w:top="459" w:right="239" w:bottom="759"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r>
      <w:tr>
        <w:trPr>
          <w:trHeight w:val="216"/>
        </w:trPr>
        <w:tc>
          <w:tcPr>
            <w:tcW w:w="10760" w:type="dxa"/>
            <w:vAlign w:val="bottom"/>
          </w:tcPr>
          <w:p>
            <w:pPr>
              <w:spacing w:after="0"/>
              <w:rPr>
                <w:sz w:val="20"/>
                <w:szCs w:val="20"/>
                <w:color w:val="auto"/>
              </w:rPr>
            </w:pPr>
            <w:r>
              <w:rPr>
                <w:rFonts w:ascii="Arial" w:cs="Arial" w:eastAsia="Arial" w:hAnsi="Arial"/>
                <w:sz w:val="18"/>
                <w:szCs w:val="18"/>
                <w:color w:val="auto"/>
                <w:w w:val="92"/>
              </w:rPr>
              <w:t>Articles of Incorporation of Schlumberger Limited (Schlumberger N.V.), as last amended on April 12, 2006 (incorporated by reference to Exhibit 3.1</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to Schlumberger’s Quarterly Report on Form 10-Q for the quarter ended March 31, 2006)</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3"/>
              </w:rPr>
              <w:t>Amended and Restated By-Laws of Schlumberger Limited (Schlumberger N.V.), as last amended on April 21, 2005 (incorporated by reference to</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Exhibit 3.1 to Schlumberger’s Current Report on Form 8-K filed on April 22, 2005)</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0"/>
              </w:rPr>
              <w:t>Indenture dated as of June 9, 2003, by and between Schlumberger Limited and Citibank, N.A., as Trustee (incorporated by reference to Exhibit 4.3 to</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Schlumberger’s Registration Statement on Form S-3 filed on September 12, 2003)</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4"/>
              </w:rPr>
              <w:t>First Supplemental Indenture dated as of June 9, 2003, by and between Schlumberger Limited and Citibank, N.A., as Trustee (incorporated by</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reference to Exhibit 4.4 to Schlumberger’s Registration Statement on Form S-3 filed on September 12, 2003)</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1"/>
              </w:rPr>
              <w:t>Schlumberger 1994 Stock Option Plan, as conformed to include amendments through January 1, 2009 (incorporated by reference to Exhibit 10.1 to</w:t>
            </w:r>
          </w:p>
        </w:tc>
        <w:tc>
          <w:tcPr>
            <w:tcW w:w="660" w:type="dxa"/>
            <w:vAlign w:val="bottom"/>
          </w:tcPr>
          <w:p>
            <w:pPr>
              <w:spacing w:after="0"/>
              <w:rPr>
                <w:sz w:val="24"/>
                <w:szCs w:val="24"/>
                <w:color w:val="auto"/>
              </w:rPr>
            </w:pP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Schlumberger’s Annual Report on Form 10-K for year ended December 31, 2009) (+)</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3"/>
              </w:rPr>
              <w:t>Schlumberger Limited Supplementary Benefit Plan, as conformed to include amendments through January 1, 2009 (incorporated by reference to</w:t>
            </w:r>
          </w:p>
        </w:tc>
        <w:tc>
          <w:tcPr>
            <w:tcW w:w="660" w:type="dxa"/>
            <w:vAlign w:val="bottom"/>
          </w:tcPr>
          <w:p>
            <w:pPr>
              <w:spacing w:after="0"/>
              <w:rPr>
                <w:sz w:val="24"/>
                <w:szCs w:val="24"/>
                <w:color w:val="auto"/>
              </w:rPr>
            </w:pPr>
          </w:p>
        </w:tc>
      </w:tr>
      <w:tr>
        <w:trPr>
          <w:trHeight w:val="216"/>
        </w:trPr>
        <w:tc>
          <w:tcPr>
            <w:tcW w:w="10760" w:type="dxa"/>
            <w:vAlign w:val="bottom"/>
          </w:tcPr>
          <w:p>
            <w:pPr>
              <w:ind w:left="220"/>
              <w:spacing w:after="0"/>
              <w:rPr>
                <w:sz w:val="20"/>
                <w:szCs w:val="20"/>
                <w:color w:val="auto"/>
              </w:rPr>
            </w:pPr>
            <w:r>
              <w:rPr>
                <w:rFonts w:ascii="Arial" w:cs="Arial" w:eastAsia="Arial" w:hAnsi="Arial"/>
                <w:sz w:val="18"/>
                <w:szCs w:val="18"/>
                <w:color w:val="auto"/>
              </w:rPr>
              <w:t>Exhibit 10.2 to Schlumberger’s Annual Report on</w:t>
            </w:r>
          </w:p>
        </w:tc>
        <w:tc>
          <w:tcPr>
            <w:tcW w:w="660" w:type="dxa"/>
            <w:vAlign w:val="bottom"/>
          </w:tcPr>
          <w:p>
            <w:pPr>
              <w:spacing w:after="0"/>
              <w:rPr>
                <w:sz w:val="18"/>
                <w:szCs w:val="18"/>
                <w:color w:val="auto"/>
              </w:rPr>
            </w:pP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Form 10-K for year ended December 31, 2009) (+)</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0"/>
              </w:rPr>
              <w:t>Schlumberger Limited Restoration Savings Plan, as conformed to include amendments through January 1, 2009 (incorporated by reference to Exhibit</w:t>
            </w:r>
          </w:p>
        </w:tc>
        <w:tc>
          <w:tcPr>
            <w:tcW w:w="660" w:type="dxa"/>
            <w:vAlign w:val="bottom"/>
          </w:tcPr>
          <w:p>
            <w:pPr>
              <w:spacing w:after="0"/>
              <w:rPr>
                <w:sz w:val="24"/>
                <w:szCs w:val="24"/>
                <w:color w:val="auto"/>
              </w:rPr>
            </w:pP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10.3 to Schlumberger’s Annual Report on Form 10-K for year ended December 31, 2009) (+)</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1"/>
              </w:rPr>
              <w:t>Schlumberger 1998 Stock Option Plan, as conformed to include amendments through January 1, 2009 (incorporated by reference to Exhibit 10.4 to</w:t>
            </w:r>
          </w:p>
        </w:tc>
        <w:tc>
          <w:tcPr>
            <w:tcW w:w="660" w:type="dxa"/>
            <w:vAlign w:val="bottom"/>
          </w:tcPr>
          <w:p>
            <w:pPr>
              <w:spacing w:after="0"/>
              <w:rPr>
                <w:sz w:val="24"/>
                <w:szCs w:val="24"/>
                <w:color w:val="auto"/>
              </w:rPr>
            </w:pP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Schlumberger’s Annual Report on Form 10-K for year ended December 31, 2009) (+)</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1"/>
              </w:rPr>
              <w:t>Schlumberger 2001 Stock Option Plan, as conformed to include amendments through January 1, 2009 (incorporated by reference to Exhibit 10.5 to</w:t>
            </w:r>
          </w:p>
        </w:tc>
        <w:tc>
          <w:tcPr>
            <w:tcW w:w="660" w:type="dxa"/>
            <w:vAlign w:val="bottom"/>
          </w:tcPr>
          <w:p>
            <w:pPr>
              <w:spacing w:after="0"/>
              <w:rPr>
                <w:sz w:val="24"/>
                <w:szCs w:val="24"/>
                <w:color w:val="auto"/>
              </w:rPr>
            </w:pP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Schlumberger’s Annual Report on Form 10-K for year ended December 31, 2009) (+)</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0"/>
              </w:rPr>
              <w:t>Schlumberger 2005 Stock Incentive Plan, as conformed to include amendments through January 1, 2009 (incorporated by reference to Exhibit 10.6 to</w:t>
            </w:r>
          </w:p>
        </w:tc>
        <w:tc>
          <w:tcPr>
            <w:tcW w:w="660" w:type="dxa"/>
            <w:vAlign w:val="bottom"/>
          </w:tcPr>
          <w:p>
            <w:pPr>
              <w:spacing w:after="0"/>
              <w:rPr>
                <w:sz w:val="24"/>
                <w:szCs w:val="24"/>
                <w:color w:val="auto"/>
              </w:rPr>
            </w:pP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Schlumberger’s Annual Report on Form 10-K for year ended December 31, 2009) (+)</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3"/>
              </w:rPr>
              <w:t>Schlumberger Limited 2004 Stock and Deferral Plan for Non-Employee Directors, as conformed to include amendments through January 1, 2009</w:t>
            </w:r>
          </w:p>
        </w:tc>
        <w:tc>
          <w:tcPr>
            <w:tcW w:w="660" w:type="dxa"/>
            <w:vAlign w:val="bottom"/>
          </w:tcPr>
          <w:p>
            <w:pPr>
              <w:spacing w:after="0"/>
              <w:rPr>
                <w:sz w:val="24"/>
                <w:szCs w:val="24"/>
                <w:color w:val="auto"/>
              </w:rPr>
            </w:pP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(incorporated by reference to Exhibit 10.7 to Schlumberger’s Annual Report on Form 10-K for year ended December 31, 2009) (+)</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0"/>
              </w:rPr>
              <w:t>Schlumberger 2008 Stock Incentive Plan, as conformed to include amendments through January 1, 2009 (incorporated by reference to Exhibit 10.8 to</w:t>
            </w:r>
          </w:p>
        </w:tc>
        <w:tc>
          <w:tcPr>
            <w:tcW w:w="660" w:type="dxa"/>
            <w:vAlign w:val="bottom"/>
          </w:tcPr>
          <w:p>
            <w:pPr>
              <w:spacing w:after="0"/>
              <w:rPr>
                <w:sz w:val="24"/>
                <w:szCs w:val="24"/>
                <w:color w:val="auto"/>
              </w:rPr>
            </w:pP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Schlumberger’s Annual Report on Form 10-K for year ended December 31, 2009) (+)</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1"/>
              </w:rPr>
              <w:t>Form of Option Agreement, Capped Incentive Stock Option (incorporated by reference to Exhibit 10.1 to Schlumberger’s Current Report on Form 8-</w:t>
            </w: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K filed on January 19, 2006) (+)</w:t>
            </w:r>
          </w:p>
        </w:tc>
        <w:tc>
          <w:tcPr>
            <w:tcW w:w="660" w:type="dxa"/>
            <w:vAlign w:val="bottom"/>
          </w:tcPr>
          <w:p>
            <w:pPr>
              <w:spacing w:after="0"/>
              <w:rPr>
                <w:sz w:val="19"/>
                <w:szCs w:val="19"/>
                <w:color w:val="auto"/>
              </w:rPr>
            </w:pPr>
          </w:p>
        </w:tc>
      </w:tr>
      <w:tr>
        <w:trPr>
          <w:trHeight w:val="277"/>
        </w:trPr>
        <w:tc>
          <w:tcPr>
            <w:tcW w:w="10760" w:type="dxa"/>
            <w:vAlign w:val="bottom"/>
          </w:tcPr>
          <w:p>
            <w:pPr>
              <w:spacing w:after="0"/>
              <w:rPr>
                <w:sz w:val="20"/>
                <w:szCs w:val="20"/>
                <w:color w:val="auto"/>
              </w:rPr>
            </w:pPr>
            <w:r>
              <w:rPr>
                <w:rFonts w:ascii="Arial" w:cs="Arial" w:eastAsia="Arial" w:hAnsi="Arial"/>
                <w:sz w:val="18"/>
                <w:szCs w:val="18"/>
                <w:color w:val="auto"/>
                <w:w w:val="93"/>
              </w:rPr>
              <w:t>Form of Option Agreement, Capped Non-Qualified Stock Option (incorporated by reference to Exhibit 10.2 to Schlumberger’s Current Report on</w:t>
            </w:r>
          </w:p>
        </w:tc>
        <w:tc>
          <w:tcPr>
            <w:tcW w:w="66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22"/>
        </w:trPr>
        <w:tc>
          <w:tcPr>
            <w:tcW w:w="10760" w:type="dxa"/>
            <w:vAlign w:val="bottom"/>
          </w:tcPr>
          <w:p>
            <w:pPr>
              <w:ind w:left="220"/>
              <w:spacing w:after="0"/>
              <w:rPr>
                <w:sz w:val="20"/>
                <w:szCs w:val="20"/>
                <w:color w:val="auto"/>
              </w:rPr>
            </w:pPr>
            <w:r>
              <w:rPr>
                <w:rFonts w:ascii="Arial" w:cs="Arial" w:eastAsia="Arial" w:hAnsi="Arial"/>
                <w:sz w:val="18"/>
                <w:szCs w:val="18"/>
                <w:color w:val="auto"/>
              </w:rPr>
              <w:t>Form 8-K filed on January 19, 2006) (+)</w:t>
            </w:r>
          </w:p>
        </w:tc>
        <w:tc>
          <w:tcPr>
            <w:tcW w:w="660" w:type="dxa"/>
            <w:vAlign w:val="bottom"/>
          </w:tcPr>
          <w:p>
            <w:pPr>
              <w:spacing w:after="0"/>
              <w:rPr>
                <w:sz w:val="19"/>
                <w:szCs w:val="19"/>
                <w:color w:val="auto"/>
              </w:rPr>
            </w:pPr>
          </w:p>
        </w:tc>
      </w:tr>
      <w:tr>
        <w:trPr>
          <w:trHeight w:val="284"/>
        </w:trPr>
        <w:tc>
          <w:tcPr>
            <w:tcW w:w="10760" w:type="dxa"/>
            <w:vAlign w:val="bottom"/>
          </w:tcPr>
          <w:p>
            <w:pPr>
              <w:spacing w:after="0"/>
              <w:rPr>
                <w:sz w:val="20"/>
                <w:szCs w:val="20"/>
                <w:color w:val="auto"/>
              </w:rPr>
            </w:pPr>
            <w:r>
              <w:rPr>
                <w:rFonts w:ascii="Arial" w:cs="Arial" w:eastAsia="Arial" w:hAnsi="Arial"/>
                <w:sz w:val="18"/>
                <w:szCs w:val="18"/>
                <w:color w:val="auto"/>
              </w:rPr>
              <w:t>Form of Option Agreement, Uncapped Incentive Stock Option (for 2001, 2005 and 2008 stock plans) (+) (*)</w:t>
            </w:r>
          </w:p>
        </w:tc>
        <w:tc>
          <w:tcPr>
            <w:tcW w:w="66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312"/>
        </w:trPr>
        <w:tc>
          <w:tcPr>
            <w:tcW w:w="10760" w:type="dxa"/>
            <w:vAlign w:val="bottom"/>
          </w:tcPr>
          <w:p>
            <w:pPr>
              <w:ind w:left="5640"/>
              <w:spacing w:after="0"/>
              <w:rPr>
                <w:sz w:val="20"/>
                <w:szCs w:val="20"/>
                <w:color w:val="auto"/>
              </w:rPr>
            </w:pPr>
            <w:r>
              <w:rPr>
                <w:rFonts w:ascii="Arial" w:cs="Arial" w:eastAsia="Arial" w:hAnsi="Arial"/>
                <w:sz w:val="14"/>
                <w:szCs w:val="14"/>
                <w:color w:val="auto"/>
              </w:rPr>
              <w:t>76</w:t>
            </w: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r>
      <w:tr>
        <w:trPr>
          <w:trHeight w:val="269"/>
        </w:trPr>
        <w:tc>
          <w:tcPr>
            <w:tcW w:w="8860" w:type="dxa"/>
            <w:vAlign w:val="bottom"/>
          </w:tcPr>
          <w:p>
            <w:pPr>
              <w:spacing w:after="0"/>
              <w:rPr>
                <w:sz w:val="20"/>
                <w:szCs w:val="20"/>
                <w:color w:val="auto"/>
              </w:rPr>
            </w:pPr>
            <w:r>
              <w:rPr>
                <w:rFonts w:ascii="Arial" w:cs="Arial" w:eastAsia="Arial" w:hAnsi="Arial"/>
                <w:sz w:val="18"/>
                <w:szCs w:val="18"/>
                <w:color w:val="auto"/>
                <w:w w:val="99"/>
              </w:rPr>
              <w:t>Form of Option Agreement, Uncapped Non-Qualified Stock Option (for 2001, 2005 and 2008 stock plans) (+) (*)</w:t>
            </w:r>
          </w:p>
        </w:tc>
        <w:tc>
          <w:tcPr>
            <w:tcW w:w="18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77"/>
        </w:trPr>
        <w:tc>
          <w:tcPr>
            <w:tcW w:w="10720" w:type="dxa"/>
            <w:vAlign w:val="bottom"/>
            <w:gridSpan w:val="2"/>
          </w:tcPr>
          <w:p>
            <w:pPr>
              <w:spacing w:after="0"/>
              <w:rPr>
                <w:sz w:val="20"/>
                <w:szCs w:val="20"/>
                <w:color w:val="auto"/>
              </w:rPr>
            </w:pPr>
            <w:r>
              <w:rPr>
                <w:rFonts w:ascii="Arial" w:cs="Arial" w:eastAsia="Arial" w:hAnsi="Arial"/>
                <w:sz w:val="18"/>
                <w:szCs w:val="18"/>
                <w:color w:val="auto"/>
                <w:w w:val="96"/>
              </w:rPr>
              <w:t>Employment Agreement dated January 18, 2007 and effective as of March 1, 2007, between Schlumberger Limited and Jean-Marc Perraud</w:t>
            </w: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22"/>
        </w:trPr>
        <w:tc>
          <w:tcPr>
            <w:tcW w:w="8860" w:type="dxa"/>
            <w:vAlign w:val="bottom"/>
          </w:tcPr>
          <w:p>
            <w:pPr>
              <w:ind w:left="220"/>
              <w:spacing w:after="0"/>
              <w:rPr>
                <w:sz w:val="20"/>
                <w:szCs w:val="20"/>
                <w:color w:val="auto"/>
              </w:rPr>
            </w:pPr>
            <w:r>
              <w:rPr>
                <w:rFonts w:ascii="Arial" w:cs="Arial" w:eastAsia="Arial" w:hAnsi="Arial"/>
                <w:sz w:val="18"/>
                <w:szCs w:val="18"/>
                <w:color w:val="auto"/>
                <w:w w:val="90"/>
              </w:rPr>
              <w:t>(incorporated by reference to Exhibit 10.1 to Schlumberger’s Current Report on Form 8-K filed on January 22, 2007) (+)</w:t>
            </w:r>
          </w:p>
        </w:tc>
        <w:tc>
          <w:tcPr>
            <w:tcW w:w="18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77"/>
        </w:trPr>
        <w:tc>
          <w:tcPr>
            <w:tcW w:w="10720" w:type="dxa"/>
            <w:vAlign w:val="bottom"/>
            <w:gridSpan w:val="2"/>
          </w:tcPr>
          <w:p>
            <w:pPr>
              <w:spacing w:after="0"/>
              <w:rPr>
                <w:sz w:val="20"/>
                <w:szCs w:val="20"/>
                <w:color w:val="auto"/>
              </w:rPr>
            </w:pPr>
            <w:r>
              <w:rPr>
                <w:rFonts w:ascii="Arial" w:cs="Arial" w:eastAsia="Arial" w:hAnsi="Arial"/>
                <w:sz w:val="18"/>
                <w:szCs w:val="18"/>
                <w:color w:val="auto"/>
                <w:w w:val="93"/>
              </w:rPr>
              <w:t>Employment Agreement dated June 9, 2009 and effective as of May 1, 2009, between Schlumberger Limited and Dalton Boutte (incorporated by</w:t>
            </w:r>
          </w:p>
        </w:tc>
        <w:tc>
          <w:tcPr>
            <w:tcW w:w="70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22"/>
        </w:trPr>
        <w:tc>
          <w:tcPr>
            <w:tcW w:w="8860" w:type="dxa"/>
            <w:vAlign w:val="bottom"/>
          </w:tcPr>
          <w:p>
            <w:pPr>
              <w:ind w:left="220"/>
              <w:spacing w:after="0"/>
              <w:rPr>
                <w:sz w:val="20"/>
                <w:szCs w:val="20"/>
                <w:color w:val="auto"/>
              </w:rPr>
            </w:pPr>
            <w:r>
              <w:rPr>
                <w:rFonts w:ascii="Arial" w:cs="Arial" w:eastAsia="Arial" w:hAnsi="Arial"/>
                <w:sz w:val="18"/>
                <w:szCs w:val="18"/>
                <w:color w:val="auto"/>
                <w:w w:val="95"/>
              </w:rPr>
              <w:t>reference to Exhibit 10.1 to Schlumberger’s Quarterly Report on Form 10-Q for the quarter ended June 30, 2009)</w:t>
            </w:r>
          </w:p>
        </w:tc>
        <w:tc>
          <w:tcPr>
            <w:tcW w:w="18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77"/>
        </w:trPr>
        <w:tc>
          <w:tcPr>
            <w:tcW w:w="10720" w:type="dxa"/>
            <w:vAlign w:val="bottom"/>
            <w:gridSpan w:val="2"/>
          </w:tcPr>
          <w:p>
            <w:pPr>
              <w:spacing w:after="0"/>
              <w:rPr>
                <w:sz w:val="20"/>
                <w:szCs w:val="20"/>
                <w:color w:val="auto"/>
              </w:rPr>
            </w:pPr>
            <w:r>
              <w:rPr>
                <w:rFonts w:ascii="Arial" w:cs="Arial" w:eastAsia="Arial" w:hAnsi="Arial"/>
                <w:sz w:val="18"/>
                <w:szCs w:val="18"/>
                <w:color w:val="auto"/>
                <w:w w:val="94"/>
              </w:rPr>
              <w:t>Form of Indemnification Agreement (incorporated by reference to Exhibit 10.1 to Schlumberger’s Current Report on Form 8-K filed on April 22,</w:t>
            </w:r>
          </w:p>
        </w:tc>
        <w:tc>
          <w:tcPr>
            <w:tcW w:w="70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22"/>
        </w:trPr>
        <w:tc>
          <w:tcPr>
            <w:tcW w:w="8860" w:type="dxa"/>
            <w:vAlign w:val="bottom"/>
          </w:tcPr>
          <w:p>
            <w:pPr>
              <w:ind w:left="220"/>
              <w:spacing w:after="0"/>
              <w:rPr>
                <w:sz w:val="20"/>
                <w:szCs w:val="20"/>
                <w:color w:val="auto"/>
              </w:rPr>
            </w:pPr>
            <w:r>
              <w:rPr>
                <w:rFonts w:ascii="Arial" w:cs="Arial" w:eastAsia="Arial" w:hAnsi="Arial"/>
                <w:sz w:val="18"/>
                <w:szCs w:val="18"/>
                <w:color w:val="auto"/>
              </w:rPr>
              <w:t>2005)</w:t>
            </w:r>
          </w:p>
        </w:tc>
        <w:tc>
          <w:tcPr>
            <w:tcW w:w="18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84"/>
        </w:trPr>
        <w:tc>
          <w:tcPr>
            <w:tcW w:w="8860" w:type="dxa"/>
            <w:vAlign w:val="bottom"/>
          </w:tcPr>
          <w:p>
            <w:pPr>
              <w:spacing w:after="0"/>
              <w:rPr>
                <w:sz w:val="20"/>
                <w:szCs w:val="20"/>
                <w:color w:val="auto"/>
              </w:rPr>
            </w:pPr>
            <w:r>
              <w:rPr>
                <w:rFonts w:ascii="Arial" w:cs="Arial" w:eastAsia="Arial" w:hAnsi="Arial"/>
                <w:sz w:val="18"/>
                <w:szCs w:val="18"/>
                <w:color w:val="auto"/>
              </w:rPr>
              <w:t>Subsidiaries (*)</w:t>
            </w:r>
          </w:p>
        </w:tc>
        <w:tc>
          <w:tcPr>
            <w:tcW w:w="18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4"/>
        </w:trPr>
        <w:tc>
          <w:tcPr>
            <w:tcW w:w="88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w:t>
            </w:r>
          </w:p>
        </w:tc>
        <w:tc>
          <w:tcPr>
            <w:tcW w:w="18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7"/>
        </w:trPr>
        <w:tc>
          <w:tcPr>
            <w:tcW w:w="8860" w:type="dxa"/>
            <w:vAlign w:val="bottom"/>
          </w:tcPr>
          <w:p>
            <w:pPr>
              <w:spacing w:after="0"/>
              <w:rPr>
                <w:sz w:val="20"/>
                <w:szCs w:val="20"/>
                <w:color w:val="auto"/>
              </w:rPr>
            </w:pPr>
            <w:r>
              <w:rPr>
                <w:rFonts w:ascii="Arial" w:cs="Arial" w:eastAsia="Arial" w:hAnsi="Arial"/>
                <w:sz w:val="18"/>
                <w:szCs w:val="18"/>
                <w:color w:val="auto"/>
              </w:rPr>
              <w:t>Powers of Attorney (*)</w:t>
            </w:r>
          </w:p>
        </w:tc>
        <w:tc>
          <w:tcPr>
            <w:tcW w:w="1860" w:type="dxa"/>
            <w:vAlign w:val="bottom"/>
          </w:tcPr>
          <w:p>
            <w:pPr>
              <w:ind w:left="140"/>
              <w:spacing w:after="0"/>
              <w:rPr>
                <w:sz w:val="20"/>
                <w:szCs w:val="20"/>
                <w:color w:val="auto"/>
              </w:rPr>
            </w:pPr>
            <w:r>
              <w:rPr>
                <w:rFonts w:ascii="Arial" w:cs="Arial" w:eastAsia="Arial" w:hAnsi="Arial"/>
                <w:sz w:val="18"/>
                <w:szCs w:val="18"/>
                <w:color w:val="auto"/>
              </w:rPr>
              <w:t>dated:</w:t>
            </w:r>
          </w:p>
        </w:tc>
        <w:tc>
          <w:tcPr>
            <w:tcW w:w="700" w:type="dxa"/>
            <w:vAlign w:val="bottom"/>
          </w:tcPr>
          <w:p>
            <w:pPr>
              <w:spacing w:after="0"/>
              <w:rPr>
                <w:sz w:val="24"/>
                <w:szCs w:val="24"/>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Philippe Camus</w:t>
            </w:r>
          </w:p>
        </w:tc>
        <w:tc>
          <w:tcPr>
            <w:tcW w:w="1860" w:type="dxa"/>
            <w:vAlign w:val="bottom"/>
          </w:tcPr>
          <w:p>
            <w:pPr>
              <w:ind w:left="140"/>
              <w:spacing w:after="0"/>
              <w:rPr>
                <w:sz w:val="20"/>
                <w:szCs w:val="20"/>
                <w:color w:val="auto"/>
              </w:rPr>
            </w:pPr>
            <w:r>
              <w:rPr>
                <w:rFonts w:ascii="Arial" w:cs="Arial" w:eastAsia="Arial" w:hAnsi="Arial"/>
                <w:sz w:val="18"/>
                <w:szCs w:val="18"/>
                <w:color w:val="auto"/>
              </w:rPr>
              <w:t>January 21, 2010</w:t>
            </w:r>
          </w:p>
        </w:tc>
        <w:tc>
          <w:tcPr>
            <w:tcW w:w="700" w:type="dxa"/>
            <w:vAlign w:val="bottom"/>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Jamie S. Gorelick</w:t>
            </w: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Andrew Gould</w:t>
            </w: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Tony Isaac</w:t>
            </w: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Nikolay Kudryavtsev</w:t>
            </w: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Adrian Lajous</w:t>
            </w: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Michael E. Marks</w:t>
            </w: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Leo Rafael Reif</w:t>
            </w: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Tore I. Sandvold</w:t>
            </w: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Henri Seydoux</w:t>
            </w: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6"/>
        </w:trPr>
        <w:tc>
          <w:tcPr>
            <w:tcW w:w="8860" w:type="dxa"/>
            <w:vAlign w:val="bottom"/>
          </w:tcPr>
          <w:p>
            <w:pPr>
              <w:ind w:left="220"/>
              <w:spacing w:after="0"/>
              <w:rPr>
                <w:sz w:val="20"/>
                <w:szCs w:val="20"/>
                <w:color w:val="auto"/>
              </w:rPr>
            </w:pPr>
            <w:r>
              <w:rPr>
                <w:rFonts w:ascii="Arial" w:cs="Arial" w:eastAsia="Arial" w:hAnsi="Arial"/>
                <w:sz w:val="18"/>
                <w:szCs w:val="18"/>
                <w:color w:val="auto"/>
              </w:rPr>
              <w:t>Linda G. Stuntz</w:t>
            </w:r>
          </w:p>
        </w:tc>
        <w:tc>
          <w:tcPr>
            <w:tcW w:w="18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84"/>
        </w:trPr>
        <w:tc>
          <w:tcPr>
            <w:tcW w:w="10720" w:type="dxa"/>
            <w:vAlign w:val="bottom"/>
            <w:gridSpan w:val="2"/>
          </w:tcPr>
          <w:p>
            <w:pPr>
              <w:spacing w:after="0"/>
              <w:rPr>
                <w:sz w:val="20"/>
                <w:szCs w:val="20"/>
                <w:color w:val="auto"/>
              </w:rPr>
            </w:pPr>
            <w:r>
              <w:rPr>
                <w:rFonts w:ascii="Arial" w:cs="Arial" w:eastAsia="Arial" w:hAnsi="Arial"/>
                <w:sz w:val="18"/>
                <w:szCs w:val="18"/>
                <w:color w:val="auto"/>
                <w:w w:val="95"/>
              </w:rPr>
              <w:t>Certification of Chief Executive Officer pursuant to Rule 13a-14(a) as Adopted Pursuant to Section 302 of the Sarbanes-Oxley Act of 2002 (*)</w:t>
            </w:r>
          </w:p>
        </w:tc>
        <w:tc>
          <w:tcPr>
            <w:tcW w:w="7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84"/>
        </w:trPr>
        <w:tc>
          <w:tcPr>
            <w:tcW w:w="10720" w:type="dxa"/>
            <w:vAlign w:val="bottom"/>
            <w:gridSpan w:val="2"/>
          </w:tcPr>
          <w:p>
            <w:pPr>
              <w:spacing w:after="0"/>
              <w:rPr>
                <w:sz w:val="20"/>
                <w:szCs w:val="20"/>
                <w:color w:val="auto"/>
              </w:rPr>
            </w:pPr>
            <w:r>
              <w:rPr>
                <w:rFonts w:ascii="Arial" w:cs="Arial" w:eastAsia="Arial" w:hAnsi="Arial"/>
                <w:sz w:val="18"/>
                <w:szCs w:val="18"/>
                <w:color w:val="auto"/>
                <w:w w:val="96"/>
              </w:rPr>
              <w:t>Certification of Chief Financial Officer pursuant to Rule 13a-14(a) as Adopted Pursuant to Section 302 of the Sarbanes-Oxley Act of 2002 (*)</w:t>
            </w: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7"/>
        </w:trPr>
        <w:tc>
          <w:tcPr>
            <w:tcW w:w="10720" w:type="dxa"/>
            <w:vAlign w:val="bottom"/>
            <w:gridSpan w:val="2"/>
          </w:tcPr>
          <w:p>
            <w:pPr>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 2002</w:t>
            </w:r>
          </w:p>
        </w:tc>
        <w:tc>
          <w:tcPr>
            <w:tcW w:w="7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2"/>
        </w:trPr>
        <w:tc>
          <w:tcPr>
            <w:tcW w:w="8860" w:type="dxa"/>
            <w:vAlign w:val="bottom"/>
          </w:tcPr>
          <w:p>
            <w:pPr>
              <w:ind w:left="220"/>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77"/>
        </w:trPr>
        <w:tc>
          <w:tcPr>
            <w:tcW w:w="10720" w:type="dxa"/>
            <w:vAlign w:val="bottom"/>
            <w:gridSpan w:val="2"/>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 2002</w:t>
            </w:r>
          </w:p>
        </w:tc>
        <w:tc>
          <w:tcPr>
            <w:tcW w:w="7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22"/>
        </w:trPr>
        <w:tc>
          <w:tcPr>
            <w:tcW w:w="8860" w:type="dxa"/>
            <w:vAlign w:val="bottom"/>
          </w:tcPr>
          <w:p>
            <w:pPr>
              <w:ind w:left="220"/>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84"/>
        </w:trPr>
        <w:tc>
          <w:tcPr>
            <w:tcW w:w="10720" w:type="dxa"/>
            <w:vAlign w:val="bottom"/>
            <w:gridSpan w:val="2"/>
          </w:tcPr>
          <w:p>
            <w:pPr>
              <w:spacing w:after="0"/>
              <w:rPr>
                <w:sz w:val="20"/>
                <w:szCs w:val="20"/>
                <w:color w:val="auto"/>
              </w:rPr>
            </w:pPr>
            <w:r>
              <w:rPr>
                <w:rFonts w:ascii="Arial" w:cs="Arial" w:eastAsia="Arial" w:hAnsi="Arial"/>
                <w:sz w:val="18"/>
                <w:szCs w:val="18"/>
                <w:color w:val="auto"/>
                <w:w w:val="94"/>
              </w:rPr>
              <w:t>The following materials from Schlumberger Limited’s Annual Report on Form 10-K for the year ended December 31, 2009, formatted in XBRL:</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r>
    </w:tbl>
    <w:p>
      <w:pPr>
        <w:ind w:left="220" w:right="1060" w:firstLine="4"/>
        <w:spacing w:after="0" w:line="261" w:lineRule="auto"/>
        <w:tabs>
          <w:tab w:leader="none" w:pos="43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Consolidated Statement of Income, (ii) Consolidated Balance Sheet, (iii) Consolidated Statement of Cash Flows, (iv) Consolidated Statement of Equity and (v) Notes to Consolidated Financial Statements, tagged as blocks of text. (*)</w:t>
      </w:r>
    </w:p>
    <w:p>
      <w:pPr>
        <w:spacing w:after="0" w:line="43"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 physically filed with this Form 10-K. All other exhibits are incorporated by reference.</w:t>
      </w:r>
    </w:p>
    <w:p>
      <w:pPr>
        <w:spacing w:after="0" w:line="77"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AGREEMENT</w:t>
      </w:r>
    </w:p>
    <w:p>
      <w:pPr>
        <w:spacing w:after="0" w:line="13"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b w:val="1"/>
          <w:bCs w:val="1"/>
          <w:color w:val="auto"/>
        </w:rPr>
        <w:t>SCHLUMBERGER [</w:t>
      </w:r>
      <w:r>
        <w:rPr>
          <w:sz w:val="20"/>
          <w:szCs w:val="20"/>
          <w:color w:val="auto"/>
        </w:rPr>
        <w:tab/>
      </w:r>
      <w:r>
        <w:rPr>
          <w:rFonts w:ascii="Arial" w:cs="Arial" w:eastAsia="Arial" w:hAnsi="Arial"/>
          <w:sz w:val="16"/>
          <w:szCs w:val="16"/>
          <w:b w:val="1"/>
          <w:bCs w:val="1"/>
          <w:color w:val="auto"/>
        </w:rPr>
        <w:t>] STOCK INCENTIVE PLAN</w:t>
      </w:r>
    </w:p>
    <w:p>
      <w:pPr>
        <w:spacing w:after="0"/>
        <w:rPr>
          <w:sz w:val="20"/>
          <w:szCs w:val="20"/>
          <w:color w:val="auto"/>
        </w:rPr>
      </w:pPr>
      <w:r>
        <w:rPr>
          <w:rFonts w:ascii="Arial" w:cs="Arial" w:eastAsia="Arial" w:hAnsi="Arial"/>
          <w:sz w:val="18"/>
          <w:szCs w:val="18"/>
          <w:b w:val="1"/>
          <w:bCs w:val="1"/>
          <w:color w:val="auto"/>
        </w:rPr>
        <w:t>INCENTIVE STOCK OPTION</w:t>
      </w:r>
    </w:p>
    <w:p>
      <w:pPr>
        <w:spacing w:after="0" w:line="133"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SCHLUMBERGER LIMITED, a Netherlands Antilles corporation (the “Company”), hereby grants to you an incentive stock option (the “ISO”) to purchase Common Stock of the Company, par value $0.01 per share, as more fully described below. The date of grant of this ISO (the “Grant Date”), the ISO exercise price and the number of shares subject to this ISO (collectively, the “Option Shares”) are set forth in an award notice that has been previously delivered to you. Your</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ISO is subject to all the terms and conditions of the Schlumberger [ ] Stock Incentive Plan as in effect on the date hereof (the “Plan”) and this Agreement. Your ISO is intended to constitute an “incentive stock option” under Section 422 of the U.S. Internal Revenue Code of 1986 (the “Code”) and the Treasury Regulations promulgated thereunder.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Except as set forth below, this ISO expires on the tenth anniversary of the Grant Date.</w:t>
      </w:r>
    </w:p>
    <w:p>
      <w:pPr>
        <w:spacing w:after="0" w:line="158"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Option Shares will become purchasable in installments, which are cumulative. The date on which each installment will become exercisable and the number of shares comprising each installment are as follows:</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780" w:type="dxa"/>
            <w:vAlign w:val="bottom"/>
          </w:tcPr>
          <w:p>
            <w:pPr>
              <w:jc w:val="right"/>
              <w:ind w:right="136"/>
              <w:spacing w:after="0"/>
              <w:rPr>
                <w:sz w:val="20"/>
                <w:szCs w:val="20"/>
                <w:color w:val="auto"/>
              </w:rPr>
            </w:pPr>
            <w:r>
              <w:rPr>
                <w:rFonts w:ascii="Arial" w:cs="Arial" w:eastAsia="Arial" w:hAnsi="Arial"/>
                <w:sz w:val="14"/>
                <w:szCs w:val="14"/>
                <w:b w:val="1"/>
                <w:bCs w:val="1"/>
                <w:color w:val="auto"/>
              </w:rPr>
              <w:t>OPTION SHARES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1st Anniversary of the Grant Date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2nd Anniversary of the Grant Date</w:t>
            </w:r>
          </w:p>
        </w:tc>
        <w:tc>
          <w:tcPr>
            <w:tcW w:w="3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3rd Anniversary of the Grant Date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4th Anniversary of the Grant Date</w:t>
            </w:r>
          </w:p>
        </w:tc>
        <w:tc>
          <w:tcPr>
            <w:tcW w:w="3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5th Anniversary of the Grant Date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140"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keeping with the Company’s general policy, the terms of this Agreement, including the vesting schedules, are put in place in certain countries to accommodate local regulations. The vesting schedule above, and therefore your ability to exercise your ISO at certain times and certain other terms of the ISO, may change if you move from one country to another. Currently, the Company has in place a sub-plan for France which governs stock options issued to Optionees residing in France or who are on a French payroll.</w:t>
      </w:r>
    </w:p>
    <w:p>
      <w:pPr>
        <w:spacing w:after="0" w:line="130"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This ISO may be exercised only by delivering to the Company a written notice specifying the number of shares you wish to purchase. The Compensation Committee, authorized by the Company to administer the Plan (the “Committee”), hereby notifies you that the ISO price may be paid, subject to such rules and procedures as the Committee may prescribe from time to time, (1) in cash or certified check, (2) by the delivery of shares of Common Stock of the Company with a fair market value at the time of exercise equal to the total ISO price or (3) by a combination of the methods described in (1) and (2).</w:t>
      </w:r>
    </w:p>
    <w:p>
      <w:pPr>
        <w:spacing w:after="0" w:line="99"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To assist you in the acquisition of shares pursuant to the exercise of this ISO, the Committee in its sole discretion has authorized the extension of an option financing program coordinated with a third party as posted on the stock options website. The terms and procedures of this program or any such program that the Committee may authorize in the future will be communicated to you.</w:t>
      </w:r>
    </w:p>
    <w:p>
      <w:pPr>
        <w:spacing w:after="0" w:line="127"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This ISO will expire earlier than the date set forth above if you terminate employment with the Company or a subsidiary (within the meaning of Code Section 424(f)) of the Company. If you terminate employment with consent of the Company or a subsidiary, as applicable, any exercise of this ISO must be made within three (3) months of termination of employment (or expiration date, if earlier) and then only to the extent the ISO was exercisable upon termination, unless you “retire” or become “disabled” within the meaning of Section 5 of the Plan, or terminate employment due to death. Section 5 of the Plan provides specific rules for exercise of this ISO on termination of employment due to retirement, disability or death and its terms are hereby incorporated in this Agreement. If termination of your employment is because of breach of your employment contract or your misconduct, this ISO will immediately expire and terminate. Termination of your employment without consent of the Company or a subsidiary, as applicable, will cause your ISO to expire immediately.</w:t>
      </w:r>
    </w:p>
    <w:p>
      <w:pPr>
        <w:sectPr>
          <w:pgSz w:w="11900" w:h="16838" w:orient="portrait"/>
          <w:cols w:equalWidth="0" w:num="1">
            <w:col w:w="11420"/>
          </w:cols>
          <w:pgMar w:left="240" w:top="269" w:right="239" w:bottom="1440" w:gutter="0" w:footer="0" w:header="0"/>
        </w:sectPr>
      </w:pPr>
    </w:p>
    <w:bookmarkStart w:id="78" w:name="page79"/>
    <w:bookmarkEnd w:id="78"/>
    <w:p>
      <w:pPr>
        <w:ind w:right="40" w:firstLine="228"/>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ISO may be forfeited, and any exercise you have made of this ISO may be rescinded, as further described below, if you engage in certain “detrimental activity” as defined in the Plan. Specifically, if you engage in detrimental activity within one year following termination of employment for any reason other than retirement or disability, this ISO will immediately expire and terminate and the Committee may rescind any exercise that you made under this option within six months preceding or three months following your termination. If you engage in detrimental activity within five years following termination of employment by reason of retirement or disability, this ISO will immediately expire and terminate and the Committee may rescind any exercise that you made under this option within the period between six months preceding and one year following your termination by retirement or disability. In the event that any option exercise is rescinded by the Committee as described above, you will be obligated to pay the Company an amount equal to the spread on the shares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06"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As contemplated by the Plan, you may not exercise your ISO or any portion thereof, and no obligation exists to issue or release shares of stock or accept an exercise of this ISO, if the issuance or release of shares or the acceptance of the ISO exercise by the Company or a subsidiary constitutes a violation of any governmental law or regulation.</w:t>
      </w:r>
    </w:p>
    <w:p>
      <w:pPr>
        <w:spacing w:after="0" w:line="127" w:lineRule="exact"/>
        <w:rPr>
          <w:sz w:val="20"/>
          <w:szCs w:val="20"/>
          <w:color w:val="auto"/>
        </w:rPr>
      </w:pPr>
    </w:p>
    <w:p>
      <w:pPr>
        <w:jc w:val="both"/>
        <w:ind w:right="140" w:firstLine="228"/>
        <w:spacing w:after="0" w:line="259" w:lineRule="auto"/>
        <w:rPr>
          <w:sz w:val="20"/>
          <w:szCs w:val="20"/>
          <w:color w:val="auto"/>
        </w:rPr>
      </w:pPr>
      <w:r>
        <w:rPr>
          <w:rFonts w:ascii="Arial" w:cs="Arial" w:eastAsia="Arial" w:hAnsi="Arial"/>
          <w:sz w:val="18"/>
          <w:szCs w:val="18"/>
          <w:color w:val="auto"/>
        </w:rPr>
        <w:t>This ISO is not transferable or assignable except by will or laws of descent and distribution and then only to the extent exercisable at death. Any exercise of this ISO after your death must be made by the person or persons entitled to make such exercise under your will or by the laws of descent and distribution before expiration of the ISO.</w:t>
      </w:r>
    </w:p>
    <w:p>
      <w:pPr>
        <w:spacing w:after="0" w:line="127"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The grant of this ISO is subject to the terms of the Plan, which is discretionary in nature, and the terms of this Agreement. The grant of this ISO is a one-time benefit, and does not create any contractual or other right to receive future grants of options, or benefits in lieu of options.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Committee. Your participation in the Plan is voluntary. The value of this ISO is an extraordinary item of compensation that is outside the scope of your oral, written or implied employment contract, if any. This ISO is not part of normal or expected compensation for purposes of calculating any severance, resignation, redundancy, end of service payments, bonuses, long-service awards, pension or retirement benefits or similar payments. The vesting of this ISO ceases upon termination of employment for any reason except as may otherwise be explicitly provided in the Plan document. In particular, if you terminate employment due to death or disability, your ISO will become fully vested and exercisable. The future value of the underlying shares is unknown and cannot be predicted with certainty.</w:t>
      </w:r>
    </w:p>
    <w:p>
      <w:pPr>
        <w:spacing w:after="0" w:line="106" w:lineRule="exact"/>
        <w:rPr>
          <w:sz w:val="20"/>
          <w:szCs w:val="20"/>
          <w:color w:val="auto"/>
        </w:rPr>
      </w:pPr>
    </w:p>
    <w:p>
      <w:pPr>
        <w:ind w:right="400" w:firstLine="228"/>
        <w:spacing w:after="0" w:line="298" w:lineRule="auto"/>
        <w:rPr>
          <w:sz w:val="20"/>
          <w:szCs w:val="20"/>
          <w:color w:val="auto"/>
        </w:rPr>
      </w:pPr>
      <w:r>
        <w:rPr>
          <w:rFonts w:ascii="Arial" w:cs="Arial" w:eastAsia="Arial" w:hAnsi="Arial"/>
          <w:sz w:val="16"/>
          <w:szCs w:val="16"/>
          <w:color w:val="auto"/>
        </w:rPr>
        <w:t>You (i) authorize the Committee, the Company and the employer entity, and any agent of the Committee administering the Plan or providing Plan recordkeeping services, to disclose to the Committee, the Company or any of its affiliates such information and data as the Committee or the Company shall request in order to facilitate the grant of options and the administration of the Plan; (ii) waive any data privacy rights you may have with respect to such information; and (iii) authorize the Company and any such agent to store and transmit such information in electronic form.</w:t>
      </w:r>
    </w:p>
    <w:p>
      <w:pPr>
        <w:spacing w:after="0" w:line="99"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If you do not wish to accept this Option Agreement, please return this Option Agreement to the Stock Option Department or notify the Stock Option Department.</w:t>
      </w:r>
    </w:p>
    <w:p>
      <w:pPr>
        <w:spacing w:after="0" w:line="112" w:lineRule="exact"/>
        <w:rPr>
          <w:sz w:val="20"/>
          <w:szCs w:val="20"/>
          <w:color w:val="auto"/>
        </w:rPr>
      </w:pPr>
    </w:p>
    <w:p>
      <w:pPr>
        <w:ind w:right="120" w:firstLine="228"/>
        <w:spacing w:after="0" w:line="275" w:lineRule="auto"/>
        <w:rPr>
          <w:sz w:val="20"/>
          <w:szCs w:val="20"/>
          <w:color w:val="auto"/>
        </w:rPr>
      </w:pPr>
      <w:r>
        <w:rPr>
          <w:rFonts w:ascii="Arial" w:cs="Arial" w:eastAsia="Arial" w:hAnsi="Arial"/>
          <w:sz w:val="18"/>
          <w:szCs w:val="18"/>
          <w:color w:val="auto"/>
        </w:rPr>
        <w:t xml:space="preserve">The Plan and prospectus are both available on-line at </w:t>
      </w:r>
      <w:r>
        <w:rPr>
          <w:rFonts w:ascii="Arial" w:cs="Arial" w:eastAsia="Arial" w:hAnsi="Arial"/>
          <w:sz w:val="18"/>
          <w:szCs w:val="18"/>
          <w:b w:val="1"/>
          <w:bCs w:val="1"/>
          <w:color w:val="auto"/>
        </w:rPr>
        <w:t>www.[ ].slb.com</w:t>
      </w:r>
      <w:r>
        <w:rPr>
          <w:rFonts w:ascii="Arial" w:cs="Arial" w:eastAsia="Arial" w:hAnsi="Arial"/>
          <w:sz w:val="18"/>
          <w:szCs w:val="18"/>
          <w:color w:val="auto"/>
        </w:rPr>
        <w:t>. A paper copy of the Plan and/or prospectus may be obtained by contacting the Stock Option Department, Schlumberger Limited, 5599 San Felipe, 17th Floor, Houston, Texas 77056.</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tabs>
          <w:tab w:leader="none" w:pos="7220" w:val="left"/>
          <w:tab w:leader="none" w:pos="75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Andrew Gould</w:t>
      </w:r>
    </w:p>
    <w:p>
      <w:pPr>
        <w:sectPr>
          <w:pgSz w:w="11900" w:h="16838" w:orient="portrait"/>
          <w:cols w:equalWidth="0" w:num="1">
            <w:col w:w="11380"/>
          </w:cols>
          <w:pgMar w:left="240" w:top="428" w:right="27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AGREEMENT</w:t>
      </w:r>
    </w:p>
    <w:p>
      <w:pPr>
        <w:spacing w:after="0" w:line="13"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b w:val="1"/>
          <w:bCs w:val="1"/>
          <w:color w:val="auto"/>
        </w:rPr>
        <w:t>SCHLUMBERGER [</w:t>
      </w:r>
      <w:r>
        <w:rPr>
          <w:sz w:val="20"/>
          <w:szCs w:val="20"/>
          <w:color w:val="auto"/>
        </w:rPr>
        <w:tab/>
      </w:r>
      <w:r>
        <w:rPr>
          <w:rFonts w:ascii="Arial" w:cs="Arial" w:eastAsia="Arial" w:hAnsi="Arial"/>
          <w:sz w:val="16"/>
          <w:szCs w:val="16"/>
          <w:b w:val="1"/>
          <w:bCs w:val="1"/>
          <w:color w:val="auto"/>
        </w:rPr>
        <w:t>] STOCK INCENTIVE PLAN</w:t>
      </w:r>
    </w:p>
    <w:p>
      <w:pPr>
        <w:spacing w:after="0"/>
        <w:rPr>
          <w:sz w:val="20"/>
          <w:szCs w:val="20"/>
          <w:color w:val="auto"/>
        </w:rPr>
      </w:pPr>
      <w:r>
        <w:rPr>
          <w:rFonts w:ascii="Arial" w:cs="Arial" w:eastAsia="Arial" w:hAnsi="Arial"/>
          <w:sz w:val="18"/>
          <w:szCs w:val="18"/>
          <w:b w:val="1"/>
          <w:bCs w:val="1"/>
          <w:color w:val="auto"/>
        </w:rPr>
        <w:t>NON-QUALIFIED STOCK OPTION</w:t>
      </w:r>
    </w:p>
    <w:p>
      <w:pPr>
        <w:spacing w:after="0" w:line="13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SCHLUMBERGER LIMITED, a Netherlands Antilles corporation (the “Company”), hereby grants to you a non-qualified stock option (the “Non-Qualified Option”) to purchase Common Stock of the Company, par value $0.01 per share, as more fully described below. The date of grant of this Non-Qualified Option (the “Grant Date”), the Non-Qualified Option exercise price and the number of shares subject to this Non-Qualified Option (collectively, the “Option Shares”) are set forth in an award notice that has been previously delivered to you. Your Non-Qualified Option is subject to all the terms and conditions of the Schlumberger</w:t>
      </w:r>
    </w:p>
    <w:p>
      <w:pPr>
        <w:spacing w:after="0" w:line="3" w:lineRule="exact"/>
        <w:rPr>
          <w:sz w:val="20"/>
          <w:szCs w:val="20"/>
          <w:color w:val="auto"/>
        </w:rPr>
      </w:pPr>
    </w:p>
    <w:p>
      <w:pPr>
        <w:ind w:right="620" w:firstLine="8"/>
        <w:spacing w:after="0" w:line="261" w:lineRule="auto"/>
        <w:tabs>
          <w:tab w:leader="none" w:pos="5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Stock Incentive Plan as in effect on the date hereof (the “Plan”) and this Agreement. Your Non-Qualified Option is not intended to constitute an “incentive stock option” under Section 422 of the U.S. Internal Revenue Code of 1986 (the “Code”).</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Except as set forth below, this Non-Qualified Option expires on the tenth anniversary of the Grant Date.</w:t>
      </w:r>
    </w:p>
    <w:p>
      <w:pPr>
        <w:spacing w:after="0" w:line="158"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Option Shares will become purchasable in installments, which are cumulative. The date on which each installment will become exercisable and the number of shares comprising each installment are as follows:</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780" w:type="dxa"/>
            <w:vAlign w:val="bottom"/>
          </w:tcPr>
          <w:p>
            <w:pPr>
              <w:jc w:val="right"/>
              <w:ind w:right="136"/>
              <w:spacing w:after="0"/>
              <w:rPr>
                <w:sz w:val="20"/>
                <w:szCs w:val="20"/>
                <w:color w:val="auto"/>
              </w:rPr>
            </w:pPr>
            <w:r>
              <w:rPr>
                <w:rFonts w:ascii="Arial" w:cs="Arial" w:eastAsia="Arial" w:hAnsi="Arial"/>
                <w:sz w:val="14"/>
                <w:szCs w:val="14"/>
                <w:b w:val="1"/>
                <w:bCs w:val="1"/>
                <w:color w:val="auto"/>
              </w:rPr>
              <w:t>OPTION SHARES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1st Anniversary of the Grant Date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2nd Anniversary of the Grant Date</w:t>
            </w:r>
          </w:p>
        </w:tc>
        <w:tc>
          <w:tcPr>
            <w:tcW w:w="3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3rd Anniversary of the Grant Date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4th Anniversary of the Grant Date</w:t>
            </w:r>
          </w:p>
        </w:tc>
        <w:tc>
          <w:tcPr>
            <w:tcW w:w="3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5th Anniversary of the Grant Date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140"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color w:val="auto"/>
        </w:rPr>
        <w:t>In keeping with the Company’s general policy, the terms of this Agreement, including the vesting schedules, are put in place in certain countries to accommodate local regulations. The vesting schedule above, and therefore your ability to exercise your Non-Qualified Option at certain times and certain other terms of the Non-Qualified Option may change if you move from one country to another. Currently, the Company has in place a sub-plan for France which governs stock options issued to Optionees residing in France or who are on a French payroll.</w:t>
      </w:r>
    </w:p>
    <w:p>
      <w:pPr>
        <w:spacing w:after="0" w:line="99"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This Non-Qualified Option may be exercised only by delivering to the Company a written notice specifying the number of shares you wish to purchase. The Compensation Committee, authorized by the Company to administer the Plan (the “Committee”), hereby notifies you that the Non-Qualified Option price may be paid, subject to such rules and procedures as the Committee may prescribe from time to time, (1) in cash or certified check, (2) by the delivery of shares of Common Stock of the Company with a fair market value at the time of exercise equal to the total Non-Qualified Option price or (3) by a combination of the methods described in (1) and (2).</w:t>
      </w:r>
    </w:p>
    <w:p>
      <w:pPr>
        <w:spacing w:after="0" w:line="129"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To assist you in the acquisition of shares pursuant to the exercise of this Non-Qualified Option, the Committee in its sole discretion has authorized the extension of an option financing program coordinated with a third party as posted on the stock department website. The terms and procedures of this program or any such program that the Committee may authorize in the future will be communicated to you.</w:t>
      </w:r>
    </w:p>
    <w:p>
      <w:pPr>
        <w:spacing w:after="0" w:line="127"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color w:val="auto"/>
        </w:rPr>
        <w:t>This Non-Qualified Option will expire earlier than the date set forth above if you terminate employment with the Company or a subsidiary (within the meaning of Code Section 424(f)) of the Company. If you terminate employment with consent of the Company or a subsidiary, as applicable, any exercise of this Non-Qualified Option must be made within three (3) months of termination of employment (or expiration date, if earlier) and then only to the extent the Non-Qualified Option was exercisable upon termination, unless you “retire” or become “disabled” within the meaning of Section 5 of the Plan, or terminate employment due to death. Section 5 of the Plan provides specific rules for exercise of this Non-Qualified Option on termination of</w:t>
      </w:r>
    </w:p>
    <w:p>
      <w:pPr>
        <w:sectPr>
          <w:pgSz w:w="11900" w:h="16838" w:orient="portrait"/>
          <w:cols w:equalWidth="0" w:num="1">
            <w:col w:w="11420"/>
          </w:cols>
          <w:pgMar w:left="240" w:top="269" w:right="239" w:bottom="1440" w:gutter="0" w:footer="0" w:header="0"/>
        </w:sectPr>
      </w:pPr>
    </w:p>
    <w:bookmarkStart w:id="80" w:name="page81"/>
    <w:bookmarkEnd w:id="80"/>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due to retirement, disability or death and its terms are hereby incorporated in this Agreement. If termination of your employment is because of breach of your employment contract or your misconduct, this Non-Qualified Option will immediately expire and terminate. Termination of your employment without consent of the Company or a subsidiary, as applicable, will cause your Non-Qualified Option to expire immediately.</w:t>
      </w:r>
    </w:p>
    <w:p>
      <w:pPr>
        <w:spacing w:after="0" w:line="93"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This Non-Qualified Option may be forfeited, and any exercise you have made of this Non-Qualified Option may be rescinded, as further described below, if you engage in certain “detrimental activity” as defined in the Plan. Specifically, if you engage in detrimental activity within one year following termination of employment for any reason other than retirement or disability, this Non-Qualified Option will immediately expire and terminate and the Committee may rescind any exercise that you made under this option within six months preceding or three months following your termination. If you engage in detrimental activity within five years following termination of employment by reason of retirement or disability, this Non-Qualified Option will immediately expire and terminate and the Committee may rescind any exercise that you made under this option within the period between six months preceding and one year following your termination by retirement or disability. In the event that any option exercise is rescinded by the Committee as described above, you will be obligated to pay the Company an amount equal to the spread on the shares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09"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color w:val="auto"/>
        </w:rPr>
        <w:t>As contemplated by the Plan, you may not exercise your Non-Qualified Option or any portion thereof, and no obligation exists to issue or release shares of stock or accept an exercise of this Non-Qualified Option, if the issuance or release of shares or the acceptance of the Non-Qualified Option exercise by the Company or a subsidiary constitutes a violation of any governmental law or regulation.</w:t>
      </w:r>
    </w:p>
    <w:p>
      <w:pPr>
        <w:spacing w:after="0" w:line="127"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This Non-Qualified Option is not transferable or assignable except by will or laws of descent and distribution and then only to the extent exercisable at death. Any exercise of this Non-Qualified Option after your death must be made by the person or persons entitled to make such exercise under your will or by the laws of descent and distribution before expiration of the Non-Qualified Option.</w:t>
      </w:r>
    </w:p>
    <w:p>
      <w:pPr>
        <w:spacing w:after="0" w:line="127"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The grant of this Non-Qualified Option is subject to the terms of the Plan, which is discretionary in nature, and the terms of this Agreement. The grant of this Non-Qualified Option is a one-time benefit, and does not create any contractual or other right to receive future grants of options, or benefits in lieu of options.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Committee. Your participation in the Plan is voluntary. The value of this Non-Qualified Option is an extraordinary item of compensation which is outside the scope of your oral, written or implied employment contract, if any. This Non-Qualified Option is not part of normal or expected compensation for purposes of calculating any severance, resignation, redundancy, end of service payments, bonuses, long-service awards, pension or retirement benefits or similar payments. The vesting of this Non-Qualified Option ceases upon termination of employment for any reason except as may otherwise be explicitly provided in the Plan document. In particular, if you terminate employment due to death or disability, your Non-Qualified Option will become fully vested and exercisable. The future value of the underlying shares is unknown and cannot be predicted with certainty.</w:t>
      </w:r>
    </w:p>
    <w:p>
      <w:pPr>
        <w:spacing w:after="0" w:line="109" w:lineRule="exact"/>
        <w:rPr>
          <w:sz w:val="20"/>
          <w:szCs w:val="20"/>
          <w:color w:val="auto"/>
        </w:rPr>
      </w:pPr>
    </w:p>
    <w:p>
      <w:pPr>
        <w:ind w:right="440" w:firstLine="228"/>
        <w:spacing w:after="0" w:line="298" w:lineRule="auto"/>
        <w:rPr>
          <w:sz w:val="20"/>
          <w:szCs w:val="20"/>
          <w:color w:val="auto"/>
        </w:rPr>
      </w:pPr>
      <w:r>
        <w:rPr>
          <w:rFonts w:ascii="Arial" w:cs="Arial" w:eastAsia="Arial" w:hAnsi="Arial"/>
          <w:sz w:val="16"/>
          <w:szCs w:val="16"/>
          <w:color w:val="auto"/>
        </w:rPr>
        <w:t>You (i) authorize the Committee, the Company and the employer entity, and any agent of the Committee administering the Plan or providing Plan recordkeeping services, to disclose to the Committee, the Company or any of its affiliates such information and data as the Committee or the Company shall request in order to facilitate the grant of options and the administration of the Plan; (ii) waive any data privacy rights you may have with respect to such information; and (iii) authorize the Company and any such agent to store and transmit such information in electronic form.</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do not wish to accept this Agreement, please return this Agreement to the Stock Department or notify the Stock Department.</w:t>
      </w:r>
    </w:p>
    <w:p>
      <w:pPr>
        <w:sectPr>
          <w:pgSz w:w="11900" w:h="16838" w:orient="portrait"/>
          <w:cols w:equalWidth="0" w:num="1">
            <w:col w:w="11420"/>
          </w:cols>
          <w:pgMar w:left="240" w:top="428" w:right="239" w:bottom="1440" w:gutter="0" w:footer="0" w:header="0"/>
        </w:sectPr>
      </w:pPr>
    </w:p>
    <w:bookmarkStart w:id="81" w:name="page82"/>
    <w:bookmarkEnd w:id="81"/>
    <w:p>
      <w:pPr>
        <w:ind w:firstLine="228"/>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Plan and prospectus are both available on-line at </w:t>
      </w:r>
      <w:r>
        <w:rPr>
          <w:rFonts w:ascii="Arial" w:cs="Arial" w:eastAsia="Arial" w:hAnsi="Arial"/>
          <w:sz w:val="18"/>
          <w:szCs w:val="18"/>
          <w:b w:val="1"/>
          <w:bCs w:val="1"/>
          <w:color w:val="auto"/>
        </w:rPr>
        <w:t>www.[ ].slb.com</w:t>
      </w:r>
      <w:r>
        <w:rPr>
          <w:rFonts w:ascii="Arial" w:cs="Arial" w:eastAsia="Arial" w:hAnsi="Arial"/>
          <w:sz w:val="18"/>
          <w:szCs w:val="18"/>
          <w:color w:val="auto"/>
        </w:rPr>
        <w:t>. A paper copy of the Plan and/or prospectus may be obtained by contacting the Stock Department, Schlumberger Limited, 5599 San Felipe, 17th Floor, Houston, Texas 77056.</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tabs>
          <w:tab w:leader="none" w:pos="7220" w:val="left"/>
          <w:tab w:leader="none" w:pos="75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Andrew Gould</w:t>
      </w:r>
    </w:p>
    <w:p>
      <w:pPr>
        <w:sectPr>
          <w:pgSz w:w="11900" w:h="16838" w:orient="portrait"/>
          <w:cols w:equalWidth="0" w:num="1">
            <w:col w:w="11260"/>
          </w:cols>
          <w:pgMar w:left="240" w:top="422" w:right="39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7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Listed below are the significant first tier subsidiaries of the Registrant, along with the total number of active subsidiaries directly or indirectly owned by each as of January 1, 2010. Certain second and third tier subsidiaries, though included in the numbers, are also shown by name. Ownership is 100% unless otherwise indicated. The business activities of the subsidiaries have been keyed as follows: (a) Oilfield Services, (b) WesternGeco, (c) General/Multiple Segments.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280" w:type="dxa"/>
            <w:vAlign w:val="bottom"/>
            <w:shd w:val="clear" w:color="auto" w:fill="CCEEFF"/>
          </w:tcPr>
          <w:p>
            <w:pPr>
              <w:spacing w:after="0"/>
              <w:rPr>
                <w:sz w:val="14"/>
                <w:szCs w:val="14"/>
                <w:color w:val="auto"/>
              </w:rPr>
            </w:pPr>
          </w:p>
        </w:tc>
        <w:tc>
          <w:tcPr>
            <w:tcW w:w="3440" w:type="dxa"/>
            <w:vAlign w:val="bottom"/>
            <w:shd w:val="clear" w:color="auto" w:fill="CCEEFF"/>
          </w:tcPr>
          <w:p>
            <w:pPr>
              <w:ind w:left="2700"/>
              <w:spacing w:after="0"/>
              <w:rPr>
                <w:sz w:val="20"/>
                <w:szCs w:val="20"/>
                <w:color w:val="auto"/>
              </w:rPr>
            </w:pPr>
            <w:r>
              <w:rPr>
                <w:rFonts w:ascii="Arial" w:cs="Arial" w:eastAsia="Arial" w:hAnsi="Arial"/>
                <w:sz w:val="14"/>
                <w:szCs w:val="14"/>
                <w:b w:val="1"/>
                <w:bCs w:val="1"/>
                <w:color w:val="auto"/>
              </w:rPr>
              <w:t>U.S.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Non-U.S.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7040" w:type="dxa"/>
            <w:vAlign w:val="bottom"/>
            <w:gridSpan w:val="3"/>
          </w:tcPr>
          <w:p>
            <w:pPr>
              <w:spacing w:after="0"/>
              <w:rPr>
                <w:sz w:val="20"/>
                <w:szCs w:val="20"/>
                <w:color w:val="auto"/>
              </w:rPr>
            </w:pPr>
            <w:r>
              <w:rPr>
                <w:rFonts w:ascii="Arial" w:cs="Arial" w:eastAsia="Arial" w:hAnsi="Arial"/>
                <w:sz w:val="18"/>
                <w:szCs w:val="18"/>
                <w:color w:val="auto"/>
              </w:rPr>
              <w:t>Schlumberger B.V., Netherlands (c)</w:t>
            </w:r>
          </w:p>
        </w:tc>
        <w:tc>
          <w:tcPr>
            <w:tcW w:w="34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55(a)</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440" w:type="dxa"/>
            <w:vAlign w:val="bottom"/>
            <w:vMerge w:val="restart"/>
          </w:tcPr>
          <w:p>
            <w:pPr>
              <w:ind w:left="2780"/>
              <w:spacing w:after="0"/>
              <w:rPr>
                <w:sz w:val="20"/>
                <w:szCs w:val="20"/>
                <w:color w:val="auto"/>
              </w:rPr>
            </w:pPr>
            <w:r>
              <w:rPr>
                <w:rFonts w:ascii="Arial" w:cs="Arial" w:eastAsia="Arial" w:hAnsi="Arial"/>
                <w:sz w:val="18"/>
                <w:szCs w:val="18"/>
                <w:color w:val="auto"/>
              </w:rPr>
              <w:t>1(b)</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20(b)</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80" w:type="dxa"/>
            <w:vAlign w:val="bottom"/>
          </w:tcPr>
          <w:p>
            <w:pPr>
              <w:spacing w:after="0"/>
              <w:rPr>
                <w:sz w:val="6"/>
                <w:szCs w:val="6"/>
                <w:color w:val="auto"/>
              </w:rPr>
            </w:pPr>
          </w:p>
        </w:tc>
        <w:tc>
          <w:tcPr>
            <w:tcW w:w="3440" w:type="dxa"/>
            <w:vAlign w:val="bottom"/>
            <w:vMerge w:val="continue"/>
          </w:tcPr>
          <w:p>
            <w:pPr>
              <w:spacing w:after="0"/>
              <w:rPr>
                <w:sz w:val="6"/>
                <w:szCs w:val="6"/>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6(c)</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Schlumberger Canada Limited, Ontario (c)</w:t>
            </w:r>
          </w:p>
        </w:tc>
        <w:tc>
          <w:tcPr>
            <w:tcW w:w="3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Schlumberger SA, France (c)</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Services Petroliers Schlumberger, France (a)</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Schlumberger Norge AS (c)</w:t>
            </w:r>
          </w:p>
        </w:tc>
        <w:tc>
          <w:tcPr>
            <w:tcW w:w="3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Antilles N.V., Netherlands Antilles (a)</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040" w:type="dxa"/>
            <w:vAlign w:val="bottom"/>
            <w:gridSpan w:val="3"/>
          </w:tcPr>
          <w:p>
            <w:pPr>
              <w:spacing w:after="0"/>
              <w:rPr>
                <w:sz w:val="20"/>
                <w:szCs w:val="20"/>
                <w:color w:val="auto"/>
              </w:rPr>
            </w:pPr>
            <w:r>
              <w:rPr>
                <w:rFonts w:ascii="Arial" w:cs="Arial" w:eastAsia="Arial" w:hAnsi="Arial"/>
                <w:sz w:val="18"/>
                <w:szCs w:val="18"/>
                <w:color w:val="auto"/>
              </w:rPr>
              <w:t>Schlumberger Oilfield Holdings Limited, BVI (c)</w:t>
            </w:r>
          </w:p>
        </w:tc>
        <w:tc>
          <w:tcPr>
            <w:tcW w:w="3440" w:type="dxa"/>
            <w:vAlign w:val="bottom"/>
          </w:tcPr>
          <w:p>
            <w:pPr>
              <w:ind w:left="2660"/>
              <w:spacing w:after="0"/>
              <w:rPr>
                <w:sz w:val="20"/>
                <w:szCs w:val="20"/>
                <w:color w:val="auto"/>
              </w:rPr>
            </w:pPr>
            <w:r>
              <w:rPr>
                <w:rFonts w:ascii="Arial" w:cs="Arial" w:eastAsia="Arial" w:hAnsi="Arial"/>
                <w:sz w:val="18"/>
                <w:szCs w:val="18"/>
                <w:color w:val="auto"/>
              </w:rPr>
              <w:t>1(a)</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136(a)</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28(b)</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11(c)</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Schlumberger Holdings Limited, BVI (a)</w:t>
            </w:r>
          </w:p>
        </w:tc>
        <w:tc>
          <w:tcPr>
            <w:tcW w:w="3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860"/>
              <w:spacing w:after="0"/>
              <w:rPr>
                <w:sz w:val="20"/>
                <w:szCs w:val="20"/>
                <w:color w:val="auto"/>
              </w:rPr>
            </w:pPr>
            <w:r>
              <w:rPr>
                <w:rFonts w:ascii="Arial" w:cs="Arial" w:eastAsia="Arial" w:hAnsi="Arial"/>
                <w:sz w:val="18"/>
                <w:szCs w:val="18"/>
                <w:color w:val="auto"/>
              </w:rPr>
              <w:t>Dowell Schlumberger Corporation, BVI (a)</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Schlumberger Middle East S.A., Panama (a)</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860"/>
              <w:spacing w:after="0"/>
              <w:rPr>
                <w:sz w:val="20"/>
                <w:szCs w:val="20"/>
                <w:color w:val="auto"/>
              </w:rPr>
            </w:pPr>
            <w:r>
              <w:rPr>
                <w:rFonts w:ascii="Arial" w:cs="Arial" w:eastAsia="Arial" w:hAnsi="Arial"/>
                <w:sz w:val="18"/>
                <w:szCs w:val="18"/>
                <w:color w:val="auto"/>
              </w:rPr>
              <w:t>Schlumberger Offshore Services Limited, BVI (a)</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Schlumberger Overseas, S.A., Panama (a)</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860"/>
              <w:spacing w:after="0"/>
              <w:rPr>
                <w:sz w:val="20"/>
                <w:szCs w:val="20"/>
                <w:color w:val="auto"/>
              </w:rPr>
            </w:pPr>
            <w:r>
              <w:rPr>
                <w:rFonts w:ascii="Arial" w:cs="Arial" w:eastAsia="Arial" w:hAnsi="Arial"/>
                <w:sz w:val="18"/>
                <w:szCs w:val="18"/>
                <w:color w:val="auto"/>
              </w:rPr>
              <w:t>Schlumberger Seaco, Inc., Panama (a)</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Schlumberger Surenco, S.A., Panama (a)</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Schlumberger Plc, UK (c)</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Schlumberger Oilfield UK Plc, UK (a)</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860"/>
              <w:spacing w:after="0"/>
              <w:rPr>
                <w:sz w:val="20"/>
                <w:szCs w:val="20"/>
                <w:color w:val="auto"/>
              </w:rPr>
            </w:pPr>
            <w:r>
              <w:rPr>
                <w:rFonts w:ascii="Arial" w:cs="Arial" w:eastAsia="Arial" w:hAnsi="Arial"/>
                <w:sz w:val="18"/>
                <w:szCs w:val="18"/>
                <w:color w:val="auto"/>
              </w:rPr>
              <w:t>WesternGeco Limited, UK (b)</w:t>
            </w:r>
          </w:p>
        </w:tc>
        <w:tc>
          <w:tcPr>
            <w:tcW w:w="3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WesternGeco Seismic Holdings Limited, BVI (b)</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040" w:type="dxa"/>
            <w:vAlign w:val="bottom"/>
            <w:gridSpan w:val="3"/>
          </w:tcPr>
          <w:p>
            <w:pPr>
              <w:spacing w:after="0"/>
              <w:rPr>
                <w:sz w:val="20"/>
                <w:szCs w:val="20"/>
                <w:color w:val="auto"/>
              </w:rPr>
            </w:pPr>
            <w:r>
              <w:rPr>
                <w:rFonts w:ascii="Arial" w:cs="Arial" w:eastAsia="Arial" w:hAnsi="Arial"/>
                <w:sz w:val="18"/>
                <w:szCs w:val="18"/>
                <w:color w:val="auto"/>
              </w:rPr>
              <w:t>Schlumberger Technology Corporation, Texas (c)</w:t>
            </w:r>
          </w:p>
        </w:tc>
        <w:tc>
          <w:tcPr>
            <w:tcW w:w="3440" w:type="dxa"/>
            <w:vAlign w:val="bottom"/>
          </w:tcPr>
          <w:p>
            <w:pPr>
              <w:ind w:left="2660"/>
              <w:spacing w:after="0"/>
              <w:rPr>
                <w:sz w:val="20"/>
                <w:szCs w:val="20"/>
                <w:color w:val="auto"/>
              </w:rPr>
            </w:pPr>
            <w:r>
              <w:rPr>
                <w:rFonts w:ascii="Arial" w:cs="Arial" w:eastAsia="Arial" w:hAnsi="Arial"/>
                <w:sz w:val="18"/>
                <w:szCs w:val="18"/>
                <w:color w:val="auto"/>
              </w:rPr>
              <w:t>8(a)</w:t>
            </w:r>
            <w:r>
              <w:rPr>
                <w:rFonts w:ascii="Arial" w:cs="Arial" w:eastAsia="Arial" w:hAnsi="Arial"/>
                <w:sz w:val="11"/>
                <w:szCs w:val="11"/>
                <w:color w:val="auto"/>
              </w:rPr>
              <w:t>6</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440" w:type="dxa"/>
            <w:vAlign w:val="bottom"/>
          </w:tcPr>
          <w:p>
            <w:pPr>
              <w:ind w:left="2660"/>
              <w:spacing w:after="0"/>
              <w:rPr>
                <w:sz w:val="20"/>
                <w:szCs w:val="20"/>
                <w:color w:val="auto"/>
              </w:rPr>
            </w:pPr>
            <w:r>
              <w:rPr>
                <w:rFonts w:ascii="Arial" w:cs="Arial" w:eastAsia="Arial" w:hAnsi="Arial"/>
                <w:sz w:val="18"/>
                <w:szCs w:val="18"/>
                <w:color w:val="auto"/>
              </w:rPr>
              <w:t>3(b)</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1(b)</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440" w:type="dxa"/>
            <w:vAlign w:val="bottom"/>
          </w:tcPr>
          <w:p>
            <w:pPr>
              <w:ind w:left="2660"/>
              <w:spacing w:after="0"/>
              <w:rPr>
                <w:sz w:val="20"/>
                <w:szCs w:val="20"/>
                <w:color w:val="auto"/>
              </w:rPr>
            </w:pPr>
            <w:r>
              <w:rPr>
                <w:rFonts w:ascii="Arial" w:cs="Arial" w:eastAsia="Arial" w:hAnsi="Arial"/>
                <w:sz w:val="18"/>
                <w:szCs w:val="18"/>
                <w:color w:val="auto"/>
              </w:rPr>
              <w:t>5(c)</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WesternGeco L.L.C., Delaware (b)</w:t>
            </w:r>
          </w:p>
        </w:tc>
        <w:tc>
          <w:tcPr>
            <w:tcW w:w="3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5280" w:type="dxa"/>
            <w:vAlign w:val="bottom"/>
          </w:tcPr>
          <w:p>
            <w:pPr>
              <w:spacing w:after="0"/>
              <w:rPr>
                <w:sz w:val="9"/>
                <w:szCs w:val="9"/>
                <w:color w:val="auto"/>
              </w:rPr>
            </w:pPr>
          </w:p>
        </w:tc>
        <w:tc>
          <w:tcPr>
            <w:tcW w:w="3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1</w:t>
            </w:r>
          </w:p>
        </w:tc>
        <w:tc>
          <w:tcPr>
            <w:tcW w:w="4380" w:type="dxa"/>
            <w:vAlign w:val="bottom"/>
            <w:vMerge w:val="restart"/>
          </w:tcPr>
          <w:p>
            <w:pPr>
              <w:ind w:left="140"/>
              <w:spacing w:after="0"/>
              <w:rPr>
                <w:sz w:val="20"/>
                <w:szCs w:val="20"/>
                <w:color w:val="auto"/>
              </w:rPr>
            </w:pPr>
            <w:r>
              <w:rPr>
                <w:rFonts w:ascii="Arial" w:cs="Arial" w:eastAsia="Arial" w:hAnsi="Arial"/>
                <w:sz w:val="14"/>
                <w:szCs w:val="14"/>
                <w:color w:val="auto"/>
                <w:w w:val="93"/>
              </w:rPr>
              <w:t>Includes six majority-owned subsidiaries and one 50%-owned subsidiary.</w:t>
            </w:r>
          </w:p>
        </w:tc>
        <w:tc>
          <w:tcPr>
            <w:tcW w:w="0" w:type="dxa"/>
            <w:vAlign w:val="bottom"/>
          </w:tcPr>
          <w:p>
            <w:pPr>
              <w:spacing w:after="0"/>
              <w:rPr>
                <w:sz w:val="1"/>
                <w:szCs w:val="1"/>
                <w:color w:val="auto"/>
              </w:rPr>
            </w:pPr>
          </w:p>
        </w:tc>
      </w:tr>
      <w:tr>
        <w:trPr>
          <w:trHeight w:val="52"/>
        </w:trPr>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2</w:t>
            </w:r>
          </w:p>
        </w:tc>
        <w:tc>
          <w:tcPr>
            <w:tcW w:w="4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0" w:type="dxa"/>
            <w:vAlign w:val="bottom"/>
            <w:vMerge w:val="continue"/>
          </w:tcPr>
          <w:p>
            <w:pPr>
              <w:spacing w:after="0"/>
              <w:rPr>
                <w:sz w:val="8"/>
                <w:szCs w:val="8"/>
                <w:color w:val="auto"/>
              </w:rPr>
            </w:pPr>
          </w:p>
        </w:tc>
        <w:tc>
          <w:tcPr>
            <w:tcW w:w="43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w w:val="94"/>
              </w:rPr>
              <w:t>Includes one majority-owned subsidiary and one 50%-owned subsidiary.</w:t>
            </w:r>
          </w:p>
        </w:tc>
        <w:tc>
          <w:tcPr>
            <w:tcW w:w="0" w:type="dxa"/>
            <w:vAlign w:val="bottom"/>
          </w:tcPr>
          <w:p>
            <w:pPr>
              <w:spacing w:after="0"/>
              <w:rPr>
                <w:sz w:val="1"/>
                <w:szCs w:val="1"/>
                <w:color w:val="auto"/>
              </w:rPr>
            </w:pPr>
          </w:p>
        </w:tc>
      </w:tr>
      <w:tr>
        <w:trPr>
          <w:trHeight w:val="52"/>
        </w:trPr>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3</w:t>
            </w:r>
          </w:p>
        </w:tc>
        <w:tc>
          <w:tcPr>
            <w:tcW w:w="4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0" w:type="dxa"/>
            <w:vAlign w:val="bottom"/>
            <w:vMerge w:val="continue"/>
          </w:tcPr>
          <w:p>
            <w:pPr>
              <w:spacing w:after="0"/>
              <w:rPr>
                <w:sz w:val="8"/>
                <w:szCs w:val="8"/>
                <w:color w:val="auto"/>
              </w:rPr>
            </w:pPr>
          </w:p>
        </w:tc>
        <w:tc>
          <w:tcPr>
            <w:tcW w:w="43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w w:val="87"/>
              </w:rPr>
              <w:t>Includes seven majority-owned subsidiaries and four 50%-owned subsidiaries.</w:t>
            </w:r>
          </w:p>
        </w:tc>
        <w:tc>
          <w:tcPr>
            <w:tcW w:w="0" w:type="dxa"/>
            <w:vAlign w:val="bottom"/>
          </w:tcPr>
          <w:p>
            <w:pPr>
              <w:spacing w:after="0"/>
              <w:rPr>
                <w:sz w:val="1"/>
                <w:szCs w:val="1"/>
                <w:color w:val="auto"/>
              </w:rPr>
            </w:pPr>
          </w:p>
        </w:tc>
      </w:tr>
      <w:tr>
        <w:trPr>
          <w:trHeight w:val="52"/>
        </w:trPr>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4</w:t>
            </w:r>
          </w:p>
        </w:tc>
        <w:tc>
          <w:tcPr>
            <w:tcW w:w="4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0" w:type="dxa"/>
            <w:vAlign w:val="bottom"/>
            <w:vMerge w:val="continue"/>
          </w:tcPr>
          <w:p>
            <w:pPr>
              <w:spacing w:after="0"/>
              <w:rPr>
                <w:sz w:val="8"/>
                <w:szCs w:val="8"/>
                <w:color w:val="auto"/>
              </w:rPr>
            </w:pPr>
          </w:p>
        </w:tc>
        <w:tc>
          <w:tcPr>
            <w:tcW w:w="43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Includes five majority-owned subsidiaries.</w:t>
            </w:r>
          </w:p>
        </w:tc>
        <w:tc>
          <w:tcPr>
            <w:tcW w:w="0" w:type="dxa"/>
            <w:vAlign w:val="bottom"/>
          </w:tcPr>
          <w:p>
            <w:pPr>
              <w:spacing w:after="0"/>
              <w:rPr>
                <w:sz w:val="1"/>
                <w:szCs w:val="1"/>
                <w:color w:val="auto"/>
              </w:rPr>
            </w:pPr>
          </w:p>
        </w:tc>
      </w:tr>
      <w:tr>
        <w:trPr>
          <w:trHeight w:val="52"/>
        </w:trPr>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5</w:t>
            </w:r>
          </w:p>
        </w:tc>
        <w:tc>
          <w:tcPr>
            <w:tcW w:w="4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0" w:type="dxa"/>
            <w:vAlign w:val="bottom"/>
            <w:vMerge w:val="continue"/>
          </w:tcPr>
          <w:p>
            <w:pPr>
              <w:spacing w:after="0"/>
              <w:rPr>
                <w:sz w:val="8"/>
                <w:szCs w:val="8"/>
                <w:color w:val="auto"/>
              </w:rPr>
            </w:pPr>
          </w:p>
        </w:tc>
        <w:tc>
          <w:tcPr>
            <w:tcW w:w="43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Includes one majority-owned subsidiary.</w:t>
            </w:r>
          </w:p>
        </w:tc>
        <w:tc>
          <w:tcPr>
            <w:tcW w:w="0" w:type="dxa"/>
            <w:vAlign w:val="bottom"/>
          </w:tcPr>
          <w:p>
            <w:pPr>
              <w:spacing w:after="0"/>
              <w:rPr>
                <w:sz w:val="1"/>
                <w:szCs w:val="1"/>
                <w:color w:val="auto"/>
              </w:rPr>
            </w:pPr>
          </w:p>
        </w:tc>
      </w:tr>
      <w:tr>
        <w:trPr>
          <w:trHeight w:val="52"/>
        </w:trPr>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6</w:t>
            </w:r>
          </w:p>
        </w:tc>
        <w:tc>
          <w:tcPr>
            <w:tcW w:w="4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0" w:type="dxa"/>
            <w:vAlign w:val="bottom"/>
            <w:vMerge w:val="continue"/>
          </w:tcPr>
          <w:p>
            <w:pPr>
              <w:spacing w:after="0"/>
              <w:rPr>
                <w:sz w:val="8"/>
                <w:szCs w:val="8"/>
                <w:color w:val="auto"/>
              </w:rPr>
            </w:pPr>
          </w:p>
        </w:tc>
        <w:tc>
          <w:tcPr>
            <w:tcW w:w="4380" w:type="dxa"/>
            <w:vAlign w:val="bottom"/>
            <w:vMerge w:val="restart"/>
          </w:tcPr>
          <w:p>
            <w:pPr>
              <w:ind w:left="140"/>
              <w:spacing w:after="0"/>
              <w:rPr>
                <w:sz w:val="20"/>
                <w:szCs w:val="20"/>
                <w:color w:val="auto"/>
              </w:rPr>
            </w:pPr>
            <w:r>
              <w:rPr>
                <w:rFonts w:ascii="Arial" w:cs="Arial" w:eastAsia="Arial" w:hAnsi="Arial"/>
                <w:sz w:val="14"/>
                <w:szCs w:val="14"/>
                <w:color w:val="auto"/>
                <w:w w:val="94"/>
              </w:rPr>
              <w:t>Includes one majority-owned subsidiary and one 50%-owned subsidiary.</w:t>
            </w:r>
          </w:p>
        </w:tc>
        <w:tc>
          <w:tcPr>
            <w:tcW w:w="0" w:type="dxa"/>
            <w:vAlign w:val="bottom"/>
          </w:tcPr>
          <w:p>
            <w:pPr>
              <w:spacing w:after="0"/>
              <w:rPr>
                <w:sz w:val="1"/>
                <w:szCs w:val="1"/>
                <w:color w:val="auto"/>
              </w:rPr>
            </w:pPr>
          </w:p>
        </w:tc>
      </w:tr>
      <w:tr>
        <w:trPr>
          <w:trHeight w:val="76"/>
        </w:trPr>
        <w:tc>
          <w:tcPr>
            <w:tcW w:w="200" w:type="dxa"/>
            <w:vAlign w:val="bottom"/>
          </w:tcPr>
          <w:p>
            <w:pPr>
              <w:spacing w:after="0"/>
              <w:rPr>
                <w:sz w:val="6"/>
                <w:szCs w:val="6"/>
                <w:color w:val="auto"/>
              </w:rPr>
            </w:pP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33-86424; 333-62545; 333-36366; 333-36364; 333-67330; 333-104225; 333-115277; 333-124534; and 333-151920), on Form S-3 (No. 333-108730) and on Form S-4 (No. 333-97899) of Schlumberger Limited of our report dated February 5, 2010 relating to the consolidated financial statements and the effectiveness of internal control over financial reporting, which appears in this Form 10-K.</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3550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5, 2010</w:t>
      </w:r>
    </w:p>
    <w:p>
      <w:pPr>
        <w:sectPr>
          <w:pgSz w:w="11900" w:h="16838" w:orient="portrait"/>
          <w:cols w:equalWidth="0" w:num="1">
            <w:col w:w="11420"/>
          </w:cols>
          <w:pgMar w:left="240" w:top="269"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Netherlands Antilles corporation (“the Corporation”), hereby appoints Simon Ayat, Howard Guild and Alexander C. Juden,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2009, and any amendment or amendments to any such Annual Report on Form 10-K, and any agreements, consents or waivers relative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420"/>
          </w:cols>
          <w:pgMar w:left="240" w:top="269" w:right="239" w:bottom="1440" w:gutter="0" w:footer="0" w:header="0"/>
        </w:sectPr>
      </w:pPr>
    </w:p>
    <w:p>
      <w:pPr>
        <w:spacing w:after="0" w:line="240"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Philippe Camus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Philippe Camus</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Jamie S.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6"/>
          <w:szCs w:val="16"/>
          <w:color w:val="auto"/>
        </w:rPr>
        <w:t>Chairman and Chief Executive Officer</w:t>
      </w:r>
    </w:p>
    <w:p>
      <w:pPr>
        <w:spacing w:after="0" w:line="25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Nikolay Kudryavtsev</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21, 2010</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94615</wp:posOffset>
            </wp:positionV>
            <wp:extent cx="321564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Michael E. Marks</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94615</wp:posOffset>
            </wp:positionV>
            <wp:extent cx="321564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Leo Rafael Reif</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/s/ 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80010</wp:posOffset>
            </wp:positionV>
            <wp:extent cx="321564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Tore Sandvold</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80010</wp:posOffset>
            </wp:positionV>
            <wp:extent cx="321564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Henri Seydoux</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/s/ Linda G. Stuntz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94615</wp:posOffset>
            </wp:positionV>
            <wp:extent cx="321564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7280" w:space="720"/>
            <w:col w:w="3420"/>
          </w:cols>
          <w:pgMar w:left="240" w:top="269" w:right="2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420" w:hanging="184"/>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firstLine="236"/>
        <w:spacing w:after="0" w:line="332" w:lineRule="auto"/>
        <w:tabs>
          <w:tab w:leader="none" w:pos="404"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February 5,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241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269"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Simon Ayat, certify that:</w:t>
      </w:r>
    </w:p>
    <w:p>
      <w:pPr>
        <w:spacing w:after="0" w:line="77" w:lineRule="exact"/>
        <w:rPr>
          <w:sz w:val="20"/>
          <w:szCs w:val="20"/>
          <w:color w:val="auto"/>
        </w:rPr>
      </w:pPr>
    </w:p>
    <w:p>
      <w:pPr>
        <w:ind w:left="420" w:hanging="184"/>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firstLine="236"/>
        <w:spacing w:after="0" w:line="332" w:lineRule="auto"/>
        <w:tabs>
          <w:tab w:leader="none" w:pos="404"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February 5,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241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Simon Ayat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269"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2009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February 5,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241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269"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2009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February 5,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241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Simon Ayat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2"/>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2"/>
    </w:lvl>
  </w:abstractNum>
  <w:abstractNum w:abstractNumId="23">
    <w:nsid w:val="5C482A97"/>
    <w:multiLevelType w:val="hybridMultilevel"/>
    <w:lvl w:ilvl="0">
      <w:lvlJc w:val="left"/>
      <w:lvlText w:val="%1."/>
      <w:numFmt w:val="decimal"/>
      <w:start w:val="3"/>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3"/>
    </w:lvl>
    <w:lvl w:ilvl="1">
      <w:lvlJc w:val="left"/>
      <w:lvlText w:val="·"/>
      <w:numFmt w:val="bullet"/>
      <w:start w:val="1"/>
    </w:lvl>
  </w:abstractNum>
  <w:abstractNum w:abstractNumId="27">
    <w:nsid w:val="2D517796"/>
    <w:multiLevelType w:val="hybridMultilevel"/>
    <w:lvl w:ilvl="0">
      <w:lvlJc w:val="left"/>
      <w:lvlText w:val="%1."/>
      <w:numFmt w:val="decimal"/>
      <w:start w:val="5"/>
    </w:lvl>
  </w:abstractNum>
  <w:abstractNum w:abstractNumId="28">
    <w:nsid w:val="580BD78F"/>
    <w:multiLevelType w:val="hybridMultilevel"/>
    <w:lvl w:ilvl="0">
      <w:lvlJc w:val="left"/>
      <w:lvlText w:val="%1."/>
      <w:numFmt w:val="decimal"/>
      <w:start w:val="6"/>
    </w:lvl>
  </w:abstractNum>
  <w:abstractNum w:abstractNumId="29">
    <w:nsid w:val="153EA438"/>
    <w:multiLevelType w:val="hybridMultilevel"/>
    <w:lvl w:ilvl="0">
      <w:lvlJc w:val="left"/>
      <w:lvlText w:val="%1."/>
      <w:numFmt w:val="decimal"/>
      <w:start w:val="7"/>
    </w:lvl>
  </w:abstractNum>
  <w:abstractNum w:abstractNumId="30">
    <w:nsid w:val="3855585C"/>
    <w:multiLevelType w:val="hybridMultilevel"/>
    <w:lvl w:ilvl="0">
      <w:lvlJc w:val="left"/>
      <w:lvlText w:val="%1."/>
      <w:numFmt w:val="decimal"/>
      <w:start w:val="8"/>
    </w:lvl>
  </w:abstractNum>
  <w:abstractNum w:abstractNumId="31">
    <w:nsid w:val="70A64E2A"/>
    <w:multiLevelType w:val="hybridMultilevel"/>
    <w:lvl w:ilvl="0">
      <w:lvlJc w:val="left"/>
      <w:lvlText w:val="%1."/>
      <w:numFmt w:val="decimal"/>
      <w:start w:val="9"/>
    </w:lvl>
  </w:abstractNum>
  <w:abstractNum w:abstractNumId="32">
    <w:nsid w:val="6A2342EC"/>
    <w:multiLevelType w:val="hybridMultilevel"/>
    <w:lvl w:ilvl="0">
      <w:lvlJc w:val="left"/>
      <w:lvlText w:val="%1."/>
      <w:numFmt w:val="decimal"/>
      <w:start w:val="10"/>
    </w:lvl>
  </w:abstractNum>
  <w:abstractNum w:abstractNumId="33">
    <w:nsid w:val="2A487CB0"/>
    <w:multiLevelType w:val="hybridMultilevel"/>
    <w:lvl w:ilvl="0">
      <w:lvlJc w:val="left"/>
      <w:lvlText w:val="%1."/>
      <w:numFmt w:val="decimal"/>
      <w:start w:val="11"/>
    </w:lvl>
  </w:abstractNum>
  <w:abstractNum w:abstractNumId="34">
    <w:nsid w:val="1D4ED43B"/>
    <w:multiLevelType w:val="hybridMultilevel"/>
    <w:lvl w:ilvl="0">
      <w:lvlJc w:val="left"/>
      <w:lvlText w:val="%1."/>
      <w:numFmt w:val="decimal"/>
      <w:start w:val="12"/>
    </w:lvl>
  </w:abstractNum>
  <w:abstractNum w:abstractNumId="35">
    <w:nsid w:val="725A06FB"/>
    <w:multiLevelType w:val="hybridMultilevel"/>
    <w:lvl w:ilvl="0">
      <w:lvlJc w:val="left"/>
      <w:lvlText w:val="%1."/>
      <w:numFmt w:val="decimal"/>
      <w:start w:val="13"/>
    </w:lvl>
  </w:abstractNum>
  <w:abstractNum w:abstractNumId="36">
    <w:nsid w:val="2CD89A32"/>
    <w:multiLevelType w:val="hybridMultilevel"/>
    <w:lvl w:ilvl="0">
      <w:lvlJc w:val="left"/>
      <w:lvlText w:val="%1."/>
      <w:numFmt w:val="decimal"/>
      <w:start w:val="14"/>
    </w:lvl>
  </w:abstractNum>
  <w:abstractNum w:abstractNumId="37">
    <w:nsid w:val="57E4CCAF"/>
    <w:multiLevelType w:val="hybridMultilevel"/>
    <w:lvl w:ilvl="0">
      <w:lvlJc w:val="left"/>
      <w:lvlText w:val="%1."/>
      <w:numFmt w:val="decimal"/>
      <w:start w:val="15"/>
    </w:lvl>
  </w:abstractNum>
  <w:abstractNum w:abstractNumId="38">
    <w:nsid w:val="7A6D8D3C"/>
    <w:multiLevelType w:val="hybridMultilevel"/>
    <w:lvl w:ilvl="0">
      <w:lvlJc w:val="left"/>
      <w:lvlText w:val="%1."/>
      <w:numFmt w:val="decimal"/>
      <w:start w:val="16"/>
    </w:lvl>
  </w:abstractNum>
  <w:abstractNum w:abstractNumId="39">
    <w:nsid w:val="4B588F54"/>
    <w:multiLevelType w:val="hybridMultilevel"/>
    <w:lvl w:ilvl="0">
      <w:lvlJc w:val="left"/>
      <w:lvlText w:val="%1."/>
      <w:numFmt w:val="decimal"/>
      <w:start w:val="17"/>
    </w:lvl>
  </w:abstractNum>
  <w:abstractNum w:abstractNumId="40">
    <w:nsid w:val="542289EC"/>
    <w:multiLevelType w:val="hybridMultilevel"/>
    <w:lvl w:ilvl="0">
      <w:lvlJc w:val="left"/>
      <w:lvlText w:val="%1."/>
      <w:numFmt w:val="decimal"/>
      <w:start w:val="18"/>
    </w:lvl>
  </w:abstractNum>
  <w:abstractNum w:abstractNumId="41">
    <w:nsid w:val="6DE91B18"/>
    <w:multiLevelType w:val="hybridMultilevel"/>
    <w:lvl w:ilvl="0">
      <w:lvlJc w:val="left"/>
      <w:lvlText w:val="%1."/>
      <w:numFmt w:val="decimal"/>
      <w:start w:val="19"/>
    </w:lvl>
  </w:abstractNum>
  <w:abstractNum w:abstractNumId="42">
    <w:nsid w:val="38437FDB"/>
    <w:multiLevelType w:val="hybridMultilevel"/>
    <w:lvl w:ilvl="0">
      <w:lvlJc w:val="left"/>
      <w:lvlText w:val="(%1)"/>
      <w:numFmt w:val="lowerLetter"/>
    </w:lvl>
    <w:lvl w:ilvl="1">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2"/>
    </w:lvl>
  </w:abstractNum>
  <w:abstractNum w:abstractNumId="47">
    <w:nsid w:val="749ABB43"/>
    <w:multiLevelType w:val="hybridMultilevel"/>
    <w:lvl w:ilvl="0">
      <w:lvlJc w:val="left"/>
      <w:lvlText w:val="(*)"/>
      <w:numFmt w:val="bullet"/>
      <w:start w:val="1"/>
    </w:lvl>
    <w:lvl w:ilvl="1">
      <w:lvlJc w:val="left"/>
      <w:lvlText w:val="(%2)"/>
      <w:numFmt w:val="lowerRoman"/>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2019-12-10T02:40:50Z</dcterms:created>
  <dcterms:modified xsi:type="dcterms:W3CDTF">2019-12-10T02:40:50Z</dcterms:modified>
</cp:coreProperties>
</file>