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17, 2010</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333-166326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62230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S-4</w:t>
      </w: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41275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SCHLUMBERGER N.V. (SCHLUMBERGER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r>
        <w:rPr>
          <w:rFonts w:ascii="Arial" w:cs="Arial" w:eastAsia="Arial" w:hAnsi="Arial"/>
          <w:sz w:val="14"/>
          <w:szCs w:val="14"/>
          <w:color w:val="auto"/>
        </w:rPr>
        <w:t>)</w:t>
      </w:r>
    </w:p>
    <w:p>
      <w:pPr>
        <w:spacing w:after="0" w:line="81"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3440" w:type="dxa"/>
            <w:vAlign w:val="bottom"/>
          </w:tcPr>
          <w:p>
            <w:pPr>
              <w:jc w:val="center"/>
              <w:ind w:right="1626"/>
              <w:spacing w:after="0"/>
              <w:rPr>
                <w:sz w:val="20"/>
                <w:szCs w:val="20"/>
                <w:color w:val="auto"/>
              </w:rPr>
            </w:pPr>
            <w:r>
              <w:rPr>
                <w:rFonts w:ascii="Arial" w:cs="Arial" w:eastAsia="Arial" w:hAnsi="Arial"/>
                <w:sz w:val="18"/>
                <w:szCs w:val="18"/>
                <w:b w:val="1"/>
                <w:bCs w:val="1"/>
                <w:color w:val="auto"/>
                <w:w w:val="88"/>
              </w:rPr>
              <w:t>Netherlands Antilles</w:t>
            </w:r>
          </w:p>
        </w:tc>
        <w:tc>
          <w:tcPr>
            <w:tcW w:w="2380" w:type="dxa"/>
            <w:vAlign w:val="bottom"/>
          </w:tcPr>
          <w:p>
            <w:pPr>
              <w:jc w:val="center"/>
              <w:ind w:left="177"/>
              <w:spacing w:after="0"/>
              <w:rPr>
                <w:sz w:val="20"/>
                <w:szCs w:val="20"/>
                <w:color w:val="auto"/>
              </w:rPr>
            </w:pPr>
            <w:r>
              <w:rPr>
                <w:rFonts w:ascii="Arial" w:cs="Arial" w:eastAsia="Arial" w:hAnsi="Arial"/>
                <w:sz w:val="18"/>
                <w:szCs w:val="18"/>
                <w:b w:val="1"/>
                <w:bCs w:val="1"/>
                <w:color w:val="auto"/>
                <w:w w:val="89"/>
              </w:rPr>
              <w:t>1389</w:t>
            </w:r>
          </w:p>
        </w:tc>
        <w:tc>
          <w:tcPr>
            <w:tcW w:w="3360" w:type="dxa"/>
            <w:vAlign w:val="bottom"/>
          </w:tcPr>
          <w:p>
            <w:pPr>
              <w:jc w:val="center"/>
              <w:ind w:left="1966"/>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40" w:type="dxa"/>
            <w:vAlign w:val="bottom"/>
          </w:tcPr>
          <w:p>
            <w:pPr>
              <w:jc w:val="center"/>
              <w:ind w:right="162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jc w:val="center"/>
              <w:ind w:left="177"/>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3360" w:type="dxa"/>
            <w:vAlign w:val="bottom"/>
          </w:tcPr>
          <w:p>
            <w:pPr>
              <w:jc w:val="center"/>
              <w:ind w:left="19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40" w:type="dxa"/>
            <w:vAlign w:val="bottom"/>
          </w:tcPr>
          <w:p>
            <w:pPr>
              <w:jc w:val="center"/>
              <w:ind w:right="1606"/>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jc w:val="center"/>
              <w:ind w:left="177"/>
              <w:spacing w:after="0"/>
              <w:rPr>
                <w:sz w:val="20"/>
                <w:szCs w:val="20"/>
                <w:color w:val="auto"/>
              </w:rPr>
            </w:pPr>
            <w:r>
              <w:rPr>
                <w:rFonts w:ascii="Arial" w:cs="Arial" w:eastAsia="Arial" w:hAnsi="Arial"/>
                <w:sz w:val="14"/>
                <w:szCs w:val="14"/>
                <w:b w:val="1"/>
                <w:bCs w:val="1"/>
                <w:color w:val="auto"/>
                <w:w w:val="87"/>
              </w:rPr>
              <w:t>Classification Code Number)</w:t>
            </w:r>
          </w:p>
        </w:tc>
        <w:tc>
          <w:tcPr>
            <w:tcW w:w="3360" w:type="dxa"/>
            <w:vAlign w:val="bottom"/>
          </w:tcPr>
          <w:p>
            <w:pPr>
              <w:jc w:val="center"/>
              <w:ind w:left="1946"/>
              <w:spacing w:after="0"/>
              <w:rPr>
                <w:sz w:val="20"/>
                <w:szCs w:val="20"/>
                <w:color w:val="auto"/>
              </w:rPr>
            </w:pPr>
            <w:r>
              <w:rPr>
                <w:rFonts w:ascii="Arial" w:cs="Arial" w:eastAsia="Arial" w:hAnsi="Arial"/>
                <w:sz w:val="14"/>
                <w:szCs w:val="14"/>
                <w:b w:val="1"/>
                <w:bCs w:val="1"/>
                <w:color w:val="auto"/>
                <w:w w:val="90"/>
              </w:rPr>
              <w:t>Identification Number)</w:t>
            </w:r>
          </w:p>
        </w:tc>
      </w:tr>
      <w:tr>
        <w:trPr>
          <w:trHeight w:val="136"/>
        </w:trPr>
        <w:tc>
          <w:tcPr>
            <w:tcW w:w="344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3360" w:type="dxa"/>
            <w:vAlign w:val="bottom"/>
          </w:tcPr>
          <w:p>
            <w:pPr>
              <w:spacing w:after="0"/>
              <w:rPr>
                <w:sz w:val="11"/>
                <w:szCs w:val="11"/>
                <w:color w:val="auto"/>
              </w:rPr>
            </w:pPr>
          </w:p>
        </w:tc>
      </w:tr>
      <w:tr>
        <w:trPr>
          <w:trHeight w:val="236"/>
        </w:trPr>
        <w:tc>
          <w:tcPr>
            <w:tcW w:w="34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42, rue Saint-Dominique</w:t>
            </w:r>
          </w:p>
        </w:tc>
        <w:tc>
          <w:tcPr>
            <w:tcW w:w="3360" w:type="dxa"/>
            <w:vAlign w:val="bottom"/>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Paris, France 75007</w:t>
            </w:r>
          </w:p>
        </w:tc>
        <w:tc>
          <w:tcPr>
            <w:tcW w:w="3360" w:type="dxa"/>
            <w:vAlign w:val="bottom"/>
          </w:tcPr>
          <w:p>
            <w:pPr>
              <w:spacing w:after="0"/>
              <w:rPr>
                <w:sz w:val="18"/>
                <w:szCs w:val="18"/>
                <w:color w:val="auto"/>
              </w:rPr>
            </w:pPr>
          </w:p>
        </w:tc>
      </w:tr>
      <w:tr>
        <w:trPr>
          <w:trHeight w:val="228"/>
        </w:trPr>
        <w:tc>
          <w:tcPr>
            <w:tcW w:w="3440" w:type="dxa"/>
            <w:vAlign w:val="bottom"/>
          </w:tcPr>
          <w:p>
            <w:pPr>
              <w:spacing w:after="0"/>
              <w:rPr>
                <w:sz w:val="19"/>
                <w:szCs w:val="19"/>
                <w:color w:val="auto"/>
              </w:rPr>
            </w:pPr>
          </w:p>
        </w:tc>
        <w:tc>
          <w:tcPr>
            <w:tcW w:w="2380" w:type="dxa"/>
            <w:vAlign w:val="bottom"/>
          </w:tcPr>
          <w:p>
            <w:pPr>
              <w:jc w:val="right"/>
              <w:ind w:right="537"/>
              <w:spacing w:after="0"/>
              <w:rPr>
                <w:sz w:val="20"/>
                <w:szCs w:val="20"/>
                <w:color w:val="auto"/>
              </w:rPr>
            </w:pPr>
            <w:r>
              <w:rPr>
                <w:rFonts w:ascii="Arial" w:cs="Arial" w:eastAsia="Arial" w:hAnsi="Arial"/>
                <w:sz w:val="18"/>
                <w:szCs w:val="18"/>
                <w:b w:val="1"/>
                <w:bCs w:val="1"/>
                <w:color w:val="auto"/>
              </w:rPr>
              <w:t>33-1-4062-1000</w:t>
            </w:r>
          </w:p>
        </w:tc>
        <w:tc>
          <w:tcPr>
            <w:tcW w:w="3360" w:type="dxa"/>
            <w:vAlign w:val="bottom"/>
          </w:tcPr>
          <w:p>
            <w:pPr>
              <w:spacing w:after="0"/>
              <w:rPr>
                <w:sz w:val="19"/>
                <w:szCs w:val="19"/>
                <w:color w:val="auto"/>
              </w:rPr>
            </w:pPr>
          </w:p>
        </w:tc>
      </w:tr>
      <w:tr>
        <w:trPr>
          <w:trHeight w:val="244"/>
        </w:trPr>
        <w:tc>
          <w:tcPr>
            <w:tcW w:w="344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5599 San Felipe, 17th Floor</w:t>
            </w:r>
          </w:p>
        </w:tc>
        <w:tc>
          <w:tcPr>
            <w:tcW w:w="3360" w:type="dxa"/>
            <w:vAlign w:val="bottom"/>
          </w:tcPr>
          <w:p>
            <w:pPr>
              <w:spacing w:after="0"/>
              <w:rPr>
                <w:sz w:val="21"/>
                <w:szCs w:val="21"/>
                <w:color w:val="auto"/>
              </w:rPr>
            </w:pPr>
          </w:p>
        </w:tc>
      </w:tr>
      <w:tr>
        <w:trPr>
          <w:trHeight w:val="216"/>
        </w:trPr>
        <w:tc>
          <w:tcPr>
            <w:tcW w:w="34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5"/>
              </w:rPr>
              <w:t>Houston, Texas 77056</w:t>
            </w:r>
          </w:p>
        </w:tc>
        <w:tc>
          <w:tcPr>
            <w:tcW w:w="3360" w:type="dxa"/>
            <w:vAlign w:val="bottom"/>
          </w:tcPr>
          <w:p>
            <w:pPr>
              <w:spacing w:after="0"/>
              <w:rPr>
                <w:sz w:val="18"/>
                <w:szCs w:val="18"/>
                <w:color w:val="auto"/>
              </w:rPr>
            </w:pPr>
          </w:p>
        </w:tc>
      </w:tr>
      <w:tr>
        <w:trPr>
          <w:trHeight w:val="228"/>
        </w:trPr>
        <w:tc>
          <w:tcPr>
            <w:tcW w:w="3440" w:type="dxa"/>
            <w:vAlign w:val="bottom"/>
          </w:tcPr>
          <w:p>
            <w:pPr>
              <w:spacing w:after="0"/>
              <w:rPr>
                <w:sz w:val="19"/>
                <w:szCs w:val="19"/>
                <w:color w:val="auto"/>
              </w:rPr>
            </w:pPr>
          </w:p>
        </w:tc>
        <w:tc>
          <w:tcPr>
            <w:tcW w:w="2380" w:type="dxa"/>
            <w:vAlign w:val="bottom"/>
          </w:tcPr>
          <w:p>
            <w:pPr>
              <w:jc w:val="right"/>
              <w:ind w:right="557"/>
              <w:spacing w:after="0"/>
              <w:rPr>
                <w:sz w:val="20"/>
                <w:szCs w:val="20"/>
                <w:color w:val="auto"/>
              </w:rPr>
            </w:pPr>
            <w:r>
              <w:rPr>
                <w:rFonts w:ascii="Arial" w:cs="Arial" w:eastAsia="Arial" w:hAnsi="Arial"/>
                <w:sz w:val="18"/>
                <w:szCs w:val="18"/>
                <w:b w:val="1"/>
                <w:bCs w:val="1"/>
                <w:color w:val="auto"/>
              </w:rPr>
              <w:t>(713) 513-2000</w:t>
            </w:r>
          </w:p>
        </w:tc>
        <w:tc>
          <w:tcPr>
            <w:tcW w:w="3360" w:type="dxa"/>
            <w:vAlign w:val="bottom"/>
          </w:tcPr>
          <w:p>
            <w:pPr>
              <w:spacing w:after="0"/>
              <w:rPr>
                <w:sz w:val="19"/>
                <w:szCs w:val="19"/>
                <w:color w:val="auto"/>
              </w:rPr>
            </w:pPr>
          </w:p>
        </w:tc>
      </w:tr>
    </w:tbl>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Parkstraat 83, The Hague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Netherlands, 2514 JG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31-70-310-54003000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53340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Alexander C. Juden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45085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3" w:lineRule="exact"/>
        <w:rPr>
          <w:sz w:val="24"/>
          <w:szCs w:val="24"/>
          <w:color w:val="auto"/>
        </w:rPr>
      </w:pPr>
    </w:p>
    <w:tbl>
      <w:tblPr>
        <w:tblLayout w:type="fixed"/>
        <w:tblInd w:w="204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5360" w:type="dxa"/>
            <w:vAlign w:val="bottom"/>
          </w:tcPr>
          <w:p>
            <w:pPr>
              <w:ind w:left="840"/>
              <w:spacing w:after="0"/>
              <w:rPr>
                <w:sz w:val="20"/>
                <w:szCs w:val="20"/>
                <w:color w:val="auto"/>
              </w:rPr>
            </w:pPr>
            <w:r>
              <w:rPr>
                <w:rFonts w:ascii="Arial" w:cs="Arial" w:eastAsia="Arial" w:hAnsi="Arial"/>
                <w:sz w:val="18"/>
                <w:szCs w:val="18"/>
                <w:b w:val="1"/>
                <w:bCs w:val="1"/>
                <w:i w:val="1"/>
                <w:iCs w:val="1"/>
                <w:color w:val="auto"/>
              </w:rPr>
              <w:t>Copies to:</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92"/>
              </w:rPr>
              <w:t>J. David Kirkland, Jr.</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90"/>
              </w:rPr>
              <w:t>Daniel A. Neff</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91"/>
              </w:rPr>
              <w:t>M. Breen Haire</w:t>
            </w:r>
          </w:p>
        </w:tc>
        <w:tc>
          <w:tcPr>
            <w:tcW w:w="5360" w:type="dxa"/>
            <w:vAlign w:val="bottom"/>
          </w:tcPr>
          <w:p>
            <w:pPr>
              <w:jc w:val="center"/>
              <w:ind w:left="2872"/>
              <w:spacing w:after="0"/>
              <w:rPr>
                <w:sz w:val="20"/>
                <w:szCs w:val="20"/>
                <w:color w:val="auto"/>
              </w:rPr>
            </w:pPr>
            <w:r>
              <w:rPr>
                <w:rFonts w:ascii="Arial" w:cs="Arial" w:eastAsia="Arial" w:hAnsi="Arial"/>
                <w:sz w:val="18"/>
                <w:szCs w:val="18"/>
                <w:b w:val="1"/>
                <w:bCs w:val="1"/>
                <w:color w:val="auto"/>
                <w:w w:val="89"/>
              </w:rPr>
              <w:t>David Shapiro</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90"/>
              </w:rPr>
              <w:t>Baker Botts L.L.P.</w:t>
            </w:r>
          </w:p>
        </w:tc>
        <w:tc>
          <w:tcPr>
            <w:tcW w:w="5360" w:type="dxa"/>
            <w:vAlign w:val="bottom"/>
          </w:tcPr>
          <w:p>
            <w:pPr>
              <w:jc w:val="center"/>
              <w:ind w:left="2872"/>
              <w:spacing w:after="0"/>
              <w:rPr>
                <w:sz w:val="20"/>
                <w:szCs w:val="20"/>
                <w:color w:val="auto"/>
              </w:rPr>
            </w:pPr>
            <w:r>
              <w:rPr>
                <w:rFonts w:ascii="Arial" w:cs="Arial" w:eastAsia="Arial" w:hAnsi="Arial"/>
                <w:sz w:val="18"/>
                <w:szCs w:val="18"/>
                <w:b w:val="1"/>
                <w:bCs w:val="1"/>
                <w:color w:val="auto"/>
                <w:w w:val="90"/>
              </w:rPr>
              <w:t>Wachtell, Lipton, Rosen &amp; Katz</w:t>
            </w:r>
          </w:p>
        </w:tc>
      </w:tr>
      <w:tr>
        <w:trPr>
          <w:trHeight w:val="216"/>
        </w:trPr>
        <w:tc>
          <w:tcPr>
            <w:tcW w:w="2480" w:type="dxa"/>
            <w:vAlign w:val="bottom"/>
          </w:tcPr>
          <w:p>
            <w:pPr>
              <w:jc w:val="center"/>
              <w:ind w:right="732"/>
              <w:spacing w:after="0"/>
              <w:rPr>
                <w:sz w:val="20"/>
                <w:szCs w:val="20"/>
                <w:color w:val="auto"/>
              </w:rPr>
            </w:pPr>
            <w:r>
              <w:rPr>
                <w:rFonts w:ascii="Arial" w:cs="Arial" w:eastAsia="Arial" w:hAnsi="Arial"/>
                <w:sz w:val="18"/>
                <w:szCs w:val="18"/>
                <w:b w:val="1"/>
                <w:bCs w:val="1"/>
                <w:color w:val="auto"/>
                <w:w w:val="87"/>
              </w:rPr>
              <w:t>One Shell Plaza</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87"/>
              </w:rPr>
              <w:t>51 West 52nd Street</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87"/>
              </w:rPr>
              <w:t>910 Louisiana</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89"/>
              </w:rPr>
              <w:t>New York, New York 10019</w:t>
            </w:r>
          </w:p>
        </w:tc>
      </w:tr>
      <w:tr>
        <w:trPr>
          <w:trHeight w:val="216"/>
        </w:trPr>
        <w:tc>
          <w:tcPr>
            <w:tcW w:w="2480" w:type="dxa"/>
            <w:vAlign w:val="bottom"/>
          </w:tcPr>
          <w:p>
            <w:pPr>
              <w:jc w:val="center"/>
              <w:ind w:right="732"/>
              <w:spacing w:after="0"/>
              <w:rPr>
                <w:sz w:val="20"/>
                <w:szCs w:val="20"/>
                <w:color w:val="auto"/>
              </w:rPr>
            </w:pPr>
            <w:r>
              <w:rPr>
                <w:rFonts w:ascii="Arial" w:cs="Arial" w:eastAsia="Arial" w:hAnsi="Arial"/>
                <w:sz w:val="18"/>
                <w:szCs w:val="18"/>
                <w:b w:val="1"/>
                <w:bCs w:val="1"/>
                <w:color w:val="auto"/>
                <w:w w:val="85"/>
              </w:rPr>
              <w:t>Houston, Texas 77002</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89"/>
              </w:rPr>
              <w:t>(212) 403-1000</w:t>
            </w:r>
          </w:p>
        </w:tc>
      </w:tr>
      <w:tr>
        <w:trPr>
          <w:trHeight w:val="228"/>
        </w:trPr>
        <w:tc>
          <w:tcPr>
            <w:tcW w:w="2480" w:type="dxa"/>
            <w:vAlign w:val="bottom"/>
          </w:tcPr>
          <w:p>
            <w:pPr>
              <w:jc w:val="center"/>
              <w:ind w:right="732"/>
              <w:spacing w:after="0"/>
              <w:rPr>
                <w:sz w:val="20"/>
                <w:szCs w:val="20"/>
                <w:color w:val="auto"/>
              </w:rPr>
            </w:pPr>
            <w:r>
              <w:rPr>
                <w:rFonts w:ascii="Arial" w:cs="Arial" w:eastAsia="Arial" w:hAnsi="Arial"/>
                <w:sz w:val="18"/>
                <w:szCs w:val="18"/>
                <w:b w:val="1"/>
                <w:bCs w:val="1"/>
                <w:color w:val="auto"/>
                <w:w w:val="89"/>
              </w:rPr>
              <w:t>(713) 229-1234</w:t>
            </w:r>
          </w:p>
        </w:tc>
        <w:tc>
          <w:tcPr>
            <w:tcW w:w="5360" w:type="dxa"/>
            <w:vAlign w:val="bottom"/>
          </w:tcPr>
          <w:p>
            <w:pPr>
              <w:spacing w:after="0"/>
              <w:rPr>
                <w:sz w:val="19"/>
                <w:szCs w:val="19"/>
                <w:color w:val="auto"/>
              </w:rPr>
            </w:pPr>
          </w:p>
        </w:tc>
      </w:tr>
    </w:tbl>
    <w:p>
      <w:pPr>
        <w:spacing w:after="0" w:line="43" w:lineRule="exact"/>
        <w:rPr>
          <w:sz w:val="24"/>
          <w:szCs w:val="24"/>
          <w:color w:val="auto"/>
        </w:rPr>
      </w:pPr>
    </w:p>
    <w:p>
      <w:pPr>
        <w:ind w:right="140" w:firstLine="342"/>
        <w:spacing w:after="0"/>
        <w:rPr>
          <w:sz w:val="20"/>
          <w:szCs w:val="20"/>
          <w:color w:val="auto"/>
        </w:rPr>
      </w:pPr>
      <w:r>
        <w:rPr>
          <w:rFonts w:ascii="Arial" w:cs="Arial" w:eastAsia="Arial" w:hAnsi="Arial"/>
          <w:sz w:val="14"/>
          <w:szCs w:val="14"/>
          <w:b w:val="1"/>
          <w:bCs w:val="1"/>
          <w:color w:val="auto"/>
        </w:rPr>
        <w:t xml:space="preserve">Approximate date of commencement of the proposed sale of the securities to the public: </w:t>
      </w:r>
      <w:r>
        <w:rPr>
          <w:rFonts w:ascii="Arial" w:cs="Arial" w:eastAsia="Arial" w:hAnsi="Arial"/>
          <w:sz w:val="14"/>
          <w:szCs w:val="14"/>
          <w:color w:val="auto"/>
        </w:rPr>
        <w:t>As soon as practicable after this registration statement becomes effective and upon completion of the merger</w:t>
      </w:r>
      <w:r>
        <w:rPr>
          <w:rFonts w:ascii="Arial" w:cs="Arial" w:eastAsia="Arial" w:hAnsi="Arial"/>
          <w:sz w:val="14"/>
          <w:szCs w:val="14"/>
          <w:b w:val="1"/>
          <w:bCs w:val="1"/>
          <w:color w:val="auto"/>
        </w:rPr>
        <w:t xml:space="preserve"> </w:t>
      </w:r>
      <w:r>
        <w:rPr>
          <w:rFonts w:ascii="Arial" w:cs="Arial" w:eastAsia="Arial" w:hAnsi="Arial"/>
          <w:sz w:val="14"/>
          <w:szCs w:val="14"/>
          <w:color w:val="auto"/>
        </w:rPr>
        <w:t>described in the enclosed document.</w:t>
      </w:r>
    </w:p>
    <w:p>
      <w:pPr>
        <w:spacing w:after="0" w:line="1" w:lineRule="exact"/>
        <w:rPr>
          <w:sz w:val="24"/>
          <w:szCs w:val="24"/>
          <w:color w:val="auto"/>
        </w:rPr>
      </w:pPr>
    </w:p>
    <w:p>
      <w:pPr>
        <w:ind w:left="360"/>
        <w:spacing w:after="0" w:line="138" w:lineRule="exact"/>
        <w:tabs>
          <w:tab w:leader="none" w:pos="11100" w:val="left"/>
        </w:tabs>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w:t>
      </w:r>
      <w:r>
        <w:rPr>
          <w:sz w:val="20"/>
          <w:szCs w:val="20"/>
          <w:color w:val="auto"/>
        </w:rPr>
        <w:tab/>
      </w:r>
      <w:r>
        <w:rPr>
          <w:rFonts w:ascii="MS PGothic" w:cs="MS PGothic" w:eastAsia="MS PGothic" w:hAnsi="MS PGothic"/>
          <w:sz w:val="12"/>
          <w:szCs w:val="12"/>
          <w:color w:val="auto"/>
        </w:rPr>
        <w:t>☐</w:t>
      </w:r>
    </w:p>
    <w:p>
      <w:pPr>
        <w:spacing w:after="0" w:line="52" w:lineRule="exact"/>
        <w:rPr>
          <w:sz w:val="24"/>
          <w:szCs w:val="24"/>
          <w:color w:val="auto"/>
        </w:rPr>
      </w:pPr>
    </w:p>
    <w:p>
      <w:pPr>
        <w:ind w:right="60" w:firstLine="342"/>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42"/>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563" w:gutter="0" w:footer="0" w:header="0"/>
        </w:sectPr>
      </w:pPr>
    </w:p>
    <w:p>
      <w:pPr>
        <w:spacing w:after="0" w:line="3" w:lineRule="exact"/>
        <w:rPr>
          <w:sz w:val="24"/>
          <w:szCs w:val="24"/>
          <w:color w:val="auto"/>
        </w:rPr>
      </w:pPr>
    </w:p>
    <w:p>
      <w:pPr>
        <w:spacing w:after="0" w:line="291" w:lineRule="auto"/>
        <w:rPr>
          <w:sz w:val="20"/>
          <w:szCs w:val="20"/>
          <w:color w:val="auto"/>
        </w:rPr>
      </w:pPr>
      <w:r>
        <w:rPr>
          <w:rFonts w:ascii="Arial" w:cs="Arial" w:eastAsia="Arial" w:hAnsi="Arial"/>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Accelerated filer</w:t>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3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0" w:lineRule="exact"/>
        <w:rPr>
          <w:sz w:val="24"/>
          <w:szCs w:val="24"/>
          <w:color w:val="auto"/>
        </w:rPr>
      </w:pPr>
    </w:p>
    <w:p>
      <w:pPr>
        <w:sectPr>
          <w:pgSz w:w="11900" w:h="16838" w:orient="portrait"/>
          <w:cols w:equalWidth="0" w:num="4">
            <w:col w:w="1220" w:space="400"/>
            <w:col w:w="7020" w:space="720"/>
            <w:col w:w="1480" w:space="460"/>
            <w:col w:w="120"/>
          </w:cols>
          <w:pgMar w:left="240" w:top="230" w:right="239" w:bottom="563" w:gutter="0" w:footer="0" w:header="0"/>
          <w:type w:val="continuous"/>
        </w:sectPr>
      </w:pPr>
    </w:p>
    <w:p>
      <w:pPr>
        <w:ind w:left="3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200" w:type="dxa"/>
            <w:vAlign w:val="bottom"/>
            <w:gridSpan w:val="2"/>
          </w:tcPr>
          <w:p>
            <w:pPr>
              <w:ind w:left="340"/>
              <w:spacing w:after="0" w:line="161" w:lineRule="exact"/>
              <w:rPr>
                <w:sz w:val="20"/>
                <w:szCs w:val="20"/>
                <w:color w:val="auto"/>
              </w:rPr>
            </w:pPr>
            <w:r>
              <w:rPr>
                <w:rFonts w:ascii="Arial" w:cs="Arial" w:eastAsia="Arial" w:hAnsi="Arial"/>
                <w:sz w:val="14"/>
                <w:szCs w:val="14"/>
                <w:color w:val="auto"/>
                <w:w w:val="92"/>
              </w:rPr>
              <w:t xml:space="preserve">Exchange Act Rule 13e-4(i) (Cross-Border Issuer Tender Offer)  </w:t>
            </w:r>
            <w:r>
              <w:rPr>
                <w:rFonts w:ascii="MS PGothic" w:cs="MS PGothic" w:eastAsia="MS PGothic" w:hAnsi="MS PGothic"/>
                <w:sz w:val="14"/>
                <w:szCs w:val="14"/>
                <w:color w:val="auto"/>
                <w:w w:val="92"/>
              </w:rPr>
              <w:t>☐</w:t>
            </w:r>
          </w:p>
        </w:tc>
        <w:tc>
          <w:tcPr>
            <w:tcW w:w="14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8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0" w:type="dxa"/>
            <w:vAlign w:val="bottom"/>
            <w:gridSpan w:val="2"/>
          </w:tcPr>
          <w:p>
            <w:pPr>
              <w:ind w:left="340"/>
              <w:spacing w:after="0"/>
              <w:rPr>
                <w:sz w:val="20"/>
                <w:szCs w:val="20"/>
                <w:color w:val="auto"/>
              </w:rPr>
            </w:pPr>
            <w:r>
              <w:rPr>
                <w:rFonts w:ascii="Arial" w:cs="Arial" w:eastAsia="Arial" w:hAnsi="Arial"/>
                <w:sz w:val="14"/>
                <w:szCs w:val="14"/>
                <w:color w:val="auto"/>
                <w:w w:val="89"/>
              </w:rPr>
              <w:t>Exchange Act Rule 14d-1(d) (Cross-Border Third-Party Tender Offer)</w:t>
            </w:r>
          </w:p>
        </w:tc>
        <w:tc>
          <w:tcPr>
            <w:tcW w:w="142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CALCULATION OF REGISTRATION FEE</w:t>
            </w:r>
          </w:p>
        </w:tc>
        <w:tc>
          <w:tcPr>
            <w:tcW w:w="2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7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4"/>
              </w:rPr>
              <w:t>Title of each class of</w:t>
            </w:r>
          </w:p>
        </w:tc>
        <w:tc>
          <w:tcPr>
            <w:tcW w:w="420" w:type="dxa"/>
            <w:vAlign w:val="bottom"/>
          </w:tcPr>
          <w:p>
            <w:pPr>
              <w:spacing w:after="0"/>
              <w:rPr>
                <w:sz w:val="10"/>
                <w:szCs w:val="10"/>
                <w:color w:val="auto"/>
              </w:rPr>
            </w:pPr>
          </w:p>
        </w:tc>
        <w:tc>
          <w:tcPr>
            <w:tcW w:w="1420" w:type="dxa"/>
            <w:vAlign w:val="bottom"/>
            <w:tcBorders>
              <w:right w:val="single" w:sz="8" w:color="auto"/>
            </w:tcBorders>
          </w:tcPr>
          <w:p>
            <w:pPr>
              <w:ind w:left="140"/>
              <w:spacing w:after="0" w:line="123" w:lineRule="exact"/>
              <w:rPr>
                <w:sz w:val="20"/>
                <w:szCs w:val="20"/>
                <w:color w:val="auto"/>
              </w:rPr>
            </w:pPr>
            <w:r>
              <w:rPr>
                <w:rFonts w:ascii="Arial" w:cs="Arial" w:eastAsia="Arial" w:hAnsi="Arial"/>
                <w:sz w:val="14"/>
                <w:szCs w:val="14"/>
                <w:b w:val="1"/>
                <w:bCs w:val="1"/>
                <w:color w:val="auto"/>
              </w:rPr>
              <w:t>Amount to be</w:t>
            </w:r>
          </w:p>
        </w:tc>
        <w:tc>
          <w:tcPr>
            <w:tcW w:w="1820" w:type="dxa"/>
            <w:vAlign w:val="bottom"/>
            <w:tcBorders>
              <w:right w:val="single" w:sz="8" w:color="auto"/>
            </w:tcBorders>
          </w:tcPr>
          <w:p>
            <w:pPr>
              <w:jc w:val="center"/>
              <w:ind w:left="32"/>
              <w:spacing w:after="0" w:line="123" w:lineRule="exact"/>
              <w:rPr>
                <w:sz w:val="20"/>
                <w:szCs w:val="20"/>
                <w:color w:val="auto"/>
              </w:rPr>
            </w:pPr>
            <w:r>
              <w:rPr>
                <w:rFonts w:ascii="Arial" w:cs="Arial" w:eastAsia="Arial" w:hAnsi="Arial"/>
                <w:sz w:val="14"/>
                <w:szCs w:val="14"/>
                <w:b w:val="1"/>
                <w:bCs w:val="1"/>
                <w:color w:val="auto"/>
                <w:w w:val="86"/>
              </w:rPr>
              <w:t>Proposed maximum</w:t>
            </w:r>
          </w:p>
        </w:tc>
        <w:tc>
          <w:tcPr>
            <w:tcW w:w="21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6"/>
              </w:rPr>
              <w:t>Proposed maximum</w:t>
            </w:r>
          </w:p>
        </w:tc>
        <w:tc>
          <w:tcPr>
            <w:tcW w:w="1780" w:type="dxa"/>
            <w:vAlign w:val="bottom"/>
          </w:tcPr>
          <w:p>
            <w:pPr>
              <w:jc w:val="center"/>
              <w:ind w:left="12"/>
              <w:spacing w:after="0" w:line="123"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 to be registered</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4"/>
              </w:rPr>
              <w:t>registered(1)</w:t>
            </w:r>
          </w:p>
        </w:tc>
        <w:tc>
          <w:tcPr>
            <w:tcW w:w="182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6"/>
              </w:rPr>
              <w:t>offering price per share</w:t>
            </w:r>
          </w:p>
        </w:tc>
        <w:tc>
          <w:tcPr>
            <w:tcW w:w="21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aggregate offering price(2)</w:t>
            </w:r>
          </w:p>
        </w:tc>
        <w:tc>
          <w:tcPr>
            <w:tcW w:w="17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registration fee(3)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jc w:val="right"/>
              <w:ind w:right="472"/>
              <w:spacing w:after="0" w:line="142" w:lineRule="exact"/>
              <w:rPr>
                <w:sz w:val="20"/>
                <w:szCs w:val="20"/>
                <w:color w:val="auto"/>
              </w:rPr>
            </w:pPr>
            <w:r>
              <w:rPr>
                <w:rFonts w:ascii="Arial" w:cs="Arial" w:eastAsia="Arial" w:hAnsi="Arial"/>
                <w:sz w:val="14"/>
                <w:szCs w:val="14"/>
                <w:color w:val="auto"/>
              </w:rPr>
              <w:t>177,642,362</w:t>
            </w:r>
          </w:p>
        </w:tc>
        <w:tc>
          <w:tcPr>
            <w:tcW w:w="182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4"/>
              </w:rPr>
              <w:t>N/A</w:t>
            </w:r>
          </w:p>
        </w:tc>
        <w:tc>
          <w:tcPr>
            <w:tcW w:w="218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5"/>
              </w:rPr>
              <w:t>$11,535,532,913</w:t>
            </w:r>
          </w:p>
        </w:tc>
        <w:tc>
          <w:tcPr>
            <w:tcW w:w="178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7"/>
              </w:rPr>
              <w:t>$822,484(4)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4"/>
          <w:szCs w:val="24"/>
          <w:color w:val="auto"/>
        </w:rPr>
      </w:pPr>
    </w:p>
    <w:p>
      <w:pPr>
        <w:ind w:left="340" w:right="20" w:hanging="332"/>
        <w:spacing w:after="0" w:line="225"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the maximum number of shares of common stock, par value of $0.01 per share, of Schlumberger Limited to be issuable upon the completion of the merger described herein, equal to the product of (i) 255,013,439, the number of shares of Smith International, Inc. common stock outstanding on April 21, 2010 (other than shares owned by Smith International, Inc., the registrant and any of their respective subsidiaries) or issuable pursuant to outstanding stock options and restricted stock units, multiplied by (ii) the exchange ratio of 0.6966 shares of Schlumberger Limited common stock for each share of Smith International, Inc. common stock.</w:t>
      </w:r>
    </w:p>
    <w:p>
      <w:pPr>
        <w:spacing w:after="0" w:line="2" w:lineRule="exact"/>
        <w:rPr>
          <w:rFonts w:ascii="Arial" w:cs="Arial" w:eastAsia="Arial" w:hAnsi="Arial"/>
          <w:sz w:val="14"/>
          <w:szCs w:val="14"/>
          <w:color w:val="auto"/>
        </w:rPr>
      </w:pPr>
    </w:p>
    <w:p>
      <w:pPr>
        <w:ind w:left="340" w:right="10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required by Section 6(b) of the Securities Act and calculated pursuant to Rules 457(f) and 457(c) under the Securities Act. The proposed maximum aggregate offering price of the registrant’s common stock was calculated based upon the market value of shares of Smith International, Inc. common stock (the securities to be canceled in the merger) in accordance with Rule 457(c) and is equal to the product of (i) $45.24, the average of the high and low prices per share of Smith International, Inc. common stock on the New York Stock Exchange on April 20, 2010, multiplied by (ii) 255,013,439, the maximum number of shares of Smith International, Inc. common stock that may be canceled and exchanged in the merger as of April 21, 2010.</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Section 6(b) of the Securities Act and SEC Fee Advisory #4 for Fiscal Year 2010 at a rate equal to $71.30 per $1,000,000 of the proposed maximum aggregate offering price.</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 in connection with the initial filing of this registration statement on April 27, 2010.</w:t>
      </w:r>
    </w:p>
    <w:p>
      <w:pPr>
        <w:spacing w:after="0" w:line="55" w:lineRule="exact"/>
        <w:rPr>
          <w:sz w:val="24"/>
          <w:szCs w:val="24"/>
          <w:color w:val="auto"/>
        </w:rPr>
      </w:pPr>
    </w:p>
    <w:p>
      <w:pPr>
        <w:ind w:right="20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56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 DATED JUNE 17,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MERGER PROPOSAL—YOUR VOTE IS VERY IMPORTANT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Smith International, Inc.:</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board of directors of Schlumberger Limited (Schlumberger N.V.) and the board of directors of Smith International, Inc. have agreed to a strategic combination pursuant to an Agreement and Plan of Merger, dated as of February 21, 2010, which we refer to as the merger agreement. Upon completion of the merger of a wholly owned subsidiary of Schlumberger with and into Smith, Schlumberger will acquire Smith, and Smith will become a wholly owned subsidiary of Schlumberger.</w:t>
      </w:r>
    </w:p>
    <w:p>
      <w:pPr>
        <w:spacing w:after="0" w:line="25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If the merger is completed, Smith stockholders will have the right to receive 0.6966 shares of Schlumberger common stock for each share of Smith common stock, with cash paid in lieu of fractional shares. This exchange ratio is fixed and will not be adjusted to reflect stock price changes prior to closing of the merger. Based on the closing price of Schlumberger common stock on the New York Stock Exchange, or the NYSE, on February 18, 2010, the last trading day before various news outlets began reporting on a possible transaction involving Smith and Schlumberger, the 0.6966 exchange ratio represented approximately $45.84 in value for each share of Smith common stock. Based on the closing price of Schlumberger common stock on [—], 2010, the most recent practicable trading day before the date of this document, the 0.6966 exchange ratio represented approximately $[—] in value for each share of Smith common stock.</w:t>
      </w:r>
    </w:p>
    <w:p>
      <w:pPr>
        <w:spacing w:after="0" w:line="25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Based on the number of shares of Smith common stock and Smith restricted stock units outstanding as of [—], 2010, Schlumberger expects to issue approximately [—] shares of its common stock to Smith stockholders pursuant to the merger and reserve for issuance approximately [—] additional shares of Schlumberger common stock in connection with the exercise or conversion of Smith’s outstanding equity awards. Upon completion of the merger, we estimate that current Schlumberger shareholders will own approximately 87.2% of the combined company and former Smith stockholders will own approximately 12.8% of the combined company. Schlumberger common stock and Smith common stock are both traded on the NYSE under the symbols SLB and SII, respectively.</w:t>
      </w:r>
    </w:p>
    <w:p>
      <w:pPr>
        <w:spacing w:after="0" w:line="224"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At the annual meeting of Smith stockholders, Smith stockholders will be asked to vote on the adoption of the merger agreement. We cannot complete the merger unless the Smith stockholders approve this proposal. Your vote is very important, regardless of the number of shares you own. Whether or not you expect to attend the annual meeting in person, please vote your shares as promptly as possible by (1) accessing the internet website specified on your proxy card,</w:t>
      </w:r>
    </w:p>
    <w:p>
      <w:pPr>
        <w:spacing w:after="0" w:line="1" w:lineRule="exact"/>
        <w:rPr>
          <w:sz w:val="20"/>
          <w:szCs w:val="20"/>
          <w:color w:val="auto"/>
        </w:rPr>
      </w:pPr>
    </w:p>
    <w:p>
      <w:pPr>
        <w:ind w:firstLine="8"/>
        <w:spacing w:after="0" w:line="255"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calling the toll-free number specified on your proxy card, or (3) signing and returning all proxy cards that you receive in the postage-paid envelope provided, so that your shares may be represented and voted at the Smith annual meeting. </w:t>
      </w:r>
      <w:r>
        <w:rPr>
          <w:rFonts w:ascii="Arial" w:cs="Arial" w:eastAsia="Arial" w:hAnsi="Arial"/>
          <w:sz w:val="18"/>
          <w:szCs w:val="18"/>
          <w:b w:val="1"/>
          <w:bCs w:val="1"/>
          <w:color w:val="auto"/>
        </w:rPr>
        <w:t>Please note that a failure to vote your shares is the equivalent of a vote against</w:t>
      </w:r>
      <w:r>
        <w:rPr>
          <w:rFonts w:ascii="Arial" w:cs="Arial" w:eastAsia="Arial" w:hAnsi="Arial"/>
          <w:sz w:val="18"/>
          <w:szCs w:val="18"/>
          <w:color w:val="auto"/>
        </w:rPr>
        <w:t xml:space="preserve"> </w:t>
      </w:r>
      <w:r>
        <w:rPr>
          <w:rFonts w:ascii="Arial" w:cs="Arial" w:eastAsia="Arial" w:hAnsi="Arial"/>
          <w:sz w:val="18"/>
          <w:szCs w:val="18"/>
          <w:b w:val="1"/>
          <w:bCs w:val="1"/>
          <w:color w:val="auto"/>
        </w:rPr>
        <w:t>the merger.</w:t>
      </w:r>
    </w:p>
    <w:p>
      <w:pPr>
        <w:spacing w:after="0" w:line="25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Smith stockholders will also be asked to vote on several other proposals, including the election of three Smith directors, James Gibbs, Duane Radtke and John Yearwood; approval of Smith’s 1989 Long-Term Incentive Compensation Plan, as amended and restated; the ratification of the appointment of Deloitte &amp; Touche LLP as Smith’s independent registered public accounting firm for the fiscal year ending December 31, 2010; and approval of the adjournment of the Smith annual meeting, if necessary, to solicit additional proxies if there are not sufficient votes to adopt the merger agreement at the time of the annual meeting. The completion of the merger is not dependent on the outcome of any of these proposals.</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378" w:lineRule="auto"/>
        <w:rPr>
          <w:sz w:val="20"/>
          <w:szCs w:val="20"/>
          <w:color w:val="auto"/>
        </w:rPr>
      </w:pPr>
      <w:r>
        <w:rPr>
          <w:rFonts w:ascii="Arial" w:cs="Arial" w:eastAsia="Arial" w:hAnsi="Arial"/>
          <w:sz w:val="15"/>
          <w:szCs w:val="15"/>
          <w:b w:val="1"/>
          <w:bCs w:val="1"/>
          <w:color w:val="auto"/>
        </w:rPr>
        <w:t>The Smith board of directors, by a unanimous vote, recommends that Smith stockholders vote “FOR” the proposal to adopt the merger agreement, “FOR” each of the director nominees and “FOR” the other proposals to be submitted to the stockholders at the Smith annual meeting.</w:t>
      </w:r>
    </w:p>
    <w:p>
      <w:pPr>
        <w:spacing w:after="0" w:line="5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obligations of Smith and Schlumberger to complete the merger are subject to the satisfaction or waiver of several conditions set forth in the merger agreement. More information about Smith, Schlumberger and the merger is contained in this proxy statement/prospectus. Smith and Schlumberger encourage you to read this entire proxy statement/prospectus carefully, including the section entitled “Risk Factors” beginning on page [—].</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at Smith look forward to the successful combination of Smith and Schlumberger.</w:t>
      </w:r>
    </w:p>
    <w:p>
      <w:pPr>
        <w:spacing w:after="0" w:line="21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499745</wp:posOffset>
            </wp:positionV>
            <wp:extent cx="1646555"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Yearwood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Operating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Smith International, Inc.</w:t>
      </w:r>
    </w:p>
    <w:p>
      <w:pPr>
        <w:spacing w:after="0" w:line="172"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3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accompanying proxy statement/prospectus is dated [—], 2010 and is first being mailed to the stockholders of Smith International, Inc. on or about [—], 2010.</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1310 Rankin Road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Houston, Texas 77073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(281) 443-3370</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2010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6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Annual Meeting of Stockholders of Smith International, Inc. will be held on [—], [—], 2010, at [—] local time, at the Hotel du Pont, 11th and Market Streets, Wilmington, Delaware, to consider and take action on the following:</w:t>
      </w:r>
    </w:p>
    <w:p>
      <w:pPr>
        <w:spacing w:after="0" w:line="37" w:lineRule="exact"/>
        <w:rPr>
          <w:sz w:val="20"/>
          <w:szCs w:val="20"/>
          <w:color w:val="auto"/>
        </w:rPr>
      </w:pPr>
    </w:p>
    <w:p>
      <w:pPr>
        <w:ind w:left="900" w:right="8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a proposal to adopt the Agreement and Plan of Merger, dated as of February 21, 2010, as it may be amended from time to time, among Schlumberger Limited, Turnberry Merger Sub Inc., and Smith International, Inc., a copy of which is attached as Annex A to the proxy statement/prospectus accompanying this notice;</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three Class III directors: James R. Gibbs, Duane C. Radtke and John Yearwood, each for a term of three years ending at the 2013 Annual Meeting of Stockholders or until their successors are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the Smith International, Inc. 1989 Long-Term Incentive Compensation Plan, as amended and restated;</w:t>
      </w:r>
    </w:p>
    <w:p>
      <w:pPr>
        <w:spacing w:after="0" w:line="76"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Smith’s independent registered public accounting firm for the fiscal year ending December 31, 2010;</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the adjournment of Smith’s annual meeting, if necessary, to solicit additional proxies if there are not sufficient votes to adopt the merger agreement at the time of the annual meeting;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any other business as may properly come before Smith’s annual meeting or any adjournment or postponement thereof.</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Please refer to the proxy statement/prospectus accompanying this notice for further information with respect to the business to be transacted at Smith’s annual meeting.</w:t>
      </w:r>
    </w:p>
    <w:p>
      <w:pPr>
        <w:spacing w:after="0" w:line="99"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Smith’s board of directors unanimously recommends a vote “FOR” the proposal to adopt the Agreement and Plan of Merger, “FOR” each of the director nominees, and “FOR” each of the other proposals described in the proxy statement/prospectus accompanying this notice.</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 2010: This proxy statement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Smith 2009 Annual Report to Stockholders are available on the following website: www.proxydocs.com/sii.</w:t>
      </w:r>
    </w:p>
    <w:p>
      <w:pPr>
        <w:spacing w:after="0" w:line="13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Smith board of directors has fixed the close of business on [—], 2010 as the record date for determining stockholders who are entitled to notice of and to vote at the annual meeting. Only holders of record of Smith common stock at the close of business on the record date are entitled to receive notice of, and to vote at, the Smith annual meeting.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165735</wp:posOffset>
            </wp:positionV>
            <wp:extent cx="1440815"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81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E. Chandler, Jr.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2010</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VOTE IS IMPORTANT.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Please vote your proxy promptly so that your shares will be represented, even if you plan to attend the annual meeting. You can vote by internet, by telephone, or by using the proxy card that is enclosed. Please see your proxy card for specific instructions on how to vote. Brokers cannot vote on Proposals 1, 2 or 3 without your instructions.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proxy statement/prospectus accompanying this notice provides a detailed description of the merger, the Agreement and Plan of Merger and the other matters to be considered at the Smith annual meeting. You are urged to read the entire proxy statement/prospectus, including the annexes and other documents referred to therein.</w:t>
      </w:r>
    </w:p>
    <w:p>
      <w:pPr>
        <w:sectPr>
          <w:pgSz w:w="11900" w:h="16838" w:orient="portrait"/>
          <w:cols w:equalWidth="0" w:num="1">
            <w:col w:w="11280"/>
          </w:cols>
          <w:pgMar w:left="24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40"/>
            <w:vMerge w:val="restart"/>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QUESTIONS AND ANSWERS ABOUT THE MERGER AND THE SMITH ANNUAL MEETING</w:t>
              </w:r>
            </w:hyperlink>
          </w:p>
        </w:tc>
        <w:tc>
          <w:tcPr>
            <w:tcW w:w="4020" w:type="dxa"/>
            <w:vAlign w:val="bottom"/>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7120" w:type="dxa"/>
            <w:vAlign w:val="bottom"/>
            <w:tcBorders>
              <w:bottom w:val="single" w:sz="8" w:color="0000EE"/>
            </w:tcBorders>
            <w:gridSpan w:val="40"/>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SUMMARY</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4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The Companies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The Merger</w:t>
              </w:r>
            </w:hyperlink>
          </w:p>
        </w:tc>
        <w:tc>
          <w:tcPr>
            <w:tcW w:w="260" w:type="dxa"/>
            <w:vAlign w:val="bottom"/>
            <w:tcBorders>
              <w:top w:val="single" w:sz="8" w:color="0000EE"/>
            </w:tcBorders>
            <w:gridSpan w:val="3"/>
          </w:tcPr>
          <w:p>
            <w:pPr>
              <w:spacing w:after="0"/>
              <w:rPr>
                <w:sz w:val="17"/>
                <w:szCs w:val="17"/>
                <w:color w:val="auto"/>
              </w:rPr>
            </w:pPr>
          </w:p>
        </w:tc>
        <w:tc>
          <w:tcPr>
            <w:tcW w:w="960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Annual Meeting of Smith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Schlumberger Stockholder Approval Is Not Required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Share Ownership of Smith’s Directors and Executive Officers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Treatment of Equity Awards</w:t>
              </w:r>
            </w:hyperlink>
          </w:p>
        </w:tc>
        <w:tc>
          <w:tcPr>
            <w:tcW w:w="2340" w:type="dxa"/>
            <w:vAlign w:val="bottom"/>
            <w:tcBorders>
              <w:top w:val="single" w:sz="8" w:color="0000EE"/>
            </w:tcBorders>
            <w:gridSpan w:val="17"/>
          </w:tcPr>
          <w:p>
            <w:pPr>
              <w:spacing w:after="0"/>
              <w:rPr>
                <w:sz w:val="17"/>
                <w:szCs w:val="17"/>
                <w:color w:val="auto"/>
              </w:rPr>
            </w:pPr>
          </w:p>
        </w:tc>
        <w:tc>
          <w:tcPr>
            <w:tcW w:w="63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Opinion of Smith’s Financial Advisor</w:t>
              </w:r>
            </w:hyperlink>
          </w:p>
        </w:tc>
        <w:tc>
          <w:tcPr>
            <w:tcW w:w="804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Ownership of Schlumberger After the Merger</w:t>
              </w:r>
            </w:hyperlink>
          </w:p>
        </w:tc>
        <w:tc>
          <w:tcPr>
            <w:tcW w:w="74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6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Interests of Smith’s Directors and Officers in the Merger</w:t>
              </w:r>
            </w:hyperlink>
          </w:p>
        </w:tc>
        <w:tc>
          <w:tcPr>
            <w:tcW w:w="672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Listing of Schlumberger Stock and Delisting and Deregistration of Smith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5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 Appraisal Rights</w:t>
              </w:r>
            </w:hyperlink>
          </w:p>
        </w:tc>
        <w:tc>
          <w:tcPr>
            <w:tcW w:w="51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1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Completion of the Merger Is Subject to Certain Conditions</w:t>
              </w:r>
            </w:hyperlink>
          </w:p>
        </w:tc>
        <w:tc>
          <w:tcPr>
            <w:tcW w:w="65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Regulatory Approvals Required for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No Solicitation by Smith</w:t>
              </w:r>
            </w:hyperlink>
          </w:p>
        </w:tc>
        <w:tc>
          <w:tcPr>
            <w:tcW w:w="1540" w:type="dxa"/>
            <w:vAlign w:val="bottom"/>
            <w:tcBorders>
              <w:top w:val="single" w:sz="8" w:color="0000EE"/>
            </w:tcBorders>
            <w:gridSpan w:val="12"/>
          </w:tcPr>
          <w:p>
            <w:pPr>
              <w:spacing w:after="0"/>
              <w:rPr>
                <w:sz w:val="17"/>
                <w:szCs w:val="17"/>
                <w:color w:val="auto"/>
              </w:rPr>
            </w:pPr>
          </w:p>
        </w:tc>
        <w:tc>
          <w:tcPr>
            <w:tcW w:w="740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Termination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Termination Fees and Expenses</w:t>
              </w:r>
            </w:hyperlink>
          </w:p>
        </w:tc>
        <w:tc>
          <w:tcPr>
            <w:tcW w:w="802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Payment of Dividends and Stock Repurchases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80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Rights of Smith Stockholders Will Change as a Result of the Merger</w:t>
              </w:r>
            </w:hyperlink>
          </w:p>
        </w:tc>
        <w:tc>
          <w:tcPr>
            <w:tcW w:w="58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4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Material U.S. Federal Income Tax Consequences of the Merger</w:t>
              </w:r>
            </w:hyperlink>
          </w:p>
        </w:tc>
        <w:tc>
          <w:tcPr>
            <w:tcW w:w="62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Accounting Treatment</w:t>
              </w:r>
            </w:hyperlink>
          </w:p>
        </w:tc>
        <w:tc>
          <w:tcPr>
            <w:tcW w:w="912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Litigation Relating to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Recent Developments</w:t>
              </w:r>
            </w:hyperlink>
          </w:p>
        </w:tc>
        <w:tc>
          <w:tcPr>
            <w:tcW w:w="838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Selected Historical Consolidated Financial Data of Schlumberger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Historical Consolidated Financial Data of Smith</w:t>
              </w:r>
            </w:hyperlink>
          </w:p>
        </w:tc>
        <w:tc>
          <w:tcPr>
            <w:tcW w:w="61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320" w:type="dxa"/>
            <w:vAlign w:val="bottom"/>
            <w:tcBorders>
              <w:bottom w:val="single" w:sz="8" w:color="0000EE"/>
            </w:tcBorders>
            <w:gridSpan w:val="36"/>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Selected Unaudited Pro Forma Condensed Combined Financial Information</w:t>
              </w:r>
            </w:hyperlink>
          </w:p>
        </w:tc>
        <w:tc>
          <w:tcPr>
            <w:tcW w:w="53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Comparative Per Share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Comparative Per Share Market Price And Dividend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4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Risks Relating to the Merger</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Risks Relating to Schlumberger Following the Merger</w:t>
              </w:r>
            </w:hyperlink>
          </w:p>
        </w:tc>
        <w:tc>
          <w:tcPr>
            <w:tcW w:w="688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94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Risks Relating to Schlumberger Common Stock Following the Merger</w:t>
              </w:r>
            </w:hyperlink>
          </w:p>
        </w:tc>
        <w:tc>
          <w:tcPr>
            <w:tcW w:w="574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8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Risks Relating to Schlumberger and Smith</w:t>
              </w:r>
            </w:hyperlink>
          </w:p>
        </w:tc>
        <w:tc>
          <w:tcPr>
            <w:tcW w:w="770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6200" w:type="dxa"/>
            <w:vAlign w:val="bottom"/>
            <w:tcBorders>
              <w:bottom w:val="single" w:sz="8" w:color="0000EE"/>
            </w:tcBorders>
            <w:gridSpan w:val="39"/>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CAUTIONARY STATEMENT REGARDING FORWARD-LOOKING STATEMENTS</w:t>
              </w:r>
            </w:hyperlink>
          </w:p>
        </w:tc>
        <w:tc>
          <w:tcPr>
            <w:tcW w:w="494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THE COMPANIES</w:t>
              </w:r>
            </w:hyperlink>
          </w:p>
        </w:tc>
        <w:tc>
          <w:tcPr>
            <w:tcW w:w="9740" w:type="dxa"/>
            <w:vAlign w:val="bottom"/>
            <w:gridSpan w:val="3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THE ANNUAL MEETING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46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gridSpan w:val="10"/>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Date, Time and Place</w:t>
              </w:r>
            </w:hyperlink>
          </w:p>
        </w:tc>
        <w:tc>
          <w:tcPr>
            <w:tcW w:w="9160" w:type="dxa"/>
            <w:vAlign w:val="bottom"/>
            <w:gridSpan w:val="3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Purpose of the Smith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0" w:type="dxa"/>
            <w:vAlign w:val="bottom"/>
            <w:tcBorders>
              <w:right w:val="single" w:sz="8" w:color="0000EE"/>
            </w:tcBorders>
            <w:gridSpan w:val="7"/>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Smith Record Date; Stock Entitled to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Quorum</w:t>
              </w:r>
            </w:hyperlink>
          </w:p>
        </w:tc>
        <w:tc>
          <w:tcPr>
            <w:tcW w:w="77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Required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Treatment of Abstentions, Not Voting and Incomplete Proxies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Voting of Proxies by Holders of Record</w:t>
              </w:r>
            </w:hyperlink>
          </w:p>
        </w:tc>
        <w:tc>
          <w:tcPr>
            <w:tcW w:w="63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Shares Held in Street Name</w:t>
              </w:r>
            </w:hyperlink>
          </w:p>
        </w:tc>
        <w:tc>
          <w:tcPr>
            <w:tcW w:w="780" w:type="dxa"/>
            <w:vAlign w:val="bottom"/>
            <w:tcBorders>
              <w:top w:val="single" w:sz="8" w:color="0000EE"/>
            </w:tcBorders>
            <w:gridSpan w:val="6"/>
          </w:tcPr>
          <w:p>
            <w:pPr>
              <w:spacing w:after="0"/>
              <w:rPr>
                <w:sz w:val="17"/>
                <w:szCs w:val="17"/>
                <w:color w:val="auto"/>
              </w:rPr>
            </w:pPr>
          </w:p>
        </w:tc>
        <w:tc>
          <w:tcPr>
            <w:tcW w:w="792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620" w:type="dxa"/>
            <w:vAlign w:val="bottom"/>
            <w:gridSpan w:val="36"/>
            <w:vMerge w:val="restart"/>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Revocability of Proxies and Changes to a Smith Stockholder’s Vote</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620" w:type="dxa"/>
            <w:vAlign w:val="bottom"/>
            <w:gridSpan w:val="36"/>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Participants in Smith’s Benefit Plans</w:t>
              </w:r>
            </w:hyperlink>
          </w:p>
        </w:tc>
        <w:tc>
          <w:tcPr>
            <w:tcW w:w="2160" w:type="dxa"/>
            <w:vAlign w:val="bottom"/>
            <w:tcBorders>
              <w:top w:val="single" w:sz="8" w:color="0000EE"/>
            </w:tcBorders>
            <w:gridSpan w:val="10"/>
          </w:tcPr>
          <w:p>
            <w:pPr>
              <w:spacing w:after="0"/>
              <w:rPr>
                <w:sz w:val="17"/>
                <w:szCs w:val="17"/>
                <w:color w:val="auto"/>
              </w:rPr>
            </w:pPr>
          </w:p>
        </w:tc>
        <w:tc>
          <w:tcPr>
            <w:tcW w:w="58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Solicitation of Proxies</w:t>
              </w:r>
            </w:hyperlink>
          </w:p>
        </w:tc>
        <w:tc>
          <w:tcPr>
            <w:tcW w:w="904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PROPOSALS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34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Proposal 1: Adoption of the Merger Agreement</w:t>
              </w:r>
            </w:hyperlink>
          </w:p>
        </w:tc>
        <w:tc>
          <w:tcPr>
            <w:tcW w:w="7280" w:type="dxa"/>
            <w:vAlign w:val="bottom"/>
            <w:gridSpan w:val="13"/>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Proposal 2: Election of Directors</w:t>
              </w:r>
            </w:hyperlink>
          </w:p>
        </w:tc>
        <w:tc>
          <w:tcPr>
            <w:tcW w:w="830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Proposal 3: Approval of the 1989 Long-Term Incentive Compensation Plan, as Amended and Restated</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Proposal 4: Ratification of the Appointment of Deloitte &amp; Touche LLP as Smith’s 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Proposal 5: Approval of the Adjournment of the Smith Annual Meeting, if Necessary</w:t>
              </w:r>
            </w:hyperlink>
          </w:p>
        </w:tc>
        <w:tc>
          <w:tcPr>
            <w:tcW w:w="3240" w:type="dxa"/>
            <w:vAlign w:val="bottom"/>
            <w:tcBorders>
              <w:top w:val="single" w:sz="8" w:color="0000EE"/>
            </w:tcBorders>
            <w:gridSpan w:val="3"/>
          </w:tcPr>
          <w:p>
            <w:pPr>
              <w:spacing w:after="0"/>
              <w:rPr>
                <w:sz w:val="17"/>
                <w:szCs w:val="17"/>
                <w:color w:val="auto"/>
              </w:rPr>
            </w:pPr>
          </w:p>
        </w:tc>
        <w:tc>
          <w:tcPr>
            <w:tcW w:w="13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Other Business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THE MERGER</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3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Background of the Merger</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Smith’s Reasons for the Merger; Recommendation of the Smith Board of Directors</w:t>
              </w:r>
            </w:hyperlink>
          </w:p>
        </w:tc>
        <w:tc>
          <w:tcPr>
            <w:tcW w:w="47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Schlumberger’s Reasons for the Merger</w:t>
              </w:r>
            </w:hyperlink>
          </w:p>
        </w:tc>
        <w:tc>
          <w:tcPr>
            <w:tcW w:w="782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Opinion of Smith’s Financial Advisor</w:t>
              </w:r>
            </w:hyperlink>
          </w:p>
        </w:tc>
        <w:tc>
          <w:tcPr>
            <w:tcW w:w="796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Financial Projections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98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Interests of Smith’s Directors and Officers in the Merger</w:t>
              </w:r>
            </w:hyperlink>
          </w:p>
        </w:tc>
        <w:tc>
          <w:tcPr>
            <w:tcW w:w="664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No Appraisal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Listing of Schlumberger Stock and Delisting and Deregistration of Smith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Restrictions on Sales of Shares of Schlumberger Common Stock Received in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Accounting Treatment</w:t>
              </w:r>
            </w:hyperlink>
          </w:p>
        </w:tc>
        <w:tc>
          <w:tcPr>
            <w:tcW w:w="4640" w:type="dxa"/>
            <w:vAlign w:val="bottom"/>
            <w:tcBorders>
              <w:top w:val="single" w:sz="8" w:color="0000EE"/>
            </w:tcBorders>
            <w:gridSpan w:val="24"/>
          </w:tcPr>
          <w:p>
            <w:pPr>
              <w:spacing w:after="0"/>
              <w:rPr>
                <w:sz w:val="17"/>
                <w:szCs w:val="17"/>
                <w:color w:val="auto"/>
              </w:rPr>
            </w:pPr>
          </w:p>
        </w:tc>
        <w:tc>
          <w:tcPr>
            <w:tcW w:w="440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Material U.S. Federal Income Tax Consequences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40" w:type="dxa"/>
            <w:vAlign w:val="bottom"/>
            <w:tcBorders>
              <w:top w:val="single" w:sz="8" w:color="0000EE"/>
            </w:tcBorders>
            <w:gridSpan w:val="25"/>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Regulatory Approvals Required for the Merger</w:t>
              </w:r>
            </w:hyperlink>
          </w:p>
        </w:tc>
        <w:tc>
          <w:tcPr>
            <w:tcW w:w="71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Litigation Relating to the Merger</w:t>
              </w:r>
            </w:hyperlink>
          </w:p>
        </w:tc>
        <w:tc>
          <w:tcPr>
            <w:tcW w:w="732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74">
              <w:r>
                <w:rPr>
                  <w:rFonts w:ascii="Arial" w:cs="Arial" w:eastAsia="Arial" w:hAnsi="Arial"/>
                  <w:sz w:val="18"/>
                  <w:szCs w:val="18"/>
                  <w:color w:val="0000EE"/>
                  <w:w w:val="94"/>
                </w:rPr>
                <w:t>THE MERGER AGREEMENT</w:t>
              </w:r>
            </w:hyperlink>
          </w:p>
        </w:tc>
        <w:tc>
          <w:tcPr>
            <w:tcW w:w="8760" w:type="dxa"/>
            <w:vAlign w:val="bottom"/>
            <w:gridSpan w:val="2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36"/>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Representations, Warranties and Covenants in the Merger Agreement Are Not Intended to Function or Be Relied on as Public Disclosures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6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Structure of the Merger</w:t>
              </w:r>
            </w:hyperlink>
          </w:p>
        </w:tc>
        <w:tc>
          <w:tcPr>
            <w:tcW w:w="9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Effective Time; Closing</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top w:val="single" w:sz="8" w:color="0000EE"/>
            </w:tcBorders>
            <w:gridSpan w:val="10"/>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Merger Consideration</w:t>
              </w:r>
            </w:hyperlink>
          </w:p>
        </w:tc>
        <w:tc>
          <w:tcPr>
            <w:tcW w:w="8940" w:type="dxa"/>
            <w:vAlign w:val="bottom"/>
            <w:gridSpan w:val="2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Fractional Shares</w:t>
              </w:r>
            </w:hyperlink>
          </w:p>
        </w:tc>
        <w:tc>
          <w:tcPr>
            <w:tcW w:w="9080" w:type="dxa"/>
            <w:vAlign w:val="bottom"/>
            <w:gridSpan w:val="2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Treatment of Equity Awards</w:t>
              </w:r>
            </w:hyperlink>
          </w:p>
        </w:tc>
        <w:tc>
          <w:tcPr>
            <w:tcW w:w="862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2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Exchange of Shares; Stock Transfer Books</w:t>
              </w:r>
            </w:hyperlink>
          </w:p>
        </w:tc>
        <w:tc>
          <w:tcPr>
            <w:tcW w:w="760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Withholding Taxes</w:t>
              </w:r>
            </w:hyperlink>
          </w:p>
        </w:tc>
        <w:tc>
          <w:tcPr>
            <w:tcW w:w="928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85"/>
              </w:rPr>
            </w:pPr>
            <w:hyperlink w:anchor="page76">
              <w:r>
                <w:rPr>
                  <w:rFonts w:ascii="Arial" w:cs="Arial" w:eastAsia="Arial" w:hAnsi="Arial"/>
                  <w:sz w:val="18"/>
                  <w:szCs w:val="18"/>
                  <w:color w:val="0000EE"/>
                  <w:w w:val="85"/>
                </w:rPr>
                <w:t>Representations and Warranties</w:t>
              </w:r>
            </w:hyperlink>
          </w:p>
        </w:tc>
        <w:tc>
          <w:tcPr>
            <w:tcW w:w="840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Conduct of Business Pending the Effective Time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Certain Additional Agreements</w:t>
              </w:r>
            </w:hyperlink>
          </w:p>
        </w:tc>
        <w:tc>
          <w:tcPr>
            <w:tcW w:w="720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Conditions to the Merger</w:t>
              </w:r>
            </w:hyperlink>
          </w:p>
        </w:tc>
        <w:tc>
          <w:tcPr>
            <w:tcW w:w="842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Termination, Amendment and Waiver</w:t>
              </w:r>
            </w:hyperlink>
          </w:p>
        </w:tc>
        <w:tc>
          <w:tcPr>
            <w:tcW w:w="796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UNAUDITED PRO FORMA CONDENSED COMBINED FINANCIAL STATEMENTS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342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COMPARISON OF STOCKHOLDER RIGHTS</w:t>
              </w:r>
            </w:hyperlink>
          </w:p>
        </w:tc>
        <w:tc>
          <w:tcPr>
            <w:tcW w:w="2900" w:type="dxa"/>
            <w:vAlign w:val="bottom"/>
            <w:tcBorders>
              <w:top w:val="single" w:sz="8" w:color="0000EE"/>
            </w:tcBorders>
            <w:gridSpan w:val="10"/>
          </w:tcPr>
          <w:p>
            <w:pPr>
              <w:spacing w:after="0"/>
              <w:rPr>
                <w:sz w:val="24"/>
                <w:szCs w:val="24"/>
                <w:color w:val="auto"/>
              </w:rPr>
            </w:pPr>
          </w:p>
        </w:tc>
        <w:tc>
          <w:tcPr>
            <w:tcW w:w="4740" w:type="dxa"/>
            <w:vAlign w:val="bottom"/>
            <w:gridSpan w:val="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DESCRIPTION OF SCHLUMBERGER’S CAPITAL STOCK</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9"/>
          </w:tcPr>
          <w:p>
            <w:pPr>
              <w:ind w:left="480"/>
              <w:spacing w:after="0"/>
              <w:rPr>
                <w:sz w:val="20"/>
                <w:szCs w:val="20"/>
                <w:color w:val="auto"/>
              </w:rPr>
            </w:pPr>
            <w:r>
              <w:rPr>
                <w:rFonts w:ascii="Arial" w:cs="Arial" w:eastAsia="Arial" w:hAnsi="Arial"/>
                <w:sz w:val="18"/>
                <w:szCs w:val="18"/>
                <w:color w:val="auto"/>
              </w:rPr>
              <w:t>ii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12"/>
            <w:vMerge w:val="restart"/>
          </w:tcPr>
          <w:p>
            <w:pPr>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ELECTION OF DIRECTORS OF SMITH</w:t>
              </w:r>
            </w:hyperlink>
          </w:p>
        </w:tc>
        <w:tc>
          <w:tcPr>
            <w:tcW w:w="8040" w:type="dxa"/>
            <w:vAlign w:val="bottom"/>
            <w:gridSpan w:val="11"/>
            <w:vMerge w:val="restart"/>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3020" w:type="dxa"/>
            <w:vAlign w:val="bottom"/>
            <w:tcBorders>
              <w:bottom w:val="single" w:sz="8" w:color="0000EE"/>
            </w:tcBorders>
            <w:gridSpan w:val="12"/>
            <w:vMerge w:val="continue"/>
          </w:tcPr>
          <w:p>
            <w:pPr>
              <w:spacing w:after="0"/>
              <w:rPr>
                <w:sz w:val="14"/>
                <w:szCs w:val="14"/>
                <w:color w:val="auto"/>
              </w:rPr>
            </w:pPr>
          </w:p>
        </w:tc>
        <w:tc>
          <w:tcPr>
            <w:tcW w:w="8040" w:type="dxa"/>
            <w:vAlign w:val="bottom"/>
            <w:gridSpan w:val="11"/>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Nominees</w:t>
              </w:r>
            </w:hyperlink>
          </w:p>
        </w:tc>
        <w:tc>
          <w:tcPr>
            <w:tcW w:w="9900" w:type="dxa"/>
            <w:vAlign w:val="bottom"/>
            <w:gridSpan w:val="1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Directors Continuing in Office</w:t>
              </w:r>
            </w:hyperlink>
          </w:p>
        </w:tc>
        <w:tc>
          <w:tcPr>
            <w:tcW w:w="846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04"/>
        </w:trPr>
        <w:tc>
          <w:tcPr>
            <w:tcW w:w="658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114">
              <w:r>
                <w:rPr>
                  <w:rFonts w:ascii="Arial" w:cs="Arial" w:eastAsia="Arial" w:hAnsi="Arial"/>
                  <w:sz w:val="18"/>
                  <w:szCs w:val="18"/>
                  <w:color w:val="0000EE"/>
                  <w:w w:val="94"/>
                </w:rPr>
                <w:t>SECURITY OWNERSHIP OF CERTAIN BENEFICIAL OWNERS AND MANAGEMENT</w:t>
              </w:r>
            </w:hyperlink>
          </w:p>
        </w:tc>
        <w:tc>
          <w:tcPr>
            <w:tcW w:w="4480" w:type="dxa"/>
            <w:vAlign w:val="bottom"/>
            <w:gridSpan w:val="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CORPORATE GOVERNANCE</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COMPENSATION DISCUSSION AND ANALYSIS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COMPENSATION AND BENEFITS COMMITTEE REPORT</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04"/>
        </w:trPr>
        <w:tc>
          <w:tcPr>
            <w:tcW w:w="24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4"/>
              </w:rPr>
            </w:pPr>
            <w:hyperlink w:anchor="page130">
              <w:r>
                <w:rPr>
                  <w:rFonts w:ascii="Arial" w:cs="Arial" w:eastAsia="Arial" w:hAnsi="Arial"/>
                  <w:sz w:val="18"/>
                  <w:szCs w:val="18"/>
                  <w:color w:val="0000EE"/>
                  <w:w w:val="94"/>
                </w:rPr>
                <w:t>EXECUTIVE COMPENSATION</w:t>
              </w:r>
            </w:hyperlink>
          </w:p>
        </w:tc>
        <w:tc>
          <w:tcPr>
            <w:tcW w:w="2040" w:type="dxa"/>
            <w:vAlign w:val="bottom"/>
            <w:tcBorders>
              <w:top w:val="single" w:sz="8" w:color="0000EE"/>
            </w:tcBorders>
            <w:gridSpan w:val="7"/>
          </w:tcPr>
          <w:p>
            <w:pPr>
              <w:spacing w:after="0"/>
              <w:rPr>
                <w:sz w:val="24"/>
                <w:szCs w:val="24"/>
                <w:color w:val="auto"/>
              </w:rPr>
            </w:pPr>
          </w:p>
        </w:tc>
        <w:tc>
          <w:tcPr>
            <w:tcW w:w="6620" w:type="dxa"/>
            <w:vAlign w:val="bottom"/>
            <w:gridSpan w:val="7"/>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04"/>
        </w:trPr>
        <w:tc>
          <w:tcPr>
            <w:tcW w:w="37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41">
              <w:r>
                <w:rPr>
                  <w:rFonts w:ascii="Arial" w:cs="Arial" w:eastAsia="Arial" w:hAnsi="Arial"/>
                  <w:sz w:val="18"/>
                  <w:szCs w:val="18"/>
                  <w:color w:val="0000EE"/>
                  <w:w w:val="92"/>
                </w:rPr>
                <w:t>DIRECTOR COMPENSATION FOR FISCAL 2009</w:t>
              </w:r>
            </w:hyperlink>
          </w:p>
        </w:tc>
        <w:tc>
          <w:tcPr>
            <w:tcW w:w="7300" w:type="dxa"/>
            <w:vAlign w:val="bottom"/>
            <w:gridSpan w:val="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ADDITIONAL INFORMATION ABOUT SMITH’S DIRECTORS AND EXECUTIVE OFFICERS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04"/>
        </w:trPr>
        <w:tc>
          <w:tcPr>
            <w:tcW w:w="38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4"/>
              </w:rPr>
            </w:pPr>
            <w:hyperlink w:anchor="page143">
              <w:r>
                <w:rPr>
                  <w:rFonts w:ascii="Arial" w:cs="Arial" w:eastAsia="Arial" w:hAnsi="Arial"/>
                  <w:sz w:val="18"/>
                  <w:szCs w:val="18"/>
                  <w:color w:val="0000EE"/>
                  <w:w w:val="94"/>
                </w:rPr>
                <w:t>EQUITY COMPENSATION PLAN INFORMATION</w:t>
              </w:r>
            </w:hyperlink>
          </w:p>
        </w:tc>
        <w:tc>
          <w:tcPr>
            <w:tcW w:w="3260" w:type="dxa"/>
            <w:vAlign w:val="bottom"/>
            <w:tcBorders>
              <w:top w:val="single" w:sz="8" w:color="0000EE"/>
            </w:tcBorders>
            <w:gridSpan w:val="4"/>
          </w:tcPr>
          <w:p>
            <w:pPr>
              <w:spacing w:after="0"/>
              <w:rPr>
                <w:sz w:val="24"/>
                <w:szCs w:val="24"/>
                <w:color w:val="auto"/>
              </w:rPr>
            </w:pPr>
          </w:p>
        </w:tc>
        <w:tc>
          <w:tcPr>
            <w:tcW w:w="3980" w:type="dxa"/>
            <w:vAlign w:val="bottom"/>
            <w:gridSpan w:val="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04"/>
        </w:trPr>
        <w:tc>
          <w:tcPr>
            <w:tcW w:w="23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44">
              <w:r>
                <w:rPr>
                  <w:rFonts w:ascii="Arial" w:cs="Arial" w:eastAsia="Arial" w:hAnsi="Arial"/>
                  <w:sz w:val="18"/>
                  <w:szCs w:val="18"/>
                  <w:color w:val="0000EE"/>
                  <w:w w:val="94"/>
                </w:rPr>
                <w:t>AUDIT COMMITTEE REPORT</w:t>
              </w:r>
            </w:hyperlink>
          </w:p>
        </w:tc>
        <w:tc>
          <w:tcPr>
            <w:tcW w:w="8700" w:type="dxa"/>
            <w:vAlign w:val="bottom"/>
            <w:gridSpan w:val="1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APPROVAL OF 1989 LONG-TERM INCENTIVE COMPENSATION PLAN, AS AMENDED AND RESTATED</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w w:val="98"/>
              </w:rPr>
            </w:pPr>
            <w:hyperlink w:anchor="page149">
              <w:r>
                <w:rPr>
                  <w:rFonts w:ascii="Arial" w:cs="Arial" w:eastAsia="Arial" w:hAnsi="Arial"/>
                  <w:sz w:val="18"/>
                  <w:szCs w:val="18"/>
                  <w:color w:val="0000EE"/>
                  <w:w w:val="98"/>
                </w:rPr>
                <w:t>RATIFICATION OF THE APPOINTMENT OF DELOITTE &amp; TOUCHE LLP AS INDEPENDENT REGISTERED PUBLIC ACCOUNTING FIRM</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92"/>
              </w:rPr>
            </w:pPr>
            <w:hyperlink w:anchor="page149">
              <w:r>
                <w:rPr>
                  <w:rFonts w:ascii="Arial" w:cs="Arial" w:eastAsia="Arial" w:hAnsi="Arial"/>
                  <w:sz w:val="18"/>
                  <w:szCs w:val="18"/>
                  <w:color w:val="0000EE"/>
                  <w:w w:val="92"/>
                </w:rPr>
                <w:t>FOR SMITH</w:t>
              </w:r>
            </w:hyperlink>
          </w:p>
        </w:tc>
        <w:tc>
          <w:tcPr>
            <w:tcW w:w="9460" w:type="dxa"/>
            <w:vAlign w:val="bottom"/>
            <w:tcBorders>
              <w:top w:val="single" w:sz="8" w:color="0000EE"/>
            </w:tcBorders>
            <w:gridSpan w:val="18"/>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304"/>
        </w:trPr>
        <w:tc>
          <w:tcPr>
            <w:tcW w:w="472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50">
              <w:r>
                <w:rPr>
                  <w:rFonts w:ascii="Arial" w:cs="Arial" w:eastAsia="Arial" w:hAnsi="Arial"/>
                  <w:sz w:val="18"/>
                  <w:szCs w:val="18"/>
                  <w:color w:val="0000EE"/>
                  <w:w w:val="96"/>
                </w:rPr>
                <w:t>SMITH ANNUAL REPORT AND FINANCIAL INFORMATION</w:t>
              </w:r>
            </w:hyperlink>
          </w:p>
        </w:tc>
        <w:tc>
          <w:tcPr>
            <w:tcW w:w="6340" w:type="dxa"/>
            <w:vAlign w:val="bottom"/>
            <w:gridSpan w:val="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04"/>
        </w:trPr>
        <w:tc>
          <w:tcPr>
            <w:tcW w:w="23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51">
              <w:r>
                <w:rPr>
                  <w:rFonts w:ascii="Arial" w:cs="Arial" w:eastAsia="Arial" w:hAnsi="Arial"/>
                  <w:sz w:val="18"/>
                  <w:szCs w:val="18"/>
                  <w:color w:val="0000EE"/>
                  <w:w w:val="91"/>
                </w:rPr>
                <w:t>STOCKHOLDER PROPOSALS</w:t>
              </w:r>
            </w:hyperlink>
          </w:p>
        </w:tc>
        <w:tc>
          <w:tcPr>
            <w:tcW w:w="8720" w:type="dxa"/>
            <w:vAlign w:val="bottom"/>
            <w:gridSpan w:val="1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51">
              <w:r>
                <w:rPr>
                  <w:rFonts w:ascii="Arial" w:cs="Arial" w:eastAsia="Arial" w:hAnsi="Arial"/>
                  <w:sz w:val="18"/>
                  <w:szCs w:val="18"/>
                  <w:color w:val="0000EE"/>
                  <w:w w:val="88"/>
                </w:rPr>
                <w:t>EXPERTS</w:t>
              </w:r>
            </w:hyperlink>
          </w:p>
        </w:tc>
        <w:tc>
          <w:tcPr>
            <w:tcW w:w="10300" w:type="dxa"/>
            <w:vAlign w:val="bottom"/>
            <w:gridSpan w:val="20"/>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LEGAL MATTERS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420" w:type="dxa"/>
            <w:vAlign w:val="bottom"/>
            <w:gridSpan w:val="5"/>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343"/>
        </w:trPr>
        <w:tc>
          <w:tcPr>
            <w:tcW w:w="37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LIST OF ANNEXES</w:t>
            </w:r>
          </w:p>
        </w:tc>
        <w:tc>
          <w:tcPr>
            <w:tcW w:w="730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60" w:type="dxa"/>
            <w:vAlign w:val="bottom"/>
            <w:gridSpan w:val="23"/>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Annex A—Agreement and Plan of Merger</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3000" w:type="dxa"/>
            <w:vAlign w:val="bottom"/>
            <w:gridSpan w:val="11"/>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16">
              <w:r>
                <w:rPr>
                  <w:rFonts w:ascii="Arial" w:cs="Arial" w:eastAsia="Arial" w:hAnsi="Arial"/>
                  <w:sz w:val="18"/>
                  <w:szCs w:val="18"/>
                  <w:color w:val="0000EE"/>
                  <w:w w:val="92"/>
                </w:rPr>
                <w:t>Annex B—Opinion of UBS Securities LLC</w:t>
              </w:r>
            </w:hyperlink>
          </w:p>
        </w:tc>
        <w:tc>
          <w:tcPr>
            <w:tcW w:w="79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23">
              <w:r>
                <w:rPr>
                  <w:rFonts w:ascii="Arial" w:cs="Arial" w:eastAsia="Arial" w:hAnsi="Arial"/>
                  <w:sz w:val="18"/>
                  <w:szCs w:val="18"/>
                  <w:color w:val="0000EE"/>
                  <w:w w:val="88"/>
                </w:rPr>
                <w:t>Annex C—Smith International, Inc. 1989 Long-Term Incentive Compensation Plan, as amended and restated</w:t>
              </w:r>
            </w:hyperlink>
          </w:p>
        </w:tc>
        <w:tc>
          <w:tcPr>
            <w:tcW w:w="3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MERGER AND THE SMITH ANNUAL MEETING</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The following are some questions that you, as a stockholder of Smith, may have regarding the merger and the annual meeting, and brief answers to those questions. You are urged to read carefully this proxy statement/prospectus and the other documents referred to in this proxy statement/prospectus in their entirety because this section may not provide all of the information that is important to you with respect to the merger and the annual meeting. Additional important information is contained in the annexes to, and the documents incorporated by reference into, this proxy statement/prospectus.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Questions About the Merger</w:t>
      </w:r>
    </w:p>
    <w:p>
      <w:pPr>
        <w:spacing w:after="0" w:line="8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document?</w:t>
      </w:r>
    </w:p>
    <w:p>
      <w:pPr>
        <w:spacing w:after="0" w:line="96" w:lineRule="exact"/>
        <w:rPr>
          <w:sz w:val="20"/>
          <w:szCs w:val="20"/>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and Smith have agreed to combine under the terms of a merger agreement that is described in this proxy statement/prospectus. A copy of the merger agreement is attached as Annex A. In order to complete the merger, Smith stockholders must vote to adopt the merger agreement. Smith will submit this proposal to its stockholders at its annual meeting.</w:t>
      </w:r>
    </w:p>
    <w:p>
      <w:pPr>
        <w:spacing w:after="0" w:line="59"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At the annual meeting, Smith stockholders will be asked to vote on several other proposals, including the election of James Gibbs, Duane Radtke and John Yearwood as directors of Smith; approval of Smith’s 1989 Long-Term Incentive Compensation Plan, as amended and restated; the ratification of the appointment of Deloitte &amp; Touche LLP as Smith’s independent registered public accounting firm for the fiscal year ending December 31, 2010; and the adjournment of the Smith annual meeting, if necessary, to solicit additional proxies if there are not sufficient votes to adopt the merger agreement.</w:t>
      </w:r>
    </w:p>
    <w:p>
      <w:pPr>
        <w:spacing w:after="0" w:line="32"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This document contains important information about the merger and the meeting of the stockholders of Smith, and you should read it carefully. The enclosed voting materials allow you to vote your shares without attending the annual meeting.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We encourage you to vote as soon as possible.</w:t>
      </w:r>
    </w:p>
    <w:p>
      <w:pPr>
        <w:spacing w:after="0" w:line="8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merger?</w:t>
      </w:r>
    </w:p>
    <w:p>
      <w:pPr>
        <w:spacing w:after="0" w:line="96" w:lineRule="exact"/>
        <w:rPr>
          <w:sz w:val="20"/>
          <w:szCs w:val="20"/>
          <w:color w:val="auto"/>
        </w:rPr>
      </w:pPr>
    </w:p>
    <w:p>
      <w:pPr>
        <w:ind w:left="460" w:right="38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Schlumberger and Smith have agreed to a merger, pursuant to which Turnberry Merger Sub Inc., a wholly owned subsidiary of Schlumberger that was formed for the purpose of the merger, will be merged with and into Smith. Smith will be the surviving corporation in the merger and will be a wholly owned subsidiary of Schlumberger following completion of the merger.</w:t>
      </w:r>
    </w:p>
    <w:p>
      <w:pPr>
        <w:spacing w:after="0" w:line="59" w:lineRule="exact"/>
        <w:rPr>
          <w:sz w:val="20"/>
          <w:szCs w:val="20"/>
          <w:color w:val="auto"/>
        </w:rPr>
      </w:pPr>
    </w:p>
    <w:p>
      <w:pPr>
        <w:ind w:left="460"/>
        <w:spacing w:after="0" w:line="330" w:lineRule="auto"/>
        <w:rPr>
          <w:sz w:val="20"/>
          <w:szCs w:val="20"/>
          <w:color w:val="auto"/>
        </w:rPr>
      </w:pPr>
      <w:r>
        <w:rPr>
          <w:rFonts w:ascii="Arial" w:cs="Arial" w:eastAsia="Arial" w:hAnsi="Arial"/>
          <w:sz w:val="16"/>
          <w:szCs w:val="16"/>
          <w:color w:val="auto"/>
        </w:rPr>
        <w:t>In the merger, Schlumberger will issue shares of Schlumberger common stock as the consideration to be paid to holders of Smith common stock. Following the merger, Smith will cease to be a publicly held corporation and will be a wholly owned subsidiary of Schlumberger.</w:t>
      </w:r>
    </w:p>
    <w:p>
      <w:pPr>
        <w:spacing w:after="0" w:line="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adopt the merger agreement?</w:t>
      </w:r>
    </w:p>
    <w:p>
      <w:pPr>
        <w:spacing w:after="0" w:line="96" w:lineRule="exact"/>
        <w:rPr>
          <w:sz w:val="20"/>
          <w:szCs w:val="20"/>
          <w:color w:val="auto"/>
        </w:rPr>
      </w:pPr>
    </w:p>
    <w:p>
      <w:pPr>
        <w:ind w:left="460" w:right="2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order to complete the merger, Smith stockholders must vote to adopt the merger agreement. This document is being delivered to you as both a proxy statement of Smith and a prospectus of Schlumberger in connection with the merger. It is the proxy statement by which the Smith board of directors is soliciting proxies from you to vote on certain matters, including the adoption of the merger agreement, at the annual meeting or at any adjournment or postponement of the annual meeting. It is also the prospectus by which Schlumberger is offering the Schlumberger common stock to be issued to you in the merger.</w:t>
      </w:r>
    </w:p>
    <w:p>
      <w:pPr>
        <w:spacing w:after="0" w:line="5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96" w:lineRule="exact"/>
        <w:rPr>
          <w:sz w:val="20"/>
          <w:szCs w:val="20"/>
          <w:color w:val="auto"/>
        </w:rPr>
      </w:pPr>
    </w:p>
    <w:p>
      <w:pPr>
        <w:ind w:left="460" w:right="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merger is completed, each of your shares of Smith common stock will be cancelled and converted automatically into the right to receive 0.6966 shares of Schlumberger common stock. You will receive cash for any fractional shares of Schlumberger common stock that you would otherwise receive in the merger.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90" w:lineRule="auto"/>
        <w:rPr>
          <w:sz w:val="20"/>
          <w:szCs w:val="20"/>
          <w:color w:val="auto"/>
        </w:rPr>
      </w:pPr>
      <w:r>
        <w:rPr>
          <w:rFonts w:ascii="Arial" w:cs="Arial" w:eastAsia="Arial" w:hAnsi="Arial"/>
          <w:sz w:val="16"/>
          <w:szCs w:val="16"/>
          <w:color w:val="auto"/>
        </w:rPr>
        <w:t>Based on the closing price of Schlumberger common stock on the NYSE on February 18, 2010, the last trading day before various news outlets began reporting on a possible transaction involving Smith and Schlumberger, the merger consideration represented approximately $45.84 in value for each share of Smith common stock. Based on the closing price of Schlumberger common stock on the NYSE on [—], 2010, the most recent practicable trading day prior to the date of this proxy statement/prospectus, the merger consideration represented approximately $[—] in value for each share of Smith common stock. The market price of Schlumberger common stock will fluctuate prior to the merger, and the market price of Schlumberger common stock when received by Smith stockholders after the merger is completed could be greater or less than the current market price of Schlumberger common stock. See “Risk Factors” beginning on page [—] of this proxy statement/prospectus.</w:t>
      </w:r>
    </w:p>
    <w:p>
      <w:pPr>
        <w:spacing w:after="0" w:line="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96" w:lineRule="exact"/>
        <w:rPr>
          <w:sz w:val="20"/>
          <w:szCs w:val="20"/>
          <w:color w:val="auto"/>
        </w:rPr>
      </w:pPr>
    </w:p>
    <w:p>
      <w:pPr>
        <w:ind w:left="460" w:right="80" w:hanging="452"/>
        <w:spacing w:after="0" w:line="29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merger agreement is not adopted by Smith stockholders or if the merger is not completed for any other reason, you will not receive any payment for your shares of Smith common stock in connection with the merger. Instead, Smith will remain an independent public company and Smith common stock will continue to be listed and traded on the NYSE. If the merger agreement is terminated under specified circumstances, Smith may be required to pay Schlumberger a termination fee of $340 million, or Schlumberger may be required to pay Smith a termination fee of $615 million, as described under “The Merger Agreement—Termination, Amendment and Waiver—Fees and Expenses” beginning on page [—] of this proxy statement/prospectus.</w:t>
      </w:r>
    </w:p>
    <w:p>
      <w:pPr>
        <w:spacing w:after="0" w:line="2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Will I continue to receive future dividends?</w:t>
      </w:r>
    </w:p>
    <w:p>
      <w:pPr>
        <w:spacing w:after="0" w:line="96" w:lineRule="exact"/>
        <w:rPr>
          <w:sz w:val="20"/>
          <w:szCs w:val="20"/>
          <w:color w:val="auto"/>
        </w:rPr>
      </w:pPr>
    </w:p>
    <w:p>
      <w:pPr>
        <w:ind w:left="460" w:right="40" w:hanging="452"/>
        <w:spacing w:after="0" w:line="290"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Before completion of the merger, Smith expects to continue to pay its regular quarterly cash dividends on shares of its common stock, which currently are $0.12 per share of Smith common stock. However, Smith and Schlumberger will coordinate the timing of dividend declarations leading up to the merger so that a holder will neither receive two dividends, nor fail to receive one dividend, for any quarter. Receipt of the regular quarterly dividend will not reduce the merger consideration you receive. After completion of the merger, you will be entitled only to dividends on any shares of Schlumberger common stock you receive in the merger. Although Schlumberger provides no assurances as to the level or payment of any future dividends on shares of its common stock, and Schlumberger’s board of directors has the power to modify its dividend policy at any time, Schlumberger currently pays dividends at a quarterly rate of $0.21 per share of Schlumberger common stock.</w:t>
      </w:r>
    </w:p>
    <w:p>
      <w:pPr>
        <w:spacing w:after="0" w:line="3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Does the Smith board of directors recommend that stockholders adopt the merger agreement?</w:t>
      </w:r>
    </w:p>
    <w:p>
      <w:pPr>
        <w:spacing w:after="0" w:line="9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Yes, the Smith board of directors unanimously recommends a vote “FOR” the adoption of the merger agreement.</w:t>
      </w:r>
    </w:p>
    <w:p>
      <w:pPr>
        <w:spacing w:after="0" w:line="8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after the record date but before the annual meeting?</w:t>
      </w:r>
    </w:p>
    <w:p>
      <w:pPr>
        <w:spacing w:after="0" w:line="96" w:lineRule="exact"/>
        <w:rPr>
          <w:sz w:val="20"/>
          <w:szCs w:val="20"/>
          <w:color w:val="auto"/>
        </w:rPr>
      </w:pPr>
    </w:p>
    <w:p>
      <w:pPr>
        <w:ind w:left="460" w:hanging="452"/>
        <w:spacing w:after="0" w:line="29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record date for the annual meeting is earlier than the date of the annual meeting and the date that the merger is expected to be completed. If you sell or otherwise transfer your shares of Smith common stock after the record date but before the date of the annual meeting, you will retain your right to vote at the annual meeting. However, you will not have the right to receive the merger consideration to be received by Smith stockholders in the merger. In order to receive the merger consideration, you must hold your shares through completion of the merger.</w:t>
      </w:r>
    </w:p>
    <w:p>
      <w:pPr>
        <w:spacing w:after="0" w:line="2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 if I vote against the adoption of the merger agreement?</w:t>
      </w:r>
    </w:p>
    <w:p>
      <w:pPr>
        <w:spacing w:after="0" w:line="96" w:lineRule="exact"/>
        <w:rPr>
          <w:sz w:val="20"/>
          <w:szCs w:val="20"/>
          <w:color w:val="auto"/>
        </w:rPr>
      </w:pPr>
    </w:p>
    <w:p>
      <w:pPr>
        <w:ind w:left="460" w:right="8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Appraisal rights confer on stockholders who vote against the merger the right to demand that the corporation pay the fair value for their shares as determined by a court in a judicial proceeding instead of receiving the consideration offered to stockholders in connection with the merger. Because Smith common stock was listed on the NYSE on the record date and will, upon the completion of the merger, be converted into the right to receive Schlumberger common stock, which will also be listed on the NYSE, Smith stockholders will not have appraisal rights in connection with the merger.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 completion of the merger subject to any conditions?</w:t>
      </w:r>
    </w:p>
    <w:p>
      <w:pPr>
        <w:spacing w:after="0" w:line="96" w:lineRule="exact"/>
        <w:rPr>
          <w:sz w:val="20"/>
          <w:szCs w:val="20"/>
          <w:color w:val="auto"/>
        </w:rPr>
      </w:pPr>
    </w:p>
    <w:p>
      <w:pPr>
        <w:ind w:left="460" w:right="38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 In addition to the adoption of the merger agreement by Smith stockholders, completion of the merger requires the receipt of the necessary governmental and regulatory approvals and the satisfaction or, to the extent permitted by applicable law, waiver of the other conditions specified in the merger agreement.</w:t>
      </w:r>
    </w:p>
    <w:p>
      <w:pPr>
        <w:spacing w:after="0" w:line="5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96" w:lineRule="exact"/>
        <w:rPr>
          <w:sz w:val="20"/>
          <w:szCs w:val="20"/>
          <w:color w:val="auto"/>
        </w:rPr>
      </w:pPr>
    </w:p>
    <w:p>
      <w:pPr>
        <w:jc w:val="both"/>
        <w:ind w:left="460" w:right="38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Smith and Schlumberger are working toward completing the merger promptly. Smith and Schlumberger currently expect to complete the merger in the second half of 2010, subject to receipt of Smith’s stockholder approval, governmental and regulatory approvals and other usual and customary closing conditions. However, no assurance can be given as to when, or if, the merger will occur.</w:t>
      </w:r>
    </w:p>
    <w:p>
      <w:pPr>
        <w:spacing w:after="0" w:line="5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96" w:lineRule="exact"/>
        <w:rPr>
          <w:sz w:val="20"/>
          <w:szCs w:val="20"/>
          <w:color w:val="auto"/>
        </w:rPr>
      </w:pPr>
    </w:p>
    <w:p>
      <w:pPr>
        <w:ind w:left="460" w:right="20" w:hanging="452"/>
        <w:spacing w:after="0" w:line="25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Smith stockholders should not send in their stock certificates at this time. At the effective time of the merger, your shares of Smith common stock will be converted automatically into the right to receive the merger consideration. After completion of the merger, Schlumberger’s exchange agent will send you a letter of transmittal and instructions for exchanging your shares of Smith common stock for the merger consideration. Upon surrender of the certificates or book-entry shares for cancellation along with the executed letter of transmittal and other documents, a Smith stockholder will receive the merger consideration and any unpaid dividends and distributions declared and paid in respect of Schlumberger common stock after completion of the merger. Unless you specifically request to receive Schlumberger stock certificates, the shares of Schlumberger stock you receive in the merger will be issued in book-entry form.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 About Voting</w:t>
      </w:r>
    </w:p>
    <w:p>
      <w:pPr>
        <w:spacing w:after="0" w:line="8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annual meeting be held?</w:t>
      </w:r>
    </w:p>
    <w:p>
      <w:pPr>
        <w:spacing w:after="0" w:line="96" w:lineRule="exact"/>
        <w:rPr>
          <w:sz w:val="20"/>
          <w:szCs w:val="20"/>
          <w:color w:val="auto"/>
        </w:rPr>
      </w:pPr>
    </w:p>
    <w:p>
      <w:pPr>
        <w:ind w:left="460" w:right="2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Smith annual meeting of stockholders will be held at the Hotel du Pont, 11th and Market Streets, Wilmington, Delaware, on [—], [—], 2010, at [—], local time.</w:t>
      </w:r>
    </w:p>
    <w:p>
      <w:pPr>
        <w:spacing w:after="0" w:line="4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w:t>
      </w:r>
    </w:p>
    <w:p>
      <w:pPr>
        <w:spacing w:after="0" w:line="9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You are entitled to vote your shares of Smith common stock if you are a stockholder of record on [—], 2010, the record date for the annual meeting.</w:t>
      </w:r>
    </w:p>
    <w:p>
      <w:pPr>
        <w:spacing w:after="0" w:line="10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jc w:val="both"/>
        <w:ind w:left="460" w:right="40" w:hanging="452"/>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are entitled to one vote for each share of Smith common stock that you owned as of the record date. Each share of Smith common stock has one vote. The enclosed proxy card shows the number of shares that you are entitled to vote. As of the close of business on [—], 2010, there were approximately [—] outstanding shares of Smith common stock. As of that date, approximately [—]% of the outstanding shares of common stock of Smith entitled to vote were owned by its directors and executive officers and their affiliates.</w:t>
      </w:r>
    </w:p>
    <w:p>
      <w:pPr>
        <w:spacing w:after="0" w:line="5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left="46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Stockholders of record of Smith as of the record date for the Smith annual meeting may vote in person by attending the stockholder meeting, or by telephone, internet or mail. If you are voting by mail, please sign, date and mail the enclosed proxy card. If you are voting by telephone or internet, please follow the instructions on the enclosed proxy card. Whether or not you plan to attend the meeting, we encourage you to vote by proxy as soon as possible. If you hold your shares in more than one type of account or your shares are registered differently, you may receive more than one proxy card. We encourage you to vote each proxy card that you receive.</w:t>
      </w:r>
    </w:p>
    <w:p>
      <w:pPr>
        <w:spacing w:after="0" w:line="61" w:lineRule="exact"/>
        <w:rPr>
          <w:rFonts w:ascii="Arial" w:cs="Arial" w:eastAsia="Arial" w:hAnsi="Arial"/>
          <w:sz w:val="18"/>
          <w:szCs w:val="18"/>
          <w:color w:val="auto"/>
        </w:rPr>
      </w:pPr>
    </w:p>
    <w:p>
      <w:pPr>
        <w:ind w:left="460" w:right="200"/>
        <w:spacing w:after="0" w:line="306" w:lineRule="auto"/>
        <w:rPr>
          <w:rFonts w:ascii="Arial" w:cs="Arial" w:eastAsia="Arial" w:hAnsi="Arial"/>
          <w:sz w:val="18"/>
          <w:szCs w:val="18"/>
          <w:color w:val="auto"/>
        </w:rPr>
      </w:pPr>
      <w:r>
        <w:rPr>
          <w:rFonts w:ascii="Arial" w:cs="Arial" w:eastAsia="Arial" w:hAnsi="Arial"/>
          <w:sz w:val="16"/>
          <w:szCs w:val="16"/>
          <w:color w:val="auto"/>
        </w:rPr>
        <w:t>If you choose to attend the meeting in person, you will be asked to present valid picture identification and, if you hold your shares through a broker, you will be asked to present a copy of your brokerage statement showing your stock ownership as of [—], 2010, and, in order to vote at the annual meeting, a “legal proxy” from your broker. For directions to the meeting, contact the Hotel du Pont, Wilmington, Delaware at (302) 594-3100.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w:t>
      </w:r>
    </w:p>
    <w:p>
      <w:pPr>
        <w:spacing w:after="0" w:line="96" w:lineRule="exact"/>
        <w:rPr>
          <w:sz w:val="20"/>
          <w:szCs w:val="20"/>
          <w:color w:val="auto"/>
        </w:rPr>
      </w:pPr>
    </w:p>
    <w:p>
      <w:pPr>
        <w:ind w:left="460" w:right="30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you vote by proxy, the individuals named on the proxy card (your proxies) will vote your shares in the manner you indicate. You may specify on your proxy card whether your shares should be voted for all of the nominees for director or your vote should be withheld with respect to one or more of the nominees. You may also specify whether you approve, disapprove or abstain from the other proposals.</w:t>
      </w:r>
    </w:p>
    <w:p>
      <w:pPr>
        <w:spacing w:after="0" w:line="26"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If you sign and return your proxy card without indicating your voting instructions, your shares will be voted FOR the adoption of the merger agreement, FOR the election of all nominees for director, FOR the approval of the Smith long-term incentive compensation plan, FOR the ratification of the appointment of Deloitte &amp; Touche as Smith’s independent registered accounting firm and, if necessary, FOR the adjournment of the Smith annual meeting.</w:t>
      </w:r>
    </w:p>
    <w:p>
      <w:pPr>
        <w:spacing w:after="0" w:line="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if my shares are held by a broker?</w:t>
      </w:r>
    </w:p>
    <w:p>
      <w:pPr>
        <w:spacing w:after="0" w:line="96" w:lineRule="exact"/>
        <w:rPr>
          <w:sz w:val="20"/>
          <w:szCs w:val="20"/>
          <w:color w:val="auto"/>
        </w:rPr>
      </w:pPr>
    </w:p>
    <w:p>
      <w:pPr>
        <w:ind w:left="460" w:right="16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you hold your shares in a stock brokerage account or if your shares are held by a bank or nominee (that is, in street name), you must provide the record holder of your shares with instructions on how to vote your shares. Please follow the voting instructions provided by your bank or broker. Please note that you may not vote shares held in street name by returning a proxy card directly to Smith or by voting in person at the Smith annual meeting unless you provide a “legal proxy,” which you must obtain from your bank or broker.</w:t>
      </w:r>
    </w:p>
    <w:p>
      <w:pPr>
        <w:spacing w:after="0" w:line="62"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If you do not instruct your broker on how to vote your shares, your broker may not give a proxy on or vote your shares on the proposals to adopt the merger agreement (which will have the same effect as a vote against adoption of the merger agreement), elect directors (which will have no effect on the election results, assuming a quorum is present) or to approve the incentive plan proposal (which will have the same effect as a vote against the approval of the incentive plan) without specific instructions from their customers, but may give a proxy on or vote your shares with respect to the other proposals to be considered at the annual meeting. We refer to matters where a proxy has been given but the broker may not vote the shares due to the lack of specific instructions as “broker non-votes.”</w:t>
      </w:r>
    </w:p>
    <w:p>
      <w:pPr>
        <w:spacing w:after="0" w:line="5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May I revoke or change my vote?</w:t>
      </w:r>
    </w:p>
    <w:p>
      <w:pPr>
        <w:spacing w:after="0" w:line="96" w:lineRule="exact"/>
        <w:rPr>
          <w:sz w:val="20"/>
          <w:szCs w:val="20"/>
          <w:color w:val="auto"/>
        </w:rPr>
      </w:pPr>
    </w:p>
    <w:p>
      <w:pPr>
        <w:jc w:val="both"/>
        <w:ind w:left="460" w:right="180" w:hanging="452"/>
        <w:spacing w:after="0" w:line="30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Yes. You may revoke or change your proxy at any time before it is exercised by submitting written notice of revocation to Smith’s Corporate Secretary so that he receives it before the Smith annual meeting (which, if you hold your shares in street name, you must do in accordance with instructions from your bank or broker); voting again by telephone, internet or mail; or voting in person at the Smith annual meeting.</w:t>
      </w:r>
    </w:p>
    <w:p>
      <w:pPr>
        <w:spacing w:after="0" w:line="26" w:lineRule="exact"/>
        <w:rPr>
          <w:sz w:val="20"/>
          <w:szCs w:val="20"/>
          <w:color w:val="auto"/>
        </w:rPr>
      </w:pPr>
    </w:p>
    <w:p>
      <w:pPr>
        <w:ind w:left="460" w:right="60"/>
        <w:spacing w:after="0" w:line="330" w:lineRule="auto"/>
        <w:rPr>
          <w:sz w:val="20"/>
          <w:szCs w:val="20"/>
          <w:color w:val="auto"/>
        </w:rPr>
      </w:pPr>
      <w:r>
        <w:rPr>
          <w:rFonts w:ascii="Arial" w:cs="Arial" w:eastAsia="Arial" w:hAnsi="Arial"/>
          <w:sz w:val="16"/>
          <w:szCs w:val="16"/>
          <w:color w:val="auto"/>
        </w:rPr>
        <w:t>Attendance at the Smith annual meeting will not by itself revoke a previously granted proxy. If you hold your shares in street name and you wish to change your vote at the Smith annual meeting, you will need to obtain a proxy from the broker or nominee that holds your shares.</w:t>
      </w:r>
    </w:p>
    <w:p>
      <w:pPr>
        <w:spacing w:after="0" w:line="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left="460" w:right="180" w:hanging="452"/>
        <w:spacing w:after="0" w:line="298"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holders of a majority of the outstanding shares of Smith common stock entitled to vote at the meeting constitutes a quorum for the transaction of business at the annual meeting. If you have returned valid proxy instructions or attend the meeting in person and are entitled to vote your shares at the meeting, your Smith common stock will be counted for the purpose of determining whether there is a quorum, even if you wish to abstain from voting on some or all matters introduced at the meeting. Broker non-votes also count for quorum purposes.</w:t>
      </w:r>
    </w:p>
    <w:p>
      <w:pPr>
        <w:spacing w:after="0" w:line="2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are required to approve each proposal?</w:t>
      </w:r>
    </w:p>
    <w:p>
      <w:pPr>
        <w:spacing w:after="0" w:line="9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votes are required to approve each proposal:</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Adoption of the merger agreement requires the affirmative vote of a majority of the aggregate voting power of all of the shares of Smith common stock that are outstanding as of the record date and entitled to vote at the Smith annual meeting.</w:t>
      </w:r>
    </w:p>
    <w:p>
      <w:pPr>
        <w:spacing w:after="0" w:line="50" w:lineRule="exact"/>
        <w:rPr>
          <w:rFonts w:ascii="Arial" w:cs="Arial" w:eastAsia="Arial" w:hAnsi="Arial"/>
          <w:sz w:val="18"/>
          <w:szCs w:val="18"/>
          <w:color w:val="auto"/>
        </w:rPr>
      </w:pPr>
    </w:p>
    <w:p>
      <w:pPr>
        <w:ind w:left="660" w:right="180" w:hanging="206"/>
        <w:spacing w:after="0" w:line="332"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Election of each director requires the affirmative vote of a majority of the total votes cast either for or against the election of such director at the Smith annual meeting. If a nominee is not elected, he must promptly tender his resignation to the Smith board of directors, which will determine, based on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
        <w:spacing w:after="0" w:line="259" w:lineRule="auto"/>
        <w:rPr>
          <w:sz w:val="20"/>
          <w:szCs w:val="20"/>
          <w:color w:val="auto"/>
        </w:rPr>
      </w:pPr>
      <w:r>
        <w:rPr>
          <w:rFonts w:ascii="Arial" w:cs="Arial" w:eastAsia="Arial" w:hAnsi="Arial"/>
          <w:sz w:val="18"/>
          <w:szCs w:val="18"/>
          <w:color w:val="auto"/>
        </w:rPr>
        <w:t>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73" w:lineRule="exact"/>
        <w:rPr>
          <w:sz w:val="20"/>
          <w:szCs w:val="20"/>
          <w:color w:val="auto"/>
        </w:rPr>
      </w:pPr>
    </w:p>
    <w:p>
      <w:pPr>
        <w:jc w:val="both"/>
        <w:ind w:left="660" w:right="160" w:hanging="206"/>
        <w:spacing w:after="0" w:line="256"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approval of the 1989 Long-Term Incentive Compensation Plan requires the affirmative vote of a majority of the shares represented at the meeting and entitled to vote on such proposal, provided that the total vote cast on the proposal constitutes at least a majority of the outstanding shares of Smith common stock. Shares represented at the meeting and entitled to vote on such proposal include all shares that are voted in person at the meeting or that are represented by valid proxies.</w:t>
      </w:r>
    </w:p>
    <w:p>
      <w:pPr>
        <w:spacing w:after="0" w:line="62"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of the ratification of the appointment of Deloitte &amp; Touche LLP as Smith’s independent registered public accounting firm for the 2010 fiscal year, and the approval of the adjournment of the Smith annual meeting requires the affirmative vote of a majority of the shares represented at the meeting and entitled to vote on such proposal. Shares represented at the meeting and entitled to vote on such proposal include all shares that are voted in person at the meeting or that are represented by valid proxies.</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96" w:lineRule="exact"/>
        <w:rPr>
          <w:sz w:val="20"/>
          <w:szCs w:val="20"/>
          <w:color w:val="auto"/>
        </w:rPr>
      </w:pPr>
    </w:p>
    <w:p>
      <w:pPr>
        <w:ind w:left="460" w:right="200" w:hanging="452"/>
        <w:spacing w:after="0" w:line="330"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you are a holder of record and you sign and return your proxy card without indicating how to vote on any particular proposal, the Smith common stock represented by your proxy will be voted as recommended by the Smith board of directors with respect to that proposal.</w:t>
      </w:r>
    </w:p>
    <w:p>
      <w:pPr>
        <w:spacing w:after="0" w:line="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96" w:lineRule="exact"/>
        <w:rPr>
          <w:sz w:val="20"/>
          <w:szCs w:val="20"/>
          <w:color w:val="auto"/>
        </w:rPr>
      </w:pPr>
    </w:p>
    <w:p>
      <w:pPr>
        <w:ind w:left="460" w:right="60" w:hanging="452"/>
        <w:spacing w:after="0" w:line="288"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you fail to vote, fail to instruct your broker or nominee to vote, or vote to abstain, it will have the same effect as a vote against the proposal to adopt the merger agreement. It will have no effect on the outcome of the proposal to elect directors, assuming a quorum is present. With respect to the proposal to approve the 1989 Long Term Incentive Compensation Plan, a failure to vote will have no effect on the outcome, assuming that a quorum is present and that at least a majority of the outstanding shares of Smith common stock vote on the proposal, but a failure to instruct your broker or nominee to vote or a vote to abstain will have the same effect as a vote against such proposal. With respect to the proposals to ratify the appointment of Deloitte &amp; Touche LLP as Smith’s independent registered public accounting firm for the 2010 fiscal year or to adjourn the Smith annual meeting, a failure to vote will have no effect on the outcome of either of such proposals, assuming in each case that a quorum is present, a failure to specify your voting instructions to your broker or nominee to vote will permit your broker or nominee to vote your shares on such proposals, and a vote to abstain will have the same effect as a vote against such proposals.</w:t>
      </w:r>
    </w:p>
    <w:p>
      <w:pPr>
        <w:spacing w:after="0" w:line="33"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matters will be acted upon at the meeting?</w:t>
      </w:r>
    </w:p>
    <w:p>
      <w:pPr>
        <w:spacing w:after="0" w:line="9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do not know of any other matters that will be presented at the Smith annual meeting, other than those mentioned in this proxy statement/prospectus.</w:t>
      </w:r>
    </w:p>
    <w:p>
      <w:pPr>
        <w:spacing w:after="0" w:line="10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Who pays the cost of this proxy solicitation?</w:t>
      </w:r>
    </w:p>
    <w:p>
      <w:pPr>
        <w:spacing w:after="0" w:line="96"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Smith will pay the cost of solicitation of proxies including preparing, printing and mailing this proxy statement/prospectus. Smith has retained MacKenzie Partners to help in soliciting proxies for a fee of $[—], plus reasonable out-of-pocket costs and expenses. Smith will also reimburse brokers, banks and other nominees for their costs in sending proxy materials to beneficial owners of Smith common stock. Other proxy solicitation expenses that Smith will pay include those for preparation, mailing, returning and tabulating the proxies.</w:t>
      </w:r>
    </w:p>
    <w:p>
      <w:pPr>
        <w:spacing w:after="0" w:line="5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Who may attend the annual meeting?</w:t>
      </w:r>
    </w:p>
    <w:p>
      <w:pPr>
        <w:spacing w:after="0" w:line="96" w:lineRule="exact"/>
        <w:rPr>
          <w:sz w:val="20"/>
          <w:szCs w:val="20"/>
          <w:color w:val="auto"/>
        </w:rPr>
      </w:pPr>
    </w:p>
    <w:p>
      <w:pPr>
        <w:ind w:left="460" w:right="60" w:hanging="452"/>
        <w:spacing w:after="0" w:line="306"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Holders of record of Smith common stock as of [—], 2010 may attend the annual meeting. 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I receive more than one set of voting materials?</w:t>
      </w:r>
    </w:p>
    <w:p>
      <w:pPr>
        <w:spacing w:after="0" w:line="96" w:lineRule="exact"/>
        <w:rPr>
          <w:sz w:val="20"/>
          <w:szCs w:val="20"/>
          <w:color w:val="auto"/>
        </w:rPr>
      </w:pPr>
    </w:p>
    <w:p>
      <w:pPr>
        <w:ind w:left="460" w:right="120" w:hanging="452"/>
        <w:spacing w:after="0" w:line="298"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for the annual meeting, including multiple copies of this proxy statement/prospectus, proxy cards and/or voting instruction forms. This can occur if you hold your shares in more than one brokerage account, if you hold shares directly as a record holder and also in street name, or otherwise through a nominee, and in certain other circumstances. If you receive more than one set of voting materials, each should be voted and/or returned separately in order to ensure that all of your shares are voted.</w:t>
      </w:r>
    </w:p>
    <w:p>
      <w:pPr>
        <w:spacing w:after="0" w:line="2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96" w:lineRule="exact"/>
        <w:rPr>
          <w:sz w:val="20"/>
          <w:szCs w:val="20"/>
          <w:color w:val="auto"/>
        </w:rPr>
      </w:pPr>
    </w:p>
    <w:p>
      <w:pPr>
        <w:ind w:left="460" w:right="12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Carefully read and consider the information contained in and incorporated by reference into this proxy statement/prospectus, including its annexes. Then, please vote your shares of Smith common stock, which you may do by: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completing, dating, signing and returning the enclosed proxy card in the accompanying postage-paid envelope;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submitting your proxy by telephone or via the internet by following the instructions included on your proxy card;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attending the Smith annual meeting and voting by ballot in person.</w:t>
      </w:r>
    </w:p>
    <w:p>
      <w:pPr>
        <w:spacing w:after="0" w:line="90"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If you hold shares through a broker or other nominee, please instruct your broker or nominee to vote your shares by following the instructions that the broker or nominee provides to you with these materials.</w:t>
      </w:r>
    </w:p>
    <w:p>
      <w:pPr>
        <w:spacing w:after="0" w:line="4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with questions?</w:t>
      </w:r>
    </w:p>
    <w:p>
      <w:pPr>
        <w:spacing w:after="0" w:line="96" w:lineRule="exact"/>
        <w:rPr>
          <w:sz w:val="20"/>
          <w:szCs w:val="20"/>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Smith stockholders who have questions about the merger, the election of directors or the other matters to be voted on at the Smith annual meeting or desire additional copies of this document or additional proxy cards should contact:</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MacKenzie Partners,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proxy@mackenziepartners.com</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Toll-Free: (800) 322-2885</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It may not contain all of the information that is important to you. You are urged to read carefully the entire proxy statement/prospectus and the other documents referred to in this proxy statement/prospectus in order to fully understand the merger agreement and the proposed merger. See “Where You Can Find More Information” beginning on page [—] of this proxy statement/prospectus. Each item in this summary refers to the page of this proxy statement/prospectus on which that subject is discussed in more detail.</w:t>
      </w:r>
    </w:p>
    <w:p>
      <w:pPr>
        <w:spacing w:after="0" w:line="188" w:lineRule="exact"/>
        <w:rPr>
          <w:sz w:val="20"/>
          <w:szCs w:val="20"/>
          <w:color w:val="auto"/>
        </w:rPr>
      </w:pPr>
    </w:p>
    <w:p>
      <w:pPr>
        <w:jc w:val="right"/>
        <w:ind w:right="9020"/>
        <w:spacing w:after="0"/>
        <w:rPr>
          <w:sz w:val="20"/>
          <w:szCs w:val="20"/>
          <w:color w:val="auto"/>
        </w:rPr>
      </w:pPr>
      <w:r>
        <w:rPr>
          <w:rFonts w:ascii="Arial" w:cs="Arial" w:eastAsia="Arial" w:hAnsi="Arial"/>
          <w:sz w:val="16"/>
          <w:szCs w:val="16"/>
          <w:b w:val="1"/>
          <w:bCs w:val="1"/>
          <w:color w:val="auto"/>
        </w:rPr>
        <w:t>The Companies (page [—])</w:t>
      </w:r>
    </w:p>
    <w:p>
      <w:pPr>
        <w:spacing w:after="0" w:line="119" w:lineRule="exact"/>
        <w:rPr>
          <w:sz w:val="20"/>
          <w:szCs w:val="20"/>
          <w:color w:val="auto"/>
        </w:rPr>
      </w:pPr>
    </w:p>
    <w:p>
      <w:pPr>
        <w:jc w:val="right"/>
        <w:ind w:right="898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90"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Founded in 1926, Schlumberger is the world’s leading supplier of technology, integrated project management and information solutions to the international oil and gas exploration and production industry.</w:t>
      </w:r>
    </w:p>
    <w:p>
      <w:pPr>
        <w:spacing w:after="0" w:line="132"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Schlumberger has principal executive offices in Paris, Houston and The Hague. Its principal executive offices in the United States are located at 5599 San Felipe, 17th Floor, Houston, Texas 77056, and its telephone number is (713) 513-2000.</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Smith International, Inc.</w:t>
      </w:r>
    </w:p>
    <w:p>
      <w:pPr>
        <w:spacing w:after="0" w:line="90"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Founded in 1902, Smith is a leading global provider of premium products and services used during the drilling, completion and production phases of oil and natural gas development activities.</w:t>
      </w:r>
    </w:p>
    <w:p>
      <w:pPr>
        <w:spacing w:after="0" w:line="132"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Smith was incorporated in the state of California in January 1937 and reincorporated under Delaware law in May 1983. Smith’s executive offices are headquartered at 1310 Rankin Road, Houston, Texas 77073, and its telephone number is (281) 443-3370.</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Turnberry Merger Sub Inc.</w:t>
      </w:r>
    </w:p>
    <w:p>
      <w:pPr>
        <w:spacing w:after="0" w:line="90" w:lineRule="exact"/>
        <w:rPr>
          <w:sz w:val="20"/>
          <w:szCs w:val="20"/>
          <w:color w:val="auto"/>
        </w:rPr>
      </w:pPr>
    </w:p>
    <w:p>
      <w:pPr>
        <w:ind w:left="200" w:right="260" w:firstLine="443"/>
        <w:spacing w:after="0" w:line="332" w:lineRule="auto"/>
        <w:rPr>
          <w:sz w:val="20"/>
          <w:szCs w:val="20"/>
          <w:color w:val="auto"/>
        </w:rPr>
      </w:pPr>
      <w:r>
        <w:rPr>
          <w:rFonts w:ascii="Arial" w:cs="Arial" w:eastAsia="Arial" w:hAnsi="Arial"/>
          <w:sz w:val="16"/>
          <w:szCs w:val="16"/>
          <w:color w:val="auto"/>
        </w:rPr>
        <w:t>Turnberry Merger Sub Inc., referred to as Merger Sub, is a Delaware corporation and a wholly owned subsidiary of Schlumberger. Merger Sub was formed solely for the purpose of participating in the merger and has conducted no activities other than in connection with the merger.</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The Merger Agreement </w:t>
      </w:r>
      <w:r>
        <w:rPr>
          <w:rFonts w:ascii="Arial" w:cs="Arial" w:eastAsia="Arial" w:hAnsi="Arial"/>
          <w:sz w:val="18"/>
          <w:szCs w:val="18"/>
          <w:color w:val="auto"/>
        </w:rPr>
        <w:t>(page [—])</w:t>
      </w:r>
    </w:p>
    <w:p>
      <w:pPr>
        <w:spacing w:after="0" w:line="9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 xml:space="preserve">Schlumberger, Smith and Merger Sub have entered into an Agreement and Plan of Merger dated as of February 21, 2010, which, as it may be amended from time to time, is referred to in this proxy statement/prospectus as the merger agreement. Subject to the terms and conditions of the merger agreement and in accordance with Delaware law, Merger Sub will be merged with and into Smith, with Smith continuing as the surviving corporation. Upon completion of this transaction, which is referred to in this proxy statement/prospectus as the merger, Smith will be a wholly owned subsidiary of Schlumberger, and Smith common stock will no longer be publicly traded. A copy of the merger agreement is attached as Annex A to this proxy statement/prospectus. </w:t>
      </w:r>
      <w:r>
        <w:rPr>
          <w:rFonts w:ascii="Arial" w:cs="Arial" w:eastAsia="Arial" w:hAnsi="Arial"/>
          <w:sz w:val="16"/>
          <w:szCs w:val="16"/>
          <w:b w:val="1"/>
          <w:bCs w:val="1"/>
          <w:color w:val="auto"/>
        </w:rPr>
        <w:t>You should</w:t>
      </w:r>
      <w:r>
        <w:rPr>
          <w:rFonts w:ascii="Arial" w:cs="Arial" w:eastAsia="Arial" w:hAnsi="Arial"/>
          <w:sz w:val="16"/>
          <w:szCs w:val="16"/>
          <w:color w:val="auto"/>
        </w:rPr>
        <w:t xml:space="preserve"> </w:t>
      </w:r>
      <w:r>
        <w:rPr>
          <w:rFonts w:ascii="Arial" w:cs="Arial" w:eastAsia="Arial" w:hAnsi="Arial"/>
          <w:sz w:val="16"/>
          <w:szCs w:val="16"/>
          <w:b w:val="1"/>
          <w:bCs w:val="1"/>
          <w:color w:val="auto"/>
        </w:rPr>
        <w:t>read the merger agreement carefully because it is the legal document that governs the merger.</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86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49866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The Merger Consideration </w:t>
      </w:r>
      <w:r>
        <w:rPr>
          <w:rFonts w:ascii="Arial" w:cs="Arial" w:eastAsia="Arial" w:hAnsi="Arial"/>
          <w:sz w:val="18"/>
          <w:szCs w:val="18"/>
          <w:color w:val="auto"/>
        </w:rPr>
        <w:t>(page [—])</w:t>
      </w:r>
    </w:p>
    <w:p>
      <w:pPr>
        <w:spacing w:after="0" w:line="90" w:lineRule="exact"/>
        <w:rPr>
          <w:sz w:val="20"/>
          <w:szCs w:val="20"/>
          <w:color w:val="auto"/>
        </w:rPr>
      </w:pPr>
    </w:p>
    <w:p>
      <w:pPr>
        <w:ind w:left="200" w:right="40" w:firstLine="443"/>
        <w:spacing w:after="0" w:line="309" w:lineRule="auto"/>
        <w:rPr>
          <w:sz w:val="20"/>
          <w:szCs w:val="20"/>
          <w:color w:val="auto"/>
        </w:rPr>
      </w:pPr>
      <w:r>
        <w:rPr>
          <w:rFonts w:ascii="Arial" w:cs="Arial" w:eastAsia="Arial" w:hAnsi="Arial"/>
          <w:sz w:val="15"/>
          <w:szCs w:val="15"/>
          <w:color w:val="auto"/>
        </w:rPr>
        <w:t>If the merger is completed, Smith stockholders will be entitled to receive in the merger, for each share of Smith common stock that they own, 0.6966 shares of Schlumberger common stock. The number of shares of Schlumberger common stock delivered in respect of each share of Smith common stock in the merger is referred to in this proxy statement/prospectus as the exchange ratio. Schlumberger will not issue any fractional shares of its common stock in the merger. Instead, the total number of shares of Schlumberger common stock that each Smith stockholder will receive in the merger will be rounded down to the nearest whole number, and each Smith stockholder will receive cash, without interest, for any fractional shares of Schlumberger common stock that he or she would otherwise receive in the merger. The amount of cash for fractional shares will be calculated by multiplying the fraction of a share of Schlumberger common stock that the Smith stockholder would otherwise be entitled to receive in the merger by the closing sale price of a share of Schlumberger common stock on the business day immediately preceding the completion of the merger. The Schlumberger common stock issuable based on the exchange ratio, together with any cash payable in lieu of fractional shares, is referred to in this proxy statement/prospectus as the merger consideration.</w:t>
      </w:r>
    </w:p>
    <w:p>
      <w:pPr>
        <w:spacing w:after="0" w:line="108" w:lineRule="exact"/>
        <w:rPr>
          <w:sz w:val="20"/>
          <w:szCs w:val="20"/>
          <w:color w:val="auto"/>
        </w:rPr>
      </w:pPr>
    </w:p>
    <w:p>
      <w:pPr>
        <w:jc w:val="both"/>
        <w:ind w:left="200" w:right="220" w:firstLine="443"/>
        <w:spacing w:after="0" w:line="259" w:lineRule="auto"/>
        <w:rPr>
          <w:sz w:val="20"/>
          <w:szCs w:val="20"/>
          <w:color w:val="auto"/>
        </w:rPr>
      </w:pPr>
      <w:r>
        <w:rPr>
          <w:rFonts w:ascii="Arial" w:cs="Arial" w:eastAsia="Arial" w:hAnsi="Arial"/>
          <w:sz w:val="18"/>
          <w:szCs w:val="18"/>
          <w:i w:val="1"/>
          <w:iCs w:val="1"/>
          <w:color w:val="auto"/>
        </w:rPr>
        <w:t>Example: If you currently own 100 shares of Smith common stock, you will be entitled to receive 69 shares of Schlumberger common stock and cash for the market value of 0.66 shares of Schlumberger common stock at the closing sale price of a share of Schlumberger common stock on the business day immediately preceding the completion of the merger.</w:t>
      </w:r>
    </w:p>
    <w:p>
      <w:pPr>
        <w:spacing w:after="0" w:line="140"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The exchange ratio of 0.6966 of a share of Schlumberger common stock is fixed, which means that it will not change between now and the date of the merger, regardless of whether the market price of either Schlumberger or Smith common stock changes. Therefore, the value of the merger consideration will depend on the market price of Schlumberger common stock at the time Smith stockholders receive Schlumberger common stock in the merger. The market price of Schlumberger common stock will fluctuate prior to the merger, and the market price of Schlumberger common stock when received by Smith stockholders in connection with the merger could be greater or less than the current market price of Schlumberger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Meeting of Smith Stockholders (page [—])</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Smith annual meeting will be held at the Hotel du Pont, 11</w:t>
      </w:r>
      <w:r>
        <w:rPr>
          <w:rFonts w:ascii="Arial" w:cs="Arial" w:eastAsia="Arial" w:hAnsi="Arial"/>
          <w:sz w:val="10"/>
          <w:szCs w:val="10"/>
          <w:color w:val="auto"/>
        </w:rPr>
        <w:t>th</w:t>
      </w:r>
      <w:r>
        <w:rPr>
          <w:rFonts w:ascii="Arial" w:cs="Arial" w:eastAsia="Arial" w:hAnsi="Arial"/>
          <w:sz w:val="16"/>
          <w:szCs w:val="16"/>
          <w:color w:val="auto"/>
        </w:rPr>
        <w:t xml:space="preserve"> and Market Streets, Wilmington, Delaware, on [—], 2010 at [—], local time. At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Smith annual meeting, Smith stockholders will be asked to vote on the following proposals:</w:t>
      </w:r>
    </w:p>
    <w:p>
      <w:pPr>
        <w:spacing w:after="0" w:line="84" w:lineRule="exact"/>
        <w:rPr>
          <w:sz w:val="20"/>
          <w:szCs w:val="20"/>
          <w:color w:val="auto"/>
        </w:rPr>
      </w:pPr>
    </w:p>
    <w:p>
      <w:pPr>
        <w:ind w:left="840" w:hanging="211"/>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90" w:lineRule="exact"/>
        <w:rPr>
          <w:rFonts w:ascii="Arial" w:cs="Arial" w:eastAsia="Arial" w:hAnsi="Arial"/>
          <w:sz w:val="18"/>
          <w:szCs w:val="18"/>
          <w:color w:val="auto"/>
        </w:rPr>
      </w:pPr>
    </w:p>
    <w:p>
      <w:pPr>
        <w:ind w:left="840" w:right="300" w:hanging="211"/>
        <w:spacing w:after="0" w:line="268"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elect three Class III directors: James R. Gibbs, Duane C. Radtke and John Yearwood, each for a term of three years ending at the 2013 annual meeting of stockholders or until their respective successors have been duly elected and qualified;</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approve the Smith International, Inc. 1989 Long-Term Incentive Compensation Plan, as amended and restated;</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Smith’s independent registered public accounting firm for the 2010 fiscal year; and</w:t>
      </w:r>
    </w:p>
    <w:p>
      <w:pPr>
        <w:spacing w:after="0" w:line="113" w:lineRule="exact"/>
        <w:rPr>
          <w:rFonts w:ascii="Arial" w:cs="Arial" w:eastAsia="Arial" w:hAnsi="Arial"/>
          <w:sz w:val="16"/>
          <w:szCs w:val="16"/>
          <w:color w:val="auto"/>
        </w:rPr>
      </w:pPr>
    </w:p>
    <w:p>
      <w:pPr>
        <w:ind w:left="840" w:right="140" w:hanging="211"/>
        <w:spacing w:after="0" w:line="268"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adjourn the Smith annual meeting, if necessary, to solicit additional proxies if there are not sufficient votes to adopt the merger agreement at the time of the Smith annual meeting.</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Record Date</w:t>
      </w:r>
    </w:p>
    <w:p>
      <w:pPr>
        <w:spacing w:after="0" w:line="90" w:lineRule="exact"/>
        <w:rPr>
          <w:sz w:val="20"/>
          <w:szCs w:val="20"/>
          <w:color w:val="auto"/>
        </w:rPr>
      </w:pPr>
    </w:p>
    <w:p>
      <w:pPr>
        <w:ind w:left="200" w:right="280" w:firstLine="443"/>
        <w:spacing w:after="0" w:line="268" w:lineRule="auto"/>
        <w:rPr>
          <w:sz w:val="20"/>
          <w:szCs w:val="20"/>
          <w:color w:val="auto"/>
        </w:rPr>
      </w:pPr>
      <w:r>
        <w:rPr>
          <w:rFonts w:ascii="Arial" w:cs="Arial" w:eastAsia="Arial" w:hAnsi="Arial"/>
          <w:sz w:val="18"/>
          <w:szCs w:val="18"/>
          <w:color w:val="auto"/>
        </w:rPr>
        <w:t>Only Smith stockholders of record at the close of business on [—], 2010, which is referred to as the record date, will be entitled to notice of, and to vote at, the Smith annual meeting or any adjournments or postponements thereof.</w:t>
      </w:r>
    </w:p>
    <w:p>
      <w:pPr>
        <w:spacing w:after="0" w:line="132"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As of the record date, there were [—] shares of Smith common stock outstanding and entitled to vote at the Smith annual meeting. The Smith common stock is the only class of securities entitled to vote at the Smith annual meeting. Each share of Smith common stock outstanding on the record date entitles the holder thereof to one vote on each matter properly brought before the Smith annual meeting, exercisable in person or by proxy through the internet or by telephone or by a properly executed and delivered proxy with respect to the Smith annual meeting.</w:t>
      </w:r>
    </w:p>
    <w:p>
      <w:pPr>
        <w:spacing w:after="0" w:line="113"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Required Vote</w:t>
      </w:r>
    </w:p>
    <w:p>
      <w:pPr>
        <w:spacing w:after="0" w:line="90" w:lineRule="exact"/>
        <w:rPr>
          <w:sz w:val="20"/>
          <w:szCs w:val="20"/>
          <w:color w:val="auto"/>
        </w:rPr>
      </w:pPr>
    </w:p>
    <w:p>
      <w:pPr>
        <w:ind w:left="200" w:right="120" w:firstLine="443"/>
        <w:spacing w:after="0" w:line="294" w:lineRule="auto"/>
        <w:rPr>
          <w:sz w:val="20"/>
          <w:szCs w:val="20"/>
          <w:color w:val="auto"/>
        </w:rPr>
      </w:pPr>
      <w:r>
        <w:rPr>
          <w:rFonts w:ascii="Arial" w:cs="Arial" w:eastAsia="Arial" w:hAnsi="Arial"/>
          <w:sz w:val="16"/>
          <w:szCs w:val="16"/>
          <w:color w:val="auto"/>
        </w:rPr>
        <w:t>To adopt the merger agreement, holders of a majority of the shares of Smith common stock outstanding on the record date must vote in favor of adoption of the merger agreement. Smith cannot complete the merger unless its stockholders adopt the merger agreement. Because approval is based on the affirmative vote of a majority of the outstanding shares of Smith common stock, a Smith stockholder’s failure to vote, an abstention from voting or the failure of an Smith stockholder who holds his or her shares in “street name” through a broker or other nominee to give voting instructions to such broker or other nominee will all have the same effect as a vote “AGAINST” adoption of the merger agreement.</w:t>
      </w:r>
    </w:p>
    <w:p>
      <w:pPr>
        <w:spacing w:after="0" w:line="116"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Election of the directors requires the affirmative vote of a majority of the votes cast either for or against the election of such director at the Smith annual meeting. An abstention does not count as a vote cast for these purposes. If a nominee is not elected, he must promptly tender his resignation to the Smith board of directors, which will determine, based on a 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116"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Approval of the 1989 Long-Term Incentive Compensation Plan, as amended and restated, requires the affirmative vote of a majority of the shares represented at the meeting and entitled to vote on such proposal, provided that at least a majority of the outstanding shares of Smith common stock vote on such proposal.</w:t>
      </w:r>
    </w:p>
    <w:p>
      <w:pPr>
        <w:spacing w:after="0" w:line="140" w:lineRule="exact"/>
        <w:rPr>
          <w:sz w:val="20"/>
          <w:szCs w:val="20"/>
          <w:color w:val="auto"/>
        </w:rPr>
      </w:pPr>
    </w:p>
    <w:p>
      <w:pPr>
        <w:jc w:val="both"/>
        <w:ind w:left="200" w:right="300" w:firstLine="443"/>
        <w:spacing w:after="0" w:line="259" w:lineRule="auto"/>
        <w:rPr>
          <w:sz w:val="20"/>
          <w:szCs w:val="20"/>
          <w:color w:val="auto"/>
        </w:rPr>
      </w:pPr>
      <w:r>
        <w:rPr>
          <w:rFonts w:ascii="Arial" w:cs="Arial" w:eastAsia="Arial" w:hAnsi="Arial"/>
          <w:sz w:val="18"/>
          <w:szCs w:val="18"/>
          <w:color w:val="auto"/>
        </w:rPr>
        <w:t>Approval of each of the ratification of the appointment of Deloitte &amp; Touche LLP as Smith’s independent registered public accounting firm for the 2010 fiscal year and the adjournment of the Smith annual meeting requires the affirmative vote of a majority of the shares represented at the meeting and entitled to vote on such proposal.</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Recommendation of the Smith Board of Directors</w:t>
      </w:r>
    </w:p>
    <w:p>
      <w:pPr>
        <w:spacing w:after="0" w:line="84" w:lineRule="exact"/>
        <w:rPr>
          <w:sz w:val="20"/>
          <w:szCs w:val="20"/>
          <w:color w:val="auto"/>
        </w:rPr>
      </w:pPr>
    </w:p>
    <w:p>
      <w:pPr>
        <w:jc w:val="both"/>
        <w:ind w:left="200" w:right="260" w:firstLine="443"/>
        <w:spacing w:after="0" w:line="262" w:lineRule="auto"/>
        <w:rPr>
          <w:sz w:val="20"/>
          <w:szCs w:val="20"/>
          <w:color w:val="auto"/>
        </w:rPr>
      </w:pPr>
      <w:r>
        <w:rPr>
          <w:rFonts w:ascii="Arial" w:cs="Arial" w:eastAsia="Arial" w:hAnsi="Arial"/>
          <w:sz w:val="18"/>
          <w:szCs w:val="18"/>
          <w:b w:val="1"/>
          <w:bCs w:val="1"/>
          <w:color w:val="auto"/>
        </w:rPr>
        <w:t>The Smith board of directors unanimously recommends that Smith stockholders vote “FOR” the proposal to adopt the merger agreement. For the factors considered by the Smith board of directors in reaching its decision to approve the merger agreement, see “The Merger—Smith’s Reasons for the Merger; Recommendation of the Smith Board of Directors.”</w:t>
      </w:r>
    </w:p>
    <w:p>
      <w:pPr>
        <w:spacing w:after="0" w:line="132" w:lineRule="exact"/>
        <w:rPr>
          <w:sz w:val="20"/>
          <w:szCs w:val="20"/>
          <w:color w:val="auto"/>
        </w:rPr>
      </w:pPr>
    </w:p>
    <w:p>
      <w:pPr>
        <w:ind w:left="200" w:firstLine="443"/>
        <w:spacing w:after="0" w:line="275" w:lineRule="auto"/>
        <w:rPr>
          <w:sz w:val="20"/>
          <w:szCs w:val="20"/>
          <w:color w:val="auto"/>
        </w:rPr>
      </w:pPr>
      <w:r>
        <w:rPr>
          <w:rFonts w:ascii="Arial" w:cs="Arial" w:eastAsia="Arial" w:hAnsi="Arial"/>
          <w:sz w:val="18"/>
          <w:szCs w:val="18"/>
          <w:color w:val="auto"/>
        </w:rPr>
        <w:t>The Smith board of directors recommends that Smith stockholders vote “</w:t>
      </w:r>
      <w:r>
        <w:rPr>
          <w:rFonts w:ascii="Arial" w:cs="Arial" w:eastAsia="Arial" w:hAnsi="Arial"/>
          <w:sz w:val="18"/>
          <w:szCs w:val="18"/>
          <w:b w:val="1"/>
          <w:bCs w:val="1"/>
          <w:color w:val="auto"/>
        </w:rPr>
        <w:t>FOR</w:t>
      </w:r>
      <w:r>
        <w:rPr>
          <w:rFonts w:ascii="Arial" w:cs="Arial" w:eastAsia="Arial" w:hAnsi="Arial"/>
          <w:sz w:val="18"/>
          <w:szCs w:val="18"/>
          <w:color w:val="auto"/>
        </w:rPr>
        <w:t>” each of the director nominees and “</w:t>
      </w:r>
      <w:r>
        <w:rPr>
          <w:rFonts w:ascii="Arial" w:cs="Arial" w:eastAsia="Arial" w:hAnsi="Arial"/>
          <w:sz w:val="18"/>
          <w:szCs w:val="18"/>
          <w:b w:val="1"/>
          <w:bCs w:val="1"/>
          <w:color w:val="auto"/>
        </w:rPr>
        <w:t>FOR</w:t>
      </w:r>
      <w:r>
        <w:rPr>
          <w:rFonts w:ascii="Arial" w:cs="Arial" w:eastAsia="Arial" w:hAnsi="Arial"/>
          <w:sz w:val="18"/>
          <w:szCs w:val="18"/>
          <w:color w:val="auto"/>
        </w:rPr>
        <w:t>” all of the other proposals set forth above.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Schlumberger Stockholder Approval Is Not Required (page [—])</w:t>
      </w:r>
    </w:p>
    <w:p>
      <w:pPr>
        <w:spacing w:after="0" w:line="9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Schlumberger stockholders are not required to adopt the merger agreement or approve the merger or the issuance of shares of Schlumberger common stock in connection with the merger.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Smith’s Directors and Executive Officers (page [—])</w:t>
      </w:r>
    </w:p>
    <w:p>
      <w:pPr>
        <w:spacing w:after="0" w:line="9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As of the record date, directors and executive officers of Smith and their affiliates owned and were entitled to vote [—] shares of Smith common stock, or approximately [—]% of the shares of Smith common stock outstanding on that date. It is currently expected that Smith’s directors and executive officers will vote their shares in favor of the adoption of the merger agreement and each of the other Smith proposals described in this proxy statement/prospectus, although none of them have entered into any agreements obligating them to do so.</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Equity Awards (page [—])</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At the effective time of the merger, all outstanding options to purchase shares of Smith common stock will be converted into options to purchase shares of Schlumberger common stock with the duration and terms of such converted options to remain the same as the original Smith option. The number of shares of Schlumberger common stock subject to each option will be determined by multiplying the number of shares of Smith common stock subject to the original Smith option by the exchange ratio, rounded down to the nearest whole share. The option exercise price per share of Schlumberger common stock will be equal to the option exercise price per share of Smith common stock under the original Smith option divided by the exchange ratio rounded up to the nearest whole cent. All converted Schlumberger options, other than those issued in respect of Smith options awarded after February 21, 2010, will be fully vested and exercisable.</w:t>
      </w:r>
    </w:p>
    <w:p>
      <w:pPr>
        <w:spacing w:after="0" w:line="118"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At the effective time of the merger, each outstanding award of restricted stock units granted by Smith under any of its plans on or prior to February 21, 2010, will be converted into the right to receive the merger consideration based on the total number of shares of Smith common stock subject to the outstanding award. To the extent the outstanding award is for performance-based restricted stock units, the number of shares subject to the outstanding award will be calculated based on the deemed attainment of performance goals at 100% of the target performance level. Any award of restricted stock units made by Smith after February 21, 2010 will be converted into an award of Schlumberger restricted stock units in an amount equal to the product of the number of shares of Smith stock subject to the original Smith award and the exchange ratio, with any fractional units rounded to the nearest whole unit.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Smith’s Financial Advisor (page [—])</w:t>
      </w:r>
    </w:p>
    <w:p>
      <w:pPr>
        <w:spacing w:after="0" w:line="96"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On February 20, 2010, at a meeting of Smith’s board of directors held to evaluate the proposed merger, UBS Securities LLC, referred to as UBS, delivered to Smith’s board of directors an oral opinion, which opinion was confirmed by delivery of a written opinion, dated February 20, 2010, to the effect that, as of that date and based on and subject to various assumptions, matters considered and limitations described in its opinion, the exchange ratio provided for in the merger was fair, from a financial point of view, to holders of Smith common stock other than Schlumberger and its affiliates.</w:t>
      </w:r>
    </w:p>
    <w:p>
      <w:pPr>
        <w:spacing w:after="0" w:line="113" w:lineRule="exact"/>
        <w:rPr>
          <w:sz w:val="20"/>
          <w:szCs w:val="20"/>
          <w:color w:val="auto"/>
        </w:rPr>
      </w:pPr>
    </w:p>
    <w:p>
      <w:pPr>
        <w:ind w:left="200" w:right="160" w:firstLine="443"/>
        <w:spacing w:after="0" w:line="290" w:lineRule="auto"/>
        <w:rPr>
          <w:sz w:val="20"/>
          <w:szCs w:val="20"/>
          <w:color w:val="auto"/>
        </w:rPr>
      </w:pPr>
      <w:r>
        <w:rPr>
          <w:rFonts w:ascii="Arial" w:cs="Arial" w:eastAsia="Arial" w:hAnsi="Arial"/>
          <w:sz w:val="16"/>
          <w:szCs w:val="16"/>
          <w:color w:val="auto"/>
        </w:rPr>
        <w:t xml:space="preserve">The full text of UBS’ opinion describes the assumptions made, procedures followed, matters considered and limitations on the review undertaken by UBS. A copy of this opinion is attached as Annex B hereto and is incorporated into this proxy statement/prospectus by reference. </w:t>
      </w:r>
      <w:r>
        <w:rPr>
          <w:rFonts w:ascii="Arial" w:cs="Arial" w:eastAsia="Arial" w:hAnsi="Arial"/>
          <w:sz w:val="16"/>
          <w:szCs w:val="16"/>
          <w:b w:val="1"/>
          <w:bCs w:val="1"/>
          <w:color w:val="auto"/>
        </w:rPr>
        <w:t>Holders of Smith</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 are encouraged to read UBS’ opinion carefully in its entirety. UBS’ opinion was provided for the benefit of Smith’s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Smith or Smith’s underlying business decision to effect the merger. The opinion does not constitute a recommendation to any stockholder as to how to vote or act with respect to the merger.</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Schlumberger After the Merger (page [—])</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Based on the number of shares of Smith common stock and Smith restricted stock units outstanding as of [—], 2010, Schlumberger expects to issue approximately [—] shares of its common stock to Smith stockholders pursuant to the merger and reserve for issuance approximately [—] additional shares of Schlumberger common stock in connection with the exercise or conversion of Smith’s outstanding equity awards. The actual number of shares of Schlumberger common stock to be issued and reserved for issuance pursuant to the merger will be determined at the completion of the merger based on the exchange ratio of 0.6966 and the number of shares of Smith common stock, options and restricted stock units outstanding at such time. Immediately after completion of the merger, it is expected that former Smith stockholders will own approximately 12.8% of Schlumberger’s outstanding common stock, based on the number of shares of Smith and Schlumberger common stock outstanding, on a fully diluted basis, as of [—], 2010.</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Smith’s Directors and Officers in the Merger (page [—])</w:t>
      </w:r>
    </w:p>
    <w:p>
      <w:pPr>
        <w:spacing w:after="0" w:line="96" w:lineRule="exact"/>
        <w:rPr>
          <w:sz w:val="20"/>
          <w:szCs w:val="20"/>
          <w:color w:val="auto"/>
        </w:rPr>
      </w:pPr>
    </w:p>
    <w:p>
      <w:pPr>
        <w:ind w:left="200" w:right="220" w:firstLine="443"/>
        <w:spacing w:after="0" w:line="306" w:lineRule="auto"/>
        <w:rPr>
          <w:sz w:val="20"/>
          <w:szCs w:val="20"/>
          <w:color w:val="auto"/>
        </w:rPr>
      </w:pPr>
      <w:r>
        <w:rPr>
          <w:rFonts w:ascii="Arial" w:cs="Arial" w:eastAsia="Arial" w:hAnsi="Arial"/>
          <w:sz w:val="16"/>
          <w:szCs w:val="16"/>
          <w:color w:val="auto"/>
        </w:rPr>
        <w:t>Smith’s executive officers and directors have financial interests in the merger that are different from, or in addition to, those of Smith’s stockholders generally. The independent members of Smith’s board of directors were aware of and considered these interests, among other matters, in evaluating and negotiating the merger agreement and the merger, and in recommending to Smith stockholders that the merger agreement be adopted.</w:t>
      </w:r>
    </w:p>
    <w:p>
      <w:pPr>
        <w:spacing w:after="0" w:line="107"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Certain of Smith’s executive officers, including each of its named executive officers, are party to change of control agreements with Smith that provide severance and other benefits in the case of qualifying terminations of employment in connection with or following a change of control, including completion of the merger.</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Smith equity compensation plans and award agreements generally provide for the vesting of stock-based awards upon completion of the merger.</w:t>
      </w:r>
    </w:p>
    <w:p>
      <w:pPr>
        <w:spacing w:after="0" w:line="194"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In addition, under the terms of the merger agreement, Smith may establish a retention program with a retention pool in an aggregate amount up to $74.3 million. Of this amount, up to $16 million will be allocated to persons who are executive officers of Smith or who are party to change of control employment agreements with Smith. Smith separately recently allocated approximately $18 million in retention payments to certain employees who are not executive officers, and may make additional allocations.</w:t>
      </w:r>
    </w:p>
    <w:p>
      <w:pPr>
        <w:spacing w:after="0" w:line="143" w:lineRule="exact"/>
        <w:rPr>
          <w:sz w:val="20"/>
          <w:szCs w:val="20"/>
          <w:color w:val="auto"/>
        </w:rPr>
      </w:pPr>
    </w:p>
    <w:p>
      <w:pPr>
        <w:ind w:left="200" w:right="340" w:firstLine="443"/>
        <w:spacing w:after="0" w:line="268" w:lineRule="auto"/>
        <w:rPr>
          <w:sz w:val="20"/>
          <w:szCs w:val="20"/>
          <w:color w:val="auto"/>
        </w:rPr>
      </w:pPr>
      <w:r>
        <w:rPr>
          <w:rFonts w:ascii="Arial" w:cs="Arial" w:eastAsia="Arial" w:hAnsi="Arial"/>
          <w:sz w:val="18"/>
          <w:szCs w:val="18"/>
          <w:color w:val="auto"/>
        </w:rPr>
        <w:t>Please see “The Merger—Interests of Smith’s Directors and Officers in the Merger” beginning on page [—] of this proxy statement/prospectus for additional information about those financial interests.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Schlumberger Stock and Delisting and Deregistration of Smith Stock (page [—])</w:t>
      </w:r>
    </w:p>
    <w:p>
      <w:pPr>
        <w:spacing w:after="0" w:line="96" w:lineRule="exact"/>
        <w:rPr>
          <w:sz w:val="20"/>
          <w:szCs w:val="20"/>
          <w:color w:val="auto"/>
        </w:rPr>
      </w:pPr>
    </w:p>
    <w:p>
      <w:pPr>
        <w:ind w:left="200" w:right="320" w:firstLine="443"/>
        <w:spacing w:after="0" w:line="306" w:lineRule="auto"/>
        <w:rPr>
          <w:sz w:val="20"/>
          <w:szCs w:val="20"/>
          <w:color w:val="auto"/>
        </w:rPr>
      </w:pPr>
      <w:r>
        <w:rPr>
          <w:rFonts w:ascii="Arial" w:cs="Arial" w:eastAsia="Arial" w:hAnsi="Arial"/>
          <w:sz w:val="16"/>
          <w:szCs w:val="16"/>
          <w:color w:val="auto"/>
        </w:rPr>
        <w:t>Schlumberger will apply to have the shares of its common stock to be issued in the merger approved for listing on the NYSE, where Schlumberger common stock is currently traded. If the merger is completed, Smith shares will no longer be listed on the NYSE, and will be deregistered under the Securities Exchange Act of 1934, as amended, which is referred to in this proxy statement/prospectus as the Exchange Act.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 (page [—])</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Delaware law, Smith stockholders will not have appraisal rights in connection with the merger.</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(page [—])</w:t>
      </w:r>
    </w:p>
    <w:p>
      <w:pPr>
        <w:spacing w:after="0" w:line="96"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i w:val="1"/>
          <w:iCs w:val="1"/>
          <w:color w:val="auto"/>
        </w:rPr>
        <w:t xml:space="preserve">Conditions to the Obligations of Each Party to Effect the Merger. </w:t>
      </w:r>
      <w:r>
        <w:rPr>
          <w:rFonts w:ascii="Arial" w:cs="Arial" w:eastAsia="Arial" w:hAnsi="Arial"/>
          <w:sz w:val="18"/>
          <w:szCs w:val="18"/>
          <w:color w:val="auto"/>
        </w:rPr>
        <w:t>The respective obligations of each party to effect the merger will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of the following conditions on or prior to the closing date:</w:t>
      </w:r>
    </w:p>
    <w:p>
      <w:pPr>
        <w:spacing w:after="0" w:line="51" w:lineRule="exact"/>
        <w:rPr>
          <w:sz w:val="20"/>
          <w:szCs w:val="20"/>
          <w:color w:val="auto"/>
        </w:rPr>
      </w:pPr>
    </w:p>
    <w:p>
      <w:pPr>
        <w:ind w:left="6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adoption of the merger agreement by Smith’s stockholders;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20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0209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40" w:right="40" w:hanging="211"/>
        <w:spacing w:after="0" w:line="306" w:lineRule="auto"/>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 the termination or expiration of any waiting period under the Hart-Scott-Rodino Antitrust Improvements Act of 1976, which is referred to as the HSR Act, and (2) the issuance by the European Commission of a decision under Council Regulation No. 4064/89 of the European Community, which is referred to as the EC Merger Regulation, declaring the merger compatible with the common market;</w:t>
      </w:r>
    </w:p>
    <w:p>
      <w:pPr>
        <w:spacing w:after="0" w:line="25" w:lineRule="exact"/>
        <w:rPr>
          <w:rFonts w:ascii="Arial" w:cs="Arial" w:eastAsia="Arial" w:hAnsi="Arial"/>
          <w:sz w:val="16"/>
          <w:szCs w:val="16"/>
          <w:color w:val="auto"/>
        </w:rPr>
      </w:pPr>
    </w:p>
    <w:p>
      <w:pPr>
        <w:ind w:left="840" w:hanging="211"/>
        <w:spacing w:after="0"/>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expiration, lapse or termination of all applicable waiting or other time periods under antitrust laws in other specified jurisdictions;</w:t>
      </w:r>
    </w:p>
    <w:p>
      <w:pPr>
        <w:spacing w:after="0" w:line="113" w:lineRule="exact"/>
        <w:rPr>
          <w:rFonts w:ascii="Arial" w:cs="Arial" w:eastAsia="Arial" w:hAnsi="Arial"/>
          <w:sz w:val="16"/>
          <w:szCs w:val="16"/>
          <w:color w:val="auto"/>
        </w:rPr>
      </w:pPr>
    </w:p>
    <w:p>
      <w:pPr>
        <w:ind w:left="840" w:right="80" w:hanging="211"/>
        <w:spacing w:after="0" w:line="268"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effectiveness of the registration statement that includes this prospectus, and the absence of any stop order or proceeding seeking a stop order;</w:t>
      </w:r>
    </w:p>
    <w:p>
      <w:pPr>
        <w:spacing w:after="0" w:line="113" w:lineRule="exact"/>
        <w:rPr>
          <w:rFonts w:ascii="Arial" w:cs="Arial" w:eastAsia="Arial" w:hAnsi="Arial"/>
          <w:sz w:val="16"/>
          <w:szCs w:val="16"/>
          <w:color w:val="auto"/>
        </w:rPr>
      </w:pPr>
    </w:p>
    <w:p>
      <w:pPr>
        <w:ind w:left="840" w:hanging="211"/>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90" w:lineRule="exact"/>
        <w:rPr>
          <w:rFonts w:ascii="Arial" w:cs="Arial" w:eastAsia="Arial" w:hAnsi="Arial"/>
          <w:sz w:val="18"/>
          <w:szCs w:val="18"/>
          <w:color w:val="auto"/>
        </w:rPr>
      </w:pPr>
    </w:p>
    <w:p>
      <w:pPr>
        <w:ind w:left="840" w:right="400" w:hanging="211"/>
        <w:spacing w:after="0" w:line="332" w:lineRule="auto"/>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performance in all material respects by each of Schlumberger and Merger Sub, on the one hand, and Smith, on the other hand, of its respective covenants and agreements required to be performed by it under the merger agreement at or prior to the closing date;</w:t>
      </w:r>
    </w:p>
    <w:p>
      <w:pPr>
        <w:spacing w:after="0" w:line="4" w:lineRule="exact"/>
        <w:rPr>
          <w:rFonts w:ascii="Arial" w:cs="Arial" w:eastAsia="Arial" w:hAnsi="Arial"/>
          <w:sz w:val="16"/>
          <w:szCs w:val="16"/>
          <w:color w:val="auto"/>
        </w:rPr>
      </w:pPr>
    </w:p>
    <w:p>
      <w:pPr>
        <w:ind w:left="840" w:right="40" w:hanging="211"/>
        <w:spacing w:after="0" w:line="332" w:lineRule="auto"/>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representations and warranties of Schlumberger and Merger Sub, on the one hand, and Smith, on the other hand, contained in the merger agreement being true and correct as of the date of the merger agreement and as of the closing date, subject to certain materiality thresholds; and</w:t>
      </w:r>
    </w:p>
    <w:p>
      <w:pPr>
        <w:spacing w:after="0" w:line="4" w:lineRule="exact"/>
        <w:rPr>
          <w:rFonts w:ascii="Arial" w:cs="Arial" w:eastAsia="Arial" w:hAnsi="Arial"/>
          <w:sz w:val="16"/>
          <w:szCs w:val="16"/>
          <w:color w:val="auto"/>
        </w:rPr>
      </w:pPr>
    </w:p>
    <w:p>
      <w:pPr>
        <w:ind w:left="840" w:right="80" w:hanging="211"/>
        <w:spacing w:after="0" w:line="254"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receipt of an opinion by Schlumberger and Smith from their respective counsel, in form and substance reasonably satisfactory to Schlumberger and Smith, respectively, dated as of the closing date, to the effect that for U.S. federal income tax purposes (1) the merger will be treated as a reorganization within the meaning of Section 368(a) of the Internal Revenue Code and (2) each transfer of Smith stock to Schlumberger by a stockholder of Smith pursuant to the merger (other than a stockholder of Smith that is a “five percent transferee shareholder” of Schlumberger, as defined in Treasury regulations promulgated under Section 367(a) of the Internal Revenue Code) will not be subject to Section 367(a)(1) of the Internal Revenue Code.</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 Required for the Merger (page [—])</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merger is subject to review by the Antitrust Division of the U.S. Department of Justice, which is referred to as the Antitrust Division, under the HSR Act. Under the HSR Act, Schlumberger and Smith are required to make premerger notification filings and to await the expiration or early termination of the statutory waiting period (and any extension of the waiting period) prior to completing the merger. On March 3, 2010, Schlumberger and Smith each filed a Premerger Notification and Report Form with the Antitrust Division and the Federal Trade Commission, which is referred to as the FTC. By agreement between the two agencies, the Antitrust Division is conducting the review. Prior to the expiration of the initial 30-day waiting period, on April 2, 2010, Schlumberger and Smith each received a request for additional information and documentary material, often referred to as a “second request,” from the Antitrust Division. Issuance of the second request extends the statutory waiting period until 30 days after such time as each of Schlumberger and Smith has certified substantial compliance with the second request, unless the Antitrust Division provides written notice that the transaction may close prior to that time. As of June 17, 2010, neither Schlumberger nor Smith had certified substantial compliance with the second request.</w:t>
      </w:r>
    </w:p>
    <w:p>
      <w:pPr>
        <w:spacing w:after="0" w:line="120" w:lineRule="exact"/>
        <w:rPr>
          <w:sz w:val="20"/>
          <w:szCs w:val="20"/>
          <w:color w:val="auto"/>
        </w:rPr>
      </w:pPr>
    </w:p>
    <w:p>
      <w:pPr>
        <w:ind w:left="200" w:right="480" w:firstLine="443"/>
        <w:spacing w:after="0" w:line="268"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market presence to require filings. As of the date of this proxy statement/</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prospectus, the parties have made certain antitrust filings in the European Union pursuant to the EC Merger Regulation, and in other jurisdictions.</w:t>
      </w:r>
    </w:p>
    <w:p>
      <w:pPr>
        <w:spacing w:after="0" w:line="194"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If the merger has not occurred on or before the “termination date” described below in “— Termination of the Merger Agreement” due to the failure to obtain regulatory clearances, or if an order, decree or ruling permanently prohibits the merger, the merger agreement may be terminated (subject in some circumstances to payment of a termination fee, as described below).</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Smith (page [—])</w:t>
      </w:r>
    </w:p>
    <w:p>
      <w:pPr>
        <w:spacing w:after="0" w:line="96" w:lineRule="exact"/>
        <w:rPr>
          <w:sz w:val="20"/>
          <w:szCs w:val="20"/>
          <w:color w:val="auto"/>
        </w:rPr>
      </w:pPr>
    </w:p>
    <w:p>
      <w:pPr>
        <w:ind w:left="200" w:right="500" w:firstLine="443"/>
        <w:spacing w:after="0" w:line="332" w:lineRule="auto"/>
        <w:rPr>
          <w:sz w:val="20"/>
          <w:szCs w:val="20"/>
          <w:color w:val="auto"/>
        </w:rPr>
      </w:pPr>
      <w:r>
        <w:rPr>
          <w:rFonts w:ascii="Arial" w:cs="Arial" w:eastAsia="Arial" w:hAnsi="Arial"/>
          <w:sz w:val="16"/>
          <w:szCs w:val="16"/>
          <w:color w:val="auto"/>
        </w:rPr>
        <w:t>Under the merger agreement, Smith has agreed not to (and to direct and use its reasonable best efforts to cause its officers, directors, employees, investment bankers, consultants, attorneys, accountants, advisors, agents and other representatives not to), among other things:</w:t>
      </w:r>
    </w:p>
    <w:p>
      <w:pPr>
        <w:spacing w:after="0" w:line="4" w:lineRule="exact"/>
        <w:rPr>
          <w:sz w:val="20"/>
          <w:szCs w:val="20"/>
          <w:color w:val="auto"/>
        </w:rPr>
      </w:pPr>
    </w:p>
    <w:p>
      <w:pPr>
        <w:ind w:left="840" w:hanging="211"/>
        <w:spacing w:after="0"/>
        <w:tabs>
          <w:tab w:leader="none" w:pos="8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solicit, initiate, knowingly encourage or knowingly facilitate, or participate in discussions regarding, any competing acquisition proposal;</w:t>
      </w:r>
    </w:p>
    <w:p>
      <w:pPr>
        <w:spacing w:after="0" w:line="113" w:lineRule="exact"/>
        <w:rPr>
          <w:rFonts w:ascii="Arial" w:cs="Arial" w:eastAsia="Arial" w:hAnsi="Arial"/>
          <w:sz w:val="16"/>
          <w:szCs w:val="16"/>
          <w:color w:val="auto"/>
        </w:rPr>
      </w:pPr>
    </w:p>
    <w:p>
      <w:pPr>
        <w:ind w:left="840" w:right="300" w:hanging="211"/>
        <w:spacing w:after="0" w:line="268"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nonpublic information regarding Smith or access to Smith’s properties, books or records to a third party in connection with a competing acquisition proposal; or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approve or recommend a competing acquisition proposal.</w:t>
      </w:r>
    </w:p>
    <w:p>
      <w:pPr>
        <w:spacing w:after="0" w:line="171"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However, before the adoption of the merger agreement by the Smith stockholders, Smith may, under certain circumstances, engage in negotiations with and provide information regarding Smith to a third party making an unsolicited, written acquisition proposal that Smith’s board of directors concludes in good faith is reasonably likely to be superior to the merger. Under the merger agreement, Smith is required to notify Schlumberger if it receives any competing acquisition proposal or request for information in connection with such a proposal. Additionally, before the adoption of the merger agreement by the Smith stockholders, the Smith board of directors may withdraw its recommendation of the merger if it determines in good faith, after consultation with its outside legal counsel and financial advisors, that a failure to change its recommendation would be inconsistent with its fiduciary duties. To date, Smith has not received any competing acquisition proposals.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(page [—])</w:t>
      </w:r>
    </w:p>
    <w:p>
      <w:pPr>
        <w:spacing w:after="0" w:line="9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The merger agreement may be terminated at any time prior to the effective time of the merger, notwithstanding the adoption of the merger agreement by Smith’s stockholders:</w:t>
      </w:r>
    </w:p>
    <w:p>
      <w:pPr>
        <w:spacing w:after="0" w:line="51" w:lineRule="exact"/>
        <w:rPr>
          <w:sz w:val="20"/>
          <w:szCs w:val="20"/>
          <w:color w:val="auto"/>
        </w:rPr>
      </w:pPr>
    </w:p>
    <w:p>
      <w:pPr>
        <w:ind w:left="840" w:hanging="21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mutual written agreement of Schlumberger and Smith;</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either Schlumberger or Smith if:</w:t>
      </w:r>
    </w:p>
    <w:p>
      <w:pPr>
        <w:spacing w:after="0" w:line="90" w:lineRule="exact"/>
        <w:rPr>
          <w:rFonts w:ascii="Arial" w:cs="Arial" w:eastAsia="Arial" w:hAnsi="Arial"/>
          <w:sz w:val="18"/>
          <w:szCs w:val="18"/>
          <w:color w:val="auto"/>
        </w:rPr>
      </w:pPr>
    </w:p>
    <w:p>
      <w:pPr>
        <w:ind w:left="1080" w:right="40" w:hanging="221"/>
        <w:spacing w:after="0" w:line="268"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merger has not occurred on or before the “termination date,” February 21, 2011, which termination date may, subject to specified conditions, at the option of either Schlumberger or Smith, be extended to a date not later than May 31, 2011;</w:t>
      </w:r>
    </w:p>
    <w:p>
      <w:pPr>
        <w:spacing w:after="0" w:line="50" w:lineRule="exact"/>
        <w:rPr>
          <w:rFonts w:ascii="Arial" w:cs="Arial" w:eastAsia="Arial" w:hAnsi="Arial"/>
          <w:sz w:val="18"/>
          <w:szCs w:val="18"/>
          <w:color w:val="auto"/>
        </w:rPr>
      </w:pPr>
    </w:p>
    <w:p>
      <w:pPr>
        <w:ind w:left="1080" w:hanging="221"/>
        <w:spacing w:after="0"/>
        <w:tabs>
          <w:tab w:leader="none" w:pos="1080"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Smith stockholders do not adopt the merger agreement at the annual meeting or any adjournment or postponement of the annual meeting; or</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44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Smith if:</w:t>
      </w:r>
    </w:p>
    <w:p>
      <w:pPr>
        <w:spacing w:after="0" w:line="90" w:lineRule="exact"/>
        <w:rPr>
          <w:rFonts w:ascii="Arial" w:cs="Arial" w:eastAsia="Arial" w:hAnsi="Arial"/>
          <w:sz w:val="18"/>
          <w:szCs w:val="18"/>
          <w:color w:val="auto"/>
        </w:rPr>
      </w:pPr>
    </w:p>
    <w:p>
      <w:pPr>
        <w:ind w:left="1080" w:right="26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Schlumberger is in breach of the merger agreement such that the conditions set forth in the merger agreement would not be satisfied and such breach is not curable prior to the termination date, or</w:t>
      </w:r>
    </w:p>
    <w:p>
      <w:pPr>
        <w:spacing w:after="0" w:line="50" w:lineRule="exact"/>
        <w:rPr>
          <w:rFonts w:ascii="Arial" w:cs="Arial" w:eastAsia="Arial" w:hAnsi="Arial"/>
          <w:sz w:val="18"/>
          <w:szCs w:val="18"/>
          <w:color w:val="auto"/>
        </w:rPr>
      </w:pPr>
    </w:p>
    <w:p>
      <w:pPr>
        <w:ind w:left="1080" w:right="20" w:hanging="221"/>
        <w:spacing w:after="0" w:line="256"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Smith has received an acquisition proposal that Smith’s board of directors determines in good faith to be superior to the merger and reasonably likely to be consummated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or</w:t>
      </w:r>
    </w:p>
    <w:p>
      <w:pPr>
        <w:spacing w:after="0" w:line="62" w:lineRule="exact"/>
        <w:rPr>
          <w:rFonts w:ascii="Arial" w:cs="Arial" w:eastAsia="Arial" w:hAnsi="Arial"/>
          <w:sz w:val="18"/>
          <w:szCs w:val="18"/>
          <w:color w:val="auto"/>
        </w:rPr>
      </w:pPr>
    </w:p>
    <w:p>
      <w:pPr>
        <w:ind w:left="840" w:hanging="21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90" w:lineRule="exact"/>
        <w:rPr>
          <w:rFonts w:ascii="Arial" w:cs="Arial" w:eastAsia="Arial" w:hAnsi="Arial"/>
          <w:sz w:val="18"/>
          <w:szCs w:val="18"/>
          <w:color w:val="auto"/>
        </w:rPr>
      </w:pPr>
    </w:p>
    <w:p>
      <w:pPr>
        <w:ind w:left="1080" w:right="14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Smith is in breach of the merger agreement such that the conditions set forth in the merger agreement would not be satisfied and such breach is not curable prior to the termination date, or</w:t>
      </w:r>
    </w:p>
    <w:p>
      <w:pPr>
        <w:spacing w:after="0" w:line="50" w:lineRule="exact"/>
        <w:rPr>
          <w:rFonts w:ascii="Arial" w:cs="Arial" w:eastAsia="Arial" w:hAnsi="Arial"/>
          <w:sz w:val="18"/>
          <w:szCs w:val="18"/>
          <w:color w:val="auto"/>
        </w:rPr>
      </w:pPr>
    </w:p>
    <w:p>
      <w:pPr>
        <w:ind w:left="1080" w:right="78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Smith board of directors fails to recommend the merger to Smith stockholders or there is a change in the Smith board of directors’ recommendation.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Fees and Expenses (page [—])</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merger agreement provides for the payment of termination fees by one party to the other if the agreement is terminated in specified circumstances.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Smith will be obligated to pay Schlumberger a $340 million termination fee if:</w:t>
      </w:r>
    </w:p>
    <w:p>
      <w:pPr>
        <w:spacing w:after="0" w:line="90" w:lineRule="exact"/>
        <w:rPr>
          <w:sz w:val="20"/>
          <w:szCs w:val="20"/>
          <w:color w:val="auto"/>
        </w:rPr>
      </w:pPr>
    </w:p>
    <w:p>
      <w:pPr>
        <w:ind w:left="840" w:hanging="211"/>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Smith’s stockholder approval is not obtained and:</w:t>
      </w:r>
    </w:p>
    <w:p>
      <w:pPr>
        <w:spacing w:after="0" w:line="90" w:lineRule="exact"/>
        <w:rPr>
          <w:rFonts w:ascii="Arial" w:cs="Arial" w:eastAsia="Arial" w:hAnsi="Arial"/>
          <w:sz w:val="18"/>
          <w:szCs w:val="18"/>
          <w:color w:val="auto"/>
        </w:rPr>
      </w:pPr>
    </w:p>
    <w:p>
      <w:pPr>
        <w:ind w:left="1080" w:hanging="221"/>
        <w:spacing w:after="0"/>
        <w:tabs>
          <w:tab w:leader="none" w:pos="10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13" w:lineRule="exact"/>
        <w:rPr>
          <w:rFonts w:ascii="Arial" w:cs="Arial" w:eastAsia="Arial" w:hAnsi="Arial"/>
          <w:sz w:val="16"/>
          <w:szCs w:val="16"/>
          <w:color w:val="auto"/>
        </w:rPr>
      </w:pPr>
    </w:p>
    <w:p>
      <w:pPr>
        <w:ind w:left="1080" w:hanging="221"/>
        <w:spacing w:after="0"/>
        <w:tabs>
          <w:tab w:leader="none" w:pos="10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within one year after the date of termination, Smith enters into a definitive agreement with respect to, or consummates, an acquisition proposal;</w:t>
      </w:r>
    </w:p>
    <w:p>
      <w:pPr>
        <w:spacing w:after="0" w:line="113" w:lineRule="exact"/>
        <w:rPr>
          <w:rFonts w:ascii="Arial" w:cs="Arial" w:eastAsia="Arial" w:hAnsi="Arial"/>
          <w:sz w:val="16"/>
          <w:szCs w:val="16"/>
          <w:color w:val="auto"/>
        </w:rPr>
      </w:pPr>
    </w:p>
    <w:p>
      <w:pPr>
        <w:ind w:left="840" w:right="300" w:hanging="211"/>
        <w:spacing w:after="0" w:line="268" w:lineRule="auto"/>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Smith terminates the merger agreement prior to obtaining the approval of Smith stockholders in order to enter into an agreement providing for a superior proposal; or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Smith board of directors fails to recommend its approval of the merger or there is a change in the Smith board of directors’ recommendation.</w:t>
      </w:r>
    </w:p>
    <w:p>
      <w:pPr>
        <w:spacing w:after="0" w:line="194"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Schlumberger will be obligated to pay a $615 million termination fee if the merger agreement is terminated by Smith or Schlumberger as a result of an order, decree, ruling or other action prohibiting the merger under certain antitrust or competition laws or because the merger has not been consummated on or before the termination date, and all other conditions to the merger (except for those that, by their nature, cannot be satisfied until closing but remain capable of satisfaction) have been satisfied or waived as of the date of such termination.</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merger agreement generally provides that all expenses incurred by the parties will be borne by the party that has incurred such expenses.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under specified circumstances either party may be required to reimburse the other party for its expenses of up to $10 million.</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Dividends and Stock Repurchases (page [—])</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Schlumberger has paid quarterly cash dividends of $0.210 per share since the first quarter of 2008. Prior to the first quarter of 2008, Schlumberger paid quarterly cash dividends of $0.175 per share. Schlumberger is not prohibited under the terms of the merger agreement from paying quarterly dividends consistent with past practice. On April 22, 2010, Schlumberger’s board of directors declared the $0.210 per share quarterly dividend, payable on July 2, 2010 to holders of record on June 2, 2010.</w:t>
      </w:r>
    </w:p>
    <w:p>
      <w:pPr>
        <w:spacing w:after="0" w:line="143"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Schlumberger common stock, to be acquired in the open market before December 31, 2011. Schlumberger is not prohibited from making repurchases under the share repurchase program by the terms of the merger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Smith</w:t>
      </w:r>
    </w:p>
    <w:p>
      <w:pPr>
        <w:spacing w:after="0" w:line="90" w:lineRule="exact"/>
        <w:rPr>
          <w:sz w:val="20"/>
          <w:szCs w:val="20"/>
          <w:color w:val="auto"/>
        </w:rPr>
      </w:pPr>
    </w:p>
    <w:p>
      <w:pPr>
        <w:ind w:left="200" w:right="60" w:firstLine="443"/>
        <w:spacing w:after="0" w:line="294" w:lineRule="auto"/>
        <w:rPr>
          <w:sz w:val="20"/>
          <w:szCs w:val="20"/>
          <w:color w:val="auto"/>
        </w:rPr>
      </w:pPr>
      <w:r>
        <w:rPr>
          <w:rFonts w:ascii="Arial" w:cs="Arial" w:eastAsia="Arial" w:hAnsi="Arial"/>
          <w:sz w:val="16"/>
          <w:szCs w:val="16"/>
          <w:color w:val="auto"/>
        </w:rPr>
        <w:t>Smith makes regular quarterly distributions under a cash dividend program. The Smith board of directors declared dividends of $0.12 per share, $0.12 per share and $0.10 per share for each quarter during the years ended December 31, 2009, 2008 and 2007, respectively. Under the terms of the merger agreement, during the period before the closing of the merger, Smith is prohibited from paying any dividends other than regular quarterly dividends not exceeding $0.12 per share without the consent of Schlumberger. On April 22, 2010, Smith’s board of directors declared the $0.12 per share quarterly dividend, payable on July 12, 2010 to holders of record on June 11, 2010.</w:t>
      </w:r>
    </w:p>
    <w:p>
      <w:pPr>
        <w:spacing w:after="0" w:line="116" w:lineRule="exact"/>
        <w:rPr>
          <w:sz w:val="20"/>
          <w:szCs w:val="20"/>
          <w:color w:val="auto"/>
        </w:rPr>
      </w:pPr>
    </w:p>
    <w:p>
      <w:pPr>
        <w:ind w:left="200" w:right="100" w:firstLine="443"/>
        <w:spacing w:after="0" w:line="306" w:lineRule="auto"/>
        <w:rPr>
          <w:sz w:val="20"/>
          <w:szCs w:val="20"/>
          <w:color w:val="auto"/>
        </w:rPr>
      </w:pPr>
      <w:r>
        <w:rPr>
          <w:rFonts w:ascii="Arial" w:cs="Arial" w:eastAsia="Arial" w:hAnsi="Arial"/>
          <w:sz w:val="16"/>
          <w:szCs w:val="16"/>
          <w:color w:val="auto"/>
        </w:rPr>
        <w:t>The Smith board of directors approved a share repurchase program that allows for the purchase of up to 20 million shares of Smith common stock, subject to regulatory issues, market considerations and other relevant factors. Under the terms of the merger agreement, during the period before the closing of the merger, Smith is prohibited from making repurchases under the share repurchase program without the consent of Schlumberger.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Smith Stockholders Will Change as a Result of the Merger (page [—])</w:t>
      </w:r>
    </w:p>
    <w:p>
      <w:pPr>
        <w:spacing w:after="0" w:line="96"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color w:val="auto"/>
        </w:rPr>
        <w:t>Smith stockholders will have different rights once they become Schlumberger stockholders due to differences between Delaware corporate law and Netherlands Antilles law and the organizational documents of Schlumberger and Smith.</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(page [—])</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merger is intended to qualify as a reorganization within the meaning of Section 368(a) of the Internal Revenue Code and it is a condition to the completion of the merger that Smith and Schlumberger each receive a written opinion from its respective counsel, in form and substance reasonably satisfactory to Smith and Schlumberger, respectively, dated as of the date of completion of the merger, to the effect that, for U.S. federal income tax purposes, (1) the merger will be treated as a reorganization within the meaning of Section 368(a) of the Internal Revenue Code and (2) each transfer of Smith stock to Schlumberger by a stockholder of Smith pursuant to the merger (other than a stockholder of Smith that is a “five percent transferee shareholder” of Schlumberger, as defined in Treasury regulations promulgated under Section 367(a) of the Internal Revenue Code) will not be subject to Section 367(a)(1) of the Internal Revenue Code. Accordingly, Schlumberger and Smith expect that, for U.S. federal income tax purposes, holders of Smith common stock generally will not recognize any gain or loss on the exchange of their shares of Smith common stock for Schlumberger common stock in the merger, except with respect to any cash received in lieu of a fractional share of Schlumberger common stock.</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b w:val="1"/>
          <w:bCs w:val="1"/>
          <w:i w:val="1"/>
          <w:iCs w:val="1"/>
          <w:color w:val="auto"/>
        </w:rPr>
        <w:t>Please refer to “The Merger—Material U.S. Federal Income Tax Consequences” beginning on page [—]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(page [—])</w:t>
      </w:r>
    </w:p>
    <w:p>
      <w:pPr>
        <w:spacing w:after="0" w:line="96" w:lineRule="exact"/>
        <w:rPr>
          <w:sz w:val="20"/>
          <w:szCs w:val="20"/>
          <w:color w:val="auto"/>
        </w:rPr>
      </w:pPr>
    </w:p>
    <w:p>
      <w:pPr>
        <w:ind w:left="200" w:right="380" w:firstLine="443"/>
        <w:spacing w:after="0" w:line="268" w:lineRule="auto"/>
        <w:rPr>
          <w:sz w:val="20"/>
          <w:szCs w:val="20"/>
          <w:color w:val="auto"/>
        </w:rPr>
      </w:pPr>
      <w:r>
        <w:rPr>
          <w:rFonts w:ascii="Arial" w:cs="Arial" w:eastAsia="Arial" w:hAnsi="Arial"/>
          <w:sz w:val="18"/>
          <w:szCs w:val="18"/>
          <w:color w:val="auto"/>
        </w:rPr>
        <w:t>In accordance with accounting principles generally accepted in the United States, Schlumberger will account for the merger as an acquisition of a business.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(page [— ])</w:t>
      </w:r>
    </w:p>
    <w:p>
      <w:pPr>
        <w:spacing w:after="0" w:line="96" w:lineRule="exact"/>
        <w:rPr>
          <w:sz w:val="20"/>
          <w:szCs w:val="20"/>
          <w:color w:val="auto"/>
        </w:rPr>
      </w:pPr>
    </w:p>
    <w:p>
      <w:pPr>
        <w:ind w:left="200" w:right="20" w:firstLine="443"/>
        <w:spacing w:after="0" w:line="285" w:lineRule="auto"/>
        <w:rPr>
          <w:sz w:val="20"/>
          <w:szCs w:val="20"/>
          <w:color w:val="auto"/>
        </w:rPr>
      </w:pPr>
      <w:r>
        <w:rPr>
          <w:rFonts w:ascii="Arial" w:cs="Arial" w:eastAsia="Arial" w:hAnsi="Arial"/>
          <w:sz w:val="16"/>
          <w:szCs w:val="16"/>
          <w:color w:val="auto"/>
        </w:rPr>
        <w:t>Subsequent to the announcement of the merger, five putative class action lawsuits were commenced on behalf of stockholders of Smith against Smith and its directors, and in certain cases against Schlumberger and one of its affiliates, challenging the merger. Four of the lawsuits were filed in the District Court of Harris County, Texas, and have been consolidated into a single action in the 164th District Court of Harris County, Texas (the “Texas Action”), and one lawsuit is pending in the Delaware Court of Chancery (the “Delaware Action,” and collectively with the Texas Action, the “Actions”). The parties in the Texas Action and Delaware Action have agreed to an expedited discovery schedule and to the coordination of pleadings and discovery in advance of any preliminary injunction hearing, which will be heard only in the Texas Action. On April 19, 2010, the court in the Delaware Action approved the parties’ agreement concerning the coordination of the Texas and Delaware Actions and agreed to otherwise stay the Delaware proceedings through any preliminary injunction hearing in Texas. Plaintiffs in the Texas and Delaware Actions have served a consolidated amended petition for breach of fiduciary duty and a verified amended class action complaint, respectively. The amended pleadings are substantively similar and allege that Smith’s directors breached their fiduciary duties by, among other things, causing Smith to enter into the merger agreement at an allegedly inadequate and unfair price, agreeing to transaction terms that improperly inhibit alternative transactions and failing to provide material information to Smith’s stockholders in the proxy statement filed in connection with the merger. Specifically, the pleadings allege that the proxy statement omits material information relating to, among other things: the analyses performed by, and the information relied upon by, UBS; any strategic alternatives to the merger considered by UBS; UBS’s involvement in the negotiations between Smith and Schlumberger; the fee to be paid to UBS in connection with the merger; and any negotiations or plans concerning the employment of Smith management after consummation of the merger. The pleadings also allege that Smith and Schlumberger aided and abetted the directors’ breaches of fiduciary duties. The pleadings seek, among other things, an injunction barring defendants from consummating the proposed transaction, declaratory relief and attorneys’ fees.</w:t>
      </w:r>
    </w:p>
    <w:p>
      <w:pPr>
        <w:spacing w:after="0" w:line="121"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On May 28, 2010, a purported Smith stockholder filed an individual lawsuit in the United States District Court for the Southern District of Texas, Houston Division, against Smith and its directors, alleging that Smith had disseminated a false and materially misleading proxy statement in connection with the merger in violation of Sections 14(a) and 20(a) of the Securities Exchange Act of 1934 and the rules promulgated thereunder. The lawsuit alleges that the proxy statement omits and/or misrepresents material information relating to, among other things: negotiations, if any, with other potential acquirers of Smith; any “market check” conducted by Smith in connection with the merger; any strategic alternatives considered by Smith’s directors in connection with the merger; whether the merger consideration includes any compensation for the synergies to be achieved in the merger; the financial information and forecasts provided by Smith’s directors to UBS in connection with its fairness opinion; the discounted cash flow, comparable transaction and selected companies analyses performed by UBS; and business ties between any of Smith’s directors and Schlumberger. The complaint seeks, among other things, injunctive relief, compensatory damages and reasonable costs and expenses incurred in the action, including counsel fees and expert fees.</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813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8135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Smith and Schlumberger believe that the lawsuits in which they are named are without merit and intend to defend the lawsuits vigorously.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owned by Transocean Ltd. and under contract to a subsidiary of BP plc. Pursuant to a contract between M-I SWACO (a joint venture 60% owned by Smith and 40% owned by Schlumberger) and BP for the provision of certain services by M-I SWACO under the direction of BP, five employees of M-I SWACO were aboard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at the time of the incident and unfortunately two of them were killed (the other three were uninjured). Several legal actions, certain of which name Schlumberger and an M-I SWACO entity as defendants, have been filed in connection with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and additional legal actions are likely to be filed in the future. The parties are currently investigating the incident and the liabilities that could potentially arise therefrom, and are assessing the availability of contractual indemnities and insurance coverage. However, the information currently known indicates that the amount of any potential loss that M-I SWACO could face with respect to any potential liabilities related to the incident would not be material.</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00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4000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Schlumberger</w:t>
      </w:r>
    </w:p>
    <w:p>
      <w:pPr>
        <w:spacing w:after="0" w:line="177" w:lineRule="exact"/>
        <w:rPr>
          <w:sz w:val="20"/>
          <w:szCs w:val="20"/>
          <w:color w:val="auto"/>
        </w:rPr>
      </w:pPr>
    </w:p>
    <w:p>
      <w:pPr>
        <w:ind w:left="200" w:right="60" w:firstLine="443"/>
        <w:spacing w:after="0" w:line="312" w:lineRule="auto"/>
        <w:rPr>
          <w:sz w:val="20"/>
          <w:szCs w:val="20"/>
          <w:color w:val="auto"/>
        </w:rPr>
      </w:pPr>
      <w:r>
        <w:rPr>
          <w:rFonts w:ascii="Arial" w:cs="Arial" w:eastAsia="Arial" w:hAnsi="Arial"/>
          <w:sz w:val="15"/>
          <w:szCs w:val="15"/>
          <w:color w:val="auto"/>
        </w:rPr>
        <w:t>The following table sets forth Schlumberger’s selected consolidated historical financial information that has been derived from Schlumberger’s consolidated financial statements as of December 31, 2009, 2008, 2007, 2006 and 2005 and for the years then ended and as of March 31, 2010 and 2009 and for the three months then ended. This disclosure does not include the effects of the merger. You should read this financial information in conjunction with “Management’s Discussion and Analysis of Financial Condition and Results of Operations” and the consolidated financial statements and notes thereto in Schlumberger’s Annual Report on Form 10-K for the year ended December 31, 2009 and in its Quarterly Report on Form 10-Q for the three months ended March 31, 2010 incorporated by reference in this document. See also the pro forma information set forth elsewhere in this proxy statement/prospectus regarding the proposed merger with Smith. Schlumberger’s historical results are not necessarily indicative of results to be expected in future periods.</w:t>
      </w:r>
    </w:p>
    <w:p>
      <w:pPr>
        <w:spacing w:after="0" w:line="12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As of/For the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88"/>
              </w:rPr>
              <w:t>As of/For the Years Ended 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2"/>
        </w:trPr>
        <w:tc>
          <w:tcPr>
            <w:tcW w:w="5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r>
      <w:tr>
        <w:trPr>
          <w:trHeight w:val="156"/>
        </w:trPr>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right"/>
              <w:ind w:right="320"/>
              <w:spacing w:after="0" w:line="155" w:lineRule="exact"/>
              <w:rPr>
                <w:sz w:val="20"/>
                <w:szCs w:val="20"/>
                <w:color w:val="auto"/>
              </w:rPr>
            </w:pPr>
            <w:r>
              <w:rPr>
                <w:rFonts w:ascii="Arial" w:cs="Arial" w:eastAsia="Arial" w:hAnsi="Arial"/>
                <w:sz w:val="14"/>
                <w:szCs w:val="14"/>
                <w:b w:val="1"/>
                <w:bCs w:val="1"/>
                <w:color w:val="auto"/>
                <w:w w:val="92"/>
              </w:rPr>
              <w:t>(In millions, except per share data)</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6,000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22,702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27,163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23,277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19,230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14,309</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102"/>
        </w:trPr>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6,311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6,391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4,811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3,551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32,883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33,465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32,094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27,853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22,832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18,077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1,857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2,834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Schlumberger stockholders’ equity</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19,428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19,120</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16,862</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14,876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10,420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7,592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bl>
    <w:p>
      <w:pPr>
        <w:spacing w:after="0" w:line="140" w:lineRule="exact"/>
        <w:rPr>
          <w:sz w:val="20"/>
          <w:szCs w:val="20"/>
          <w:color w:val="auto"/>
        </w:rPr>
      </w:pPr>
    </w:p>
    <w:p>
      <w:pPr>
        <w:ind w:left="620" w:right="120" w:hanging="423"/>
        <w:spacing w:after="0" w:line="370" w:lineRule="auto"/>
        <w:tabs>
          <w:tab w:leader="none" w:pos="6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68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3768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Smith</w:t>
      </w:r>
    </w:p>
    <w:p>
      <w:pPr>
        <w:spacing w:after="0" w:line="177" w:lineRule="exact"/>
        <w:rPr>
          <w:sz w:val="20"/>
          <w:szCs w:val="20"/>
          <w:color w:val="auto"/>
        </w:rPr>
      </w:pPr>
    </w:p>
    <w:p>
      <w:pPr>
        <w:ind w:left="200" w:right="300" w:firstLine="443"/>
        <w:spacing w:after="0" w:line="312" w:lineRule="auto"/>
        <w:rPr>
          <w:sz w:val="20"/>
          <w:szCs w:val="20"/>
          <w:color w:val="auto"/>
        </w:rPr>
      </w:pPr>
      <w:r>
        <w:rPr>
          <w:rFonts w:ascii="Arial" w:cs="Arial" w:eastAsia="Arial" w:hAnsi="Arial"/>
          <w:sz w:val="15"/>
          <w:szCs w:val="15"/>
          <w:color w:val="auto"/>
        </w:rPr>
        <w:t>The following table sets forth Smith’s selected consolidated historical financial information that has been derived from Smith’s consolidated financial statements as of December 31, 2009, 2008, 2007, 2006 and 2005 and for the years then ended and as of March 31, 2010 and 2009 and for the three months then ended. This disclosure does not include the effects of the merger. You should read this financial information in conjunction with “Management’s Discussion and Analysis of Financial Condition and Results of Operations” and the consolidated financial statements and notes thereto in Smith’s Annual Report on Form 10-K, as amended, for the year ended December 31, 2009 and in its Quarterly Report on Form 10-Q for the three months ended March 31, 2010 incorporated by reference in this document. See also the pro forma information set forth elsewhere in this proxy statement/prospectus regarding the proposed merger with Schlumberger. Smith’s historical results are not necessarily indicative of results to be expected in future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As of/For the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10"/>
          </w:tcPr>
          <w:p>
            <w:pPr>
              <w:ind w:left="40"/>
              <w:spacing w:after="0"/>
              <w:rPr>
                <w:sz w:val="20"/>
                <w:szCs w:val="20"/>
                <w:color w:val="auto"/>
              </w:rPr>
            </w:pPr>
            <w:r>
              <w:rPr>
                <w:rFonts w:ascii="Arial" w:cs="Arial" w:eastAsia="Arial" w:hAnsi="Arial"/>
                <w:sz w:val="14"/>
                <w:szCs w:val="14"/>
                <w:b w:val="1"/>
                <w:bCs w:val="1"/>
                <w:color w:val="auto"/>
                <w:w w:val="91"/>
              </w:rPr>
              <w:t>As of/For the Years Ended December 31,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9"/>
          </w:tcPr>
          <w:p>
            <w:pPr>
              <w:jc w:val="right"/>
              <w:ind w:right="320"/>
              <w:spacing w:after="0" w:line="142" w:lineRule="exact"/>
              <w:rPr>
                <w:sz w:val="20"/>
                <w:szCs w:val="20"/>
                <w:color w:val="auto"/>
              </w:rPr>
            </w:pPr>
            <w:r>
              <w:rPr>
                <w:rFonts w:ascii="Arial" w:cs="Arial" w:eastAsia="Arial" w:hAnsi="Arial"/>
                <w:sz w:val="14"/>
                <w:szCs w:val="14"/>
                <w:b w:val="1"/>
                <w:bCs w:val="1"/>
                <w:color w:val="auto"/>
                <w:w w:val="86"/>
              </w:rPr>
              <w:t>(In millions, except per share data)</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STATEMENTS OF OPERATIONS DATA</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2,411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8,219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8,764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7,334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5,579</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2,856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2,344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1,370</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1,080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Smith</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Earnings per share — diluted basis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r>
      <w:tr>
        <w:trPr>
          <w:trHeight w:val="102"/>
        </w:trPr>
        <w:tc>
          <w:tcPr>
            <w:tcW w:w="2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Working capital</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2,554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1,892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1,504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10,403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10,739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10,816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6,062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5,335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4,060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Smith stockholders’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2,595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1,579</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Cash dividends declared per common share</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9"/>
                <w:szCs w:val="19"/>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44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347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4034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177" w:lineRule="exact"/>
        <w:rPr>
          <w:sz w:val="20"/>
          <w:szCs w:val="20"/>
          <w:color w:val="auto"/>
        </w:rPr>
      </w:pPr>
    </w:p>
    <w:p>
      <w:pPr>
        <w:jc w:val="both"/>
        <w:ind w:left="200" w:right="360" w:firstLine="443"/>
        <w:spacing w:after="0" w:line="335" w:lineRule="auto"/>
        <w:rPr>
          <w:sz w:val="20"/>
          <w:szCs w:val="20"/>
          <w:color w:val="auto"/>
        </w:rPr>
      </w:pPr>
      <w:r>
        <w:rPr>
          <w:rFonts w:ascii="Arial" w:cs="Arial" w:eastAsia="Arial" w:hAnsi="Arial"/>
          <w:sz w:val="15"/>
          <w:szCs w:val="15"/>
          <w:color w:val="auto"/>
        </w:rPr>
        <w:t>The unaudited pro forma condensed combined statements of income information for the three months ended March 31, 2010 and for the year ended December 31, 2009 have been prepared to give effect to the merger as if it had occurred on January 1, 2009. The unaudited pro forma condensed combined balance sheet information of Schlumberger as of March 31, 2010 has been prepared to give effect to the merger as if it had occurred on March 31, 2010.</w:t>
      </w:r>
    </w:p>
    <w:p>
      <w:pPr>
        <w:spacing w:after="0" w:line="88" w:lineRule="exact"/>
        <w:rPr>
          <w:sz w:val="20"/>
          <w:szCs w:val="20"/>
          <w:color w:val="auto"/>
        </w:rPr>
      </w:pPr>
    </w:p>
    <w:p>
      <w:pPr>
        <w:ind w:left="200" w:right="260" w:firstLine="443"/>
        <w:spacing w:after="0" w:line="253"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“Risk Factors.” The following selected unaudited pro forma condensed combined financial information should be read in conjunction with the “Unaudited Pro Forma Condensed Combined Financial Statements” and related notes included elsewhere in this proxy statement/prospectus.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2"/>
          </w:tcPr>
          <w:p>
            <w:pPr>
              <w:jc w:val="right"/>
              <w:ind w:right="1232"/>
              <w:spacing w:after="0"/>
              <w:rPr>
                <w:sz w:val="20"/>
                <w:szCs w:val="20"/>
                <w:color w:val="auto"/>
              </w:rPr>
            </w:pPr>
            <w:r>
              <w:rPr>
                <w:rFonts w:ascii="Arial" w:cs="Arial" w:eastAsia="Arial" w:hAnsi="Arial"/>
                <w:sz w:val="14"/>
                <w:szCs w:val="14"/>
                <w:b w:val="1"/>
                <w:bCs w:val="1"/>
                <w:color w:val="auto"/>
                <w:w w:val="90"/>
              </w:rPr>
              <w:t>March 31, 2010</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December 31, 2009</w:t>
            </w:r>
          </w:p>
        </w:tc>
      </w:tr>
      <w:tr>
        <w:trPr>
          <w:trHeight w:val="142"/>
        </w:trPr>
        <w:tc>
          <w:tcPr>
            <w:tcW w:w="20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except per share</w:t>
            </w: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Statement of Income Information: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052"/>
              <w:spacing w:after="0"/>
              <w:rPr>
                <w:sz w:val="20"/>
                <w:szCs w:val="20"/>
                <w:color w:val="auto"/>
              </w:rPr>
            </w:pPr>
            <w:r>
              <w:rPr>
                <w:rFonts w:ascii="Arial" w:cs="Arial" w:eastAsia="Arial" w:hAnsi="Arial"/>
                <w:sz w:val="18"/>
                <w:szCs w:val="18"/>
                <w:color w:val="auto"/>
              </w:rPr>
              <w:t>7,681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30,711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Schlumberger/Smith</w:t>
            </w: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52"/>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 attributable to Schlumberger/Smith</w:t>
            </w:r>
          </w:p>
        </w:tc>
        <w:tc>
          <w:tcPr>
            <w:tcW w:w="140" w:type="dxa"/>
            <w:vAlign w:val="bottom"/>
          </w:tcPr>
          <w:p>
            <w:pPr>
              <w:spacing w:after="0"/>
              <w:rPr>
                <w:sz w:val="19"/>
                <w:szCs w:val="19"/>
                <w:color w:val="auto"/>
              </w:rPr>
            </w:pPr>
          </w:p>
        </w:tc>
        <w:tc>
          <w:tcPr>
            <w:tcW w:w="2220" w:type="dxa"/>
            <w:vAlign w:val="bottom"/>
            <w:gridSpan w:val="2"/>
          </w:tcPr>
          <w:p>
            <w:pPr>
              <w:jc w:val="right"/>
              <w:ind w:right="1052"/>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r>
      <w:tr>
        <w:trPr>
          <w:trHeight w:val="346"/>
        </w:trPr>
        <w:tc>
          <w:tcPr>
            <w:tcW w:w="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w:t>
            </w:r>
          </w:p>
        </w:tc>
      </w:tr>
      <w:tr>
        <w:trPr>
          <w:trHeight w:val="161"/>
        </w:trPr>
        <w:tc>
          <w:tcPr>
            <w:tcW w:w="2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 2010</w:t>
            </w:r>
          </w:p>
        </w:tc>
      </w:tr>
      <w:tr>
        <w:trPr>
          <w:trHeight w:val="142"/>
        </w:trPr>
        <w:tc>
          <w:tcPr>
            <w:tcW w:w="20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Balance Sheet Information: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49,898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debt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7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7800" w:type="dxa"/>
            <w:vAlign w:val="bottom"/>
            <w:gridSpan w:val="2"/>
          </w:tcPr>
          <w:p>
            <w:pPr>
              <w:jc w:val="right"/>
              <w:ind w:right="191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34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4034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Data</w:t>
      </w:r>
    </w:p>
    <w:p>
      <w:pPr>
        <w:spacing w:after="0" w:line="177"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 following table presents: (1) historical per share information for Schlumberger; (2) pro forma per share information of the combined company after giving effect to the merger; and (3) historical and equivalent pro forma per share information for Smith.</w:t>
      </w:r>
    </w:p>
    <w:p>
      <w:pPr>
        <w:spacing w:after="0" w:line="132"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The combined company pro forma per share information was derived by combining information from the historical consolidated financial statements of Schlumberger and Smith. You should read this table together with the historical consolidated financial statements of Schlumberger and Smith that are filed with the Securities and Exchange Commission and incorporated by reference into this proxy statement/prospectus. You should not rely on the pro forma per share information as being necessarily indicative of actual results had the merger occurred on January 1, 2009 for statement of operations purposes or December 31, 2009 or March 31, 2010, as applicable, for book value per share data. The equivalent pro forma per share information was derived by multiplying the combined company pro forma per share information by the exchange ratio of 0.6966.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492"/>
              <w:spacing w:after="0"/>
              <w:rPr>
                <w:sz w:val="20"/>
                <w:szCs w:val="20"/>
                <w:color w:val="auto"/>
              </w:rPr>
            </w:pPr>
            <w:r>
              <w:rPr>
                <w:rFonts w:ascii="Arial" w:cs="Arial" w:eastAsia="Arial" w:hAnsi="Arial"/>
                <w:sz w:val="14"/>
                <w:szCs w:val="14"/>
                <w:b w:val="1"/>
                <w:bCs w:val="1"/>
                <w:color w:val="auto"/>
                <w:w w:val="87"/>
              </w:rPr>
              <w:t>Year Ended December 31, 2009</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w w:val="91"/>
              </w:rPr>
              <w:t>Schlumberger</w:t>
            </w:r>
          </w:p>
        </w:tc>
        <w:tc>
          <w:tcPr>
            <w:tcW w:w="4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Smith</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Combined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2.61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16.00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21.92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312"/>
              <w:spacing w:after="0"/>
              <w:rPr>
                <w:sz w:val="20"/>
                <w:szCs w:val="20"/>
                <w:color w:val="auto"/>
              </w:rPr>
            </w:pPr>
            <w:r>
              <w:rPr>
                <w:rFonts w:ascii="Arial" w:cs="Arial" w:eastAsia="Arial" w:hAnsi="Arial"/>
                <w:sz w:val="14"/>
                <w:szCs w:val="14"/>
                <w:b w:val="1"/>
                <w:bCs w:val="1"/>
                <w:color w:val="auto"/>
                <w:w w:val="97"/>
              </w:rPr>
              <w:t>Three Months Ended March 31, 2010</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w w:val="91"/>
              </w:rPr>
              <w:t>Schlumberger</w:t>
            </w:r>
          </w:p>
        </w:tc>
        <w:tc>
          <w:tcPr>
            <w:tcW w:w="4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Smith</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Combined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0.56</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0.56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16.28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22.37</w:t>
            </w:r>
          </w:p>
        </w:tc>
        <w:tc>
          <w:tcPr>
            <w:tcW w:w="140" w:type="dxa"/>
            <w:vAlign w:val="bottom"/>
          </w:tcPr>
          <w:p>
            <w:pPr>
              <w:spacing w:after="0"/>
              <w:rPr>
                <w:sz w:val="19"/>
                <w:szCs w:val="19"/>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21.80</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20" w:type="dxa"/>
            <w:vAlign w:val="bottom"/>
          </w:tcPr>
          <w:p>
            <w:pPr>
              <w:jc w:val="right"/>
              <w:ind w:right="1152"/>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763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6676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177" w:lineRule="exact"/>
        <w:rPr>
          <w:sz w:val="20"/>
          <w:szCs w:val="20"/>
          <w:color w:val="auto"/>
        </w:rPr>
      </w:pPr>
    </w:p>
    <w:p>
      <w:pPr>
        <w:jc w:val="both"/>
        <w:ind w:left="200" w:right="160" w:firstLine="443"/>
        <w:spacing w:after="0" w:line="259" w:lineRule="auto"/>
        <w:rPr>
          <w:sz w:val="20"/>
          <w:szCs w:val="20"/>
          <w:color w:val="auto"/>
        </w:rPr>
      </w:pPr>
      <w:r>
        <w:rPr>
          <w:rFonts w:ascii="Arial" w:cs="Arial" w:eastAsia="Arial" w:hAnsi="Arial"/>
          <w:sz w:val="18"/>
          <w:szCs w:val="18"/>
          <w:color w:val="auto"/>
        </w:rPr>
        <w:t>The following table sets forth, for the periods indicated, the intra-day high and low sales prices per share for Schlumberger and Smith common stock as reported on the NYSE, which is the principal trading market for both Schlumberger and Smith common stock, and the cash dividends declared per share of Schlumberger and Smith common stock.</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0"/>
              </w:rPr>
              <w:t>Schlumberger Common Stock</w:t>
            </w:r>
          </w:p>
        </w:tc>
        <w:tc>
          <w:tcPr>
            <w:tcW w:w="100" w:type="dxa"/>
            <w:vAlign w:val="bottom"/>
          </w:tcPr>
          <w:p>
            <w:pPr>
              <w:spacing w:after="0"/>
              <w:rPr>
                <w:sz w:val="14"/>
                <w:szCs w:val="14"/>
                <w:color w:val="auto"/>
              </w:rPr>
            </w:pPr>
          </w:p>
        </w:tc>
        <w:tc>
          <w:tcPr>
            <w:tcW w:w="2080" w:type="dxa"/>
            <w:vAlign w:val="bottom"/>
            <w:gridSpan w:val="8"/>
          </w:tcPr>
          <w:p>
            <w:pPr>
              <w:ind w:left="340"/>
              <w:spacing w:after="0"/>
              <w:rPr>
                <w:sz w:val="20"/>
                <w:szCs w:val="20"/>
                <w:color w:val="auto"/>
              </w:rPr>
            </w:pPr>
            <w:r>
              <w:rPr>
                <w:rFonts w:ascii="Arial" w:cs="Arial" w:eastAsia="Arial" w:hAnsi="Arial"/>
                <w:sz w:val="14"/>
                <w:szCs w:val="14"/>
                <w:b w:val="1"/>
                <w:bCs w:val="1"/>
                <w:color w:val="auto"/>
              </w:rPr>
              <w:t>Smith Common Stock</w:t>
            </w:r>
          </w:p>
        </w:tc>
      </w:tr>
      <w:tr>
        <w:trPr>
          <w:trHeight w:val="129"/>
        </w:trPr>
        <w:tc>
          <w:tcPr>
            <w:tcW w:w="6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81"/>
              </w:rPr>
              <w:t>Cash</w:t>
            </w:r>
          </w:p>
        </w:tc>
        <w:tc>
          <w:tcPr>
            <w:tcW w:w="20" w:type="dxa"/>
            <w:vAlign w:val="bottom"/>
          </w:tcPr>
          <w:p>
            <w:pPr>
              <w:spacing w:after="0"/>
              <w:rPr>
                <w:sz w:val="11"/>
                <w:szCs w:val="11"/>
                <w:color w:val="auto"/>
              </w:rPr>
            </w:pPr>
          </w:p>
        </w:tc>
      </w:tr>
      <w:tr>
        <w:trPr>
          <w:trHeight w:val="149"/>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Dividends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Dividends</w:t>
            </w:r>
          </w:p>
        </w:tc>
      </w:t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Low</w:t>
            </w: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Declared</w:t>
            </w:r>
          </w:p>
        </w:tc>
        <w:tc>
          <w:tcPr>
            <w:tcW w:w="10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High</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Declared</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Second Quarter (through [—], 2010)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59.42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45.32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27.17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34.46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25.54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48.13</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30.92</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22.12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39.11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32.44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20.50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49.25</w:t>
            </w: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35.05</w:t>
            </w:r>
          </w:p>
        </w:tc>
        <w:tc>
          <w:tcPr>
            <w:tcW w:w="1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29.45</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18.43</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9"/>
                <w:szCs w:val="19"/>
                <w:color w:val="auto"/>
              </w:rPr>
            </w:pPr>
          </w:p>
        </w:tc>
      </w:tr>
      <w:tr>
        <w:trPr>
          <w:trHeight w:val="102"/>
        </w:trPr>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78.00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37.07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57.82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18.23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111.95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75.53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88.40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54.69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110.11</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85.72</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85.67</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62.59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102.71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72.30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76.89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53.39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114.84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87.42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76.99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58.91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108.75</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81.26</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0.175</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74.35</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54.08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68.25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60.82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47.68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55.68</w:t>
            </w:r>
          </w:p>
        </w:tc>
        <w:tc>
          <w:tcPr>
            <w:tcW w:w="1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0.175</w:t>
            </w: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49.05</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36.13</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200" w:right="80" w:firstLine="443"/>
        <w:spacing w:after="0" w:line="254" w:lineRule="auto"/>
        <w:rPr>
          <w:sz w:val="20"/>
          <w:szCs w:val="20"/>
          <w:color w:val="auto"/>
        </w:rPr>
      </w:pPr>
      <w:r>
        <w:rPr>
          <w:rFonts w:ascii="Arial" w:cs="Arial" w:eastAsia="Arial" w:hAnsi="Arial"/>
          <w:sz w:val="18"/>
          <w:szCs w:val="18"/>
          <w:color w:val="auto"/>
        </w:rPr>
        <w:t>The following table sets forth the closing sale price per share of Schlumberger and Smith common stock as reported on the NYSE as of February 18, 2010, the last trading day before various news outlets began reporting on a possible transaction involving Smith and Schlumberger; as of February 19, 2010, the last trading date before the public announcement of the merger; and as of [—], 2010, the most recent practicable trading day prior to the date of this proxy statement/prospectus. The table also shows the implied value of the merger consideration proposed for each share of Smith common stock as of the same dates. This implied value was calculated by multiplying the closing sale price of Schlumberger common stock on the relevant date by the exchange ratio of 0.6966.</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w w:val="97"/>
              </w:rPr>
              <w:t>Smith</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Equivalent</w:t>
            </w:r>
          </w:p>
        </w:tc>
      </w:tr>
      <w:tr>
        <w:trPr>
          <w:trHeight w:val="161"/>
        </w:trPr>
        <w:tc>
          <w:tcPr>
            <w:tcW w:w="3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Closing Price</w:t>
            </w: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82"/>
              </w:rPr>
              <w:t>Closing Price</w:t>
            </w:r>
          </w:p>
        </w:tc>
        <w:tc>
          <w:tcPr>
            <w:tcW w:w="86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6"/>
              </w:rPr>
              <w:t>Per Share Value</w:t>
            </w:r>
          </w:p>
        </w:tc>
      </w:tr>
      <w:tr>
        <w:trPr>
          <w:trHeight w:val="20"/>
        </w:trPr>
        <w:tc>
          <w:tcPr>
            <w:tcW w:w="3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February 18, 2010</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February 19, 2010</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63.90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 2010</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The market prices of Schlumberger and Smith common stock will fluctuate between the date of this proxy statement/prospectus and the completion of the merger. No assurance can be given concerning the market prices of Schlumberger or Smith common stock before the completion of the merger or Schlumberger common stock after the completion of the merger. Because the exchange ratio is fixed in the merger agreement, the market value of the Schlumberger common stock that Smith stockholders will receive in connection with the merger may vary significantly from the prices shown in the table above. Accordingly, Smith stockholders are advised to obtain current market quotations for Schlumberger and Smith common stock before deciding whether to vote for adoption of the merger agreement.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exchange ratio is fixed and will not be adjusted in the event of any change in either Smith’s or Schlumberger’s stock price.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closing of the merger, each share of Smith common stock (other than shares held by Smith or its subsidiaries) will be converted into the right to receive 0.6966 shares of Schlumberger common stock, with cash paid in lieu of fractional shares. This exchange ratio was fixed in the merger agreement and will not be adjusted for changes in the market price of either Smith common stock or Schlumberger common stock. Changes in the price of Schlumberger common stock prior to the merger will affect the market value that Smith stockholders will become entitled to receive on the date of the merger. Stock price changes may result from a variety of factors (many of which are beyond Smith’s or Schlumberger’s control), including:</w:t>
      </w:r>
    </w:p>
    <w:p>
      <w:pPr>
        <w:spacing w:after="0" w:line="35" w:lineRule="exact"/>
        <w:rPr>
          <w:sz w:val="20"/>
          <w:szCs w:val="20"/>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Smith’s and Schlumberger’s respective business, operations and prospects;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market assessments of the business, operations and prospects of either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market assessments of the likelihood that the merger will be completed, including related considerations regarding regulatory approvals of the merger;</w:t>
      </w:r>
    </w:p>
    <w:p>
      <w:pPr>
        <w:spacing w:after="0" w:line="113"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rates, general market, industry and economic conditions and other factors generally affecting the price of Smith’s and Schlumberger’s common stock;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federal, state and local legislation, governmental regulation and legal developments in the businesses in which Smith and Schlumberger operate.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price of Schlumberger common stock at the closing of the merger may vary from its price on the date the merger agreement was executed, on the date of this proxy statement/prospectus and on the date of the Smith annual meeting. As a result, the market value represented by the exchange ratio will also vary. For example, based on the range of closing prices of Schlumberger common stock during the period from February 18, 2010 (the last trading day before various news outlets began reporting on a possible transaction between Smith and Schlumberger), through [—], 2010, the most recent practicable trading day before the date of this proxy statement/prospectus, the exchange ratio represented a market value ranging from a low of $[—] to a high of $[—] for each share of Smith common stock.</w:t>
      </w:r>
    </w:p>
    <w:p>
      <w:pPr>
        <w:spacing w:after="0" w:line="225" w:lineRule="exact"/>
        <w:rPr>
          <w:sz w:val="20"/>
          <w:szCs w:val="20"/>
          <w:color w:val="auto"/>
        </w:rPr>
      </w:pPr>
    </w:p>
    <w:p>
      <w:pPr>
        <w:ind w:left="240" w:right="360"/>
        <w:spacing w:after="0" w:line="357" w:lineRule="auto"/>
        <w:rPr>
          <w:sz w:val="20"/>
          <w:szCs w:val="20"/>
          <w:color w:val="auto"/>
        </w:rPr>
      </w:pPr>
      <w:r>
        <w:rPr>
          <w:rFonts w:ascii="Arial" w:cs="Arial" w:eastAsia="Arial" w:hAnsi="Arial"/>
          <w:sz w:val="15"/>
          <w:szCs w:val="15"/>
          <w:b w:val="1"/>
          <w:bCs w:val="1"/>
          <w:i w:val="1"/>
          <w:iCs w:val="1"/>
          <w:color w:val="auto"/>
        </w:rPr>
        <w:t>Because the date that the merger is completed will be later than the date of the Smith annual meeting, at the time of the Smith annual meeting, Smith stockholders will not know the exact market value of the Schlumberger common stock that they will receive upon completion of the merger.</w:t>
      </w:r>
    </w:p>
    <w:p>
      <w:pPr>
        <w:ind w:right="100" w:firstLine="456"/>
        <w:spacing w:after="0" w:line="318" w:lineRule="auto"/>
        <w:rPr>
          <w:sz w:val="20"/>
          <w:szCs w:val="20"/>
          <w:color w:val="auto"/>
        </w:rPr>
      </w:pPr>
      <w:r>
        <w:rPr>
          <w:rFonts w:ascii="Arial" w:cs="Arial" w:eastAsia="Arial" w:hAnsi="Arial"/>
          <w:sz w:val="15"/>
          <w:szCs w:val="15"/>
          <w:color w:val="auto"/>
        </w:rPr>
        <w:t>If the price of Schlumberger common stock declines between the date of the Smith annual meeting and the effective time of the merger, including for any of the reasons described above, Smith stockholders will receive shares of Schlumberger common stock that have a market value upon completion of the merger that is less than the market value calculated pursuant to the exchange ratio on the date of the Smith annual meeting. Therefore, while the number of shares of Schlumberger common stock to be issued in the merger is fixed, Smith stockholders cannot be sure of the market value of the Schlumberger common stock they will receive upon completion of the merger or the market value of Schlumberger common stock at any time after the completion of the merger.</w:t>
      </w:r>
    </w:p>
    <w:p>
      <w:pPr>
        <w:spacing w:after="0" w:line="181" w:lineRule="exact"/>
        <w:rPr>
          <w:sz w:val="20"/>
          <w:szCs w:val="20"/>
          <w:color w:val="auto"/>
        </w:rPr>
      </w:pPr>
    </w:p>
    <w:p>
      <w:pPr>
        <w:ind w:left="240" w:right="880"/>
        <w:spacing w:after="0" w:line="268" w:lineRule="auto"/>
        <w:rPr>
          <w:sz w:val="20"/>
          <w:szCs w:val="20"/>
          <w:color w:val="auto"/>
        </w:rPr>
      </w:pPr>
      <w:r>
        <w:rPr>
          <w:rFonts w:ascii="Arial" w:cs="Arial" w:eastAsia="Arial" w:hAnsi="Arial"/>
          <w:sz w:val="18"/>
          <w:szCs w:val="18"/>
          <w:b w:val="1"/>
          <w:bCs w:val="1"/>
          <w:i w:val="1"/>
          <w:iCs w:val="1"/>
          <w:color w:val="auto"/>
        </w:rPr>
        <w:t>Smith’s directors and executive officers have interests in the merger that may be different from, and in addition to, the interests of other Smith stockholders.</w:t>
      </w:r>
    </w:p>
    <w:p>
      <w:pPr>
        <w:spacing w:after="0" w:line="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Smith’s directors and executive officers are parties to agreements or participants in other arrangements that give them interests in the merger that may be different from, or in addition to, the interests of the other stockholders of Smith, which could create conflicts of interest in their determinations to recommend the merger.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Smith stockholders should consider these interests in voting on the merger. These different interests are described under “The Merger—Interests of Smith’s Directors and Officers in the Merger.”</w:t>
      </w:r>
    </w:p>
    <w:p>
      <w:pPr>
        <w:spacing w:after="0" w:line="213" w:lineRule="exact"/>
        <w:rPr>
          <w:sz w:val="20"/>
          <w:szCs w:val="20"/>
          <w:color w:val="auto"/>
        </w:rPr>
      </w:pPr>
    </w:p>
    <w:p>
      <w:pPr>
        <w:jc w:val="both"/>
        <w:ind w:left="240" w:right="40"/>
        <w:spacing w:after="0" w:line="259" w:lineRule="auto"/>
        <w:rPr>
          <w:sz w:val="20"/>
          <w:szCs w:val="20"/>
          <w:color w:val="auto"/>
        </w:rPr>
      </w:pPr>
      <w:r>
        <w:rPr>
          <w:rFonts w:ascii="Arial" w:cs="Arial" w:eastAsia="Arial" w:hAnsi="Arial"/>
          <w:sz w:val="18"/>
          <w:szCs w:val="18"/>
          <w:b w:val="1"/>
          <w:bCs w:val="1"/>
          <w:i w:val="1"/>
          <w:iCs w:val="1"/>
          <w:color w:val="auto"/>
        </w:rPr>
        <w:t>The ability of Smith and Schlumberger to complete the merger is subject to the approval of Smith stockholders, certain closing conditions and the receipt of consents and approvals from government entities, which may impose conditions that could adversely affect Smith or Schlumberger or cause the merger to be abandoned.</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merger agreement contains certain closing conditions, including approval of the merger by Smith stockholders, the absence of injunctions or other legal restrictions and that no material adverse effect shall have occurred with respect to either company. In addition, Smith and Schlumberger will be unable to complete the merger until approvals are received from the Antitrust Division, the European Commission and various other governmental entities. Regulatory entities may impose certain requirements or obligations as conditions for their approval. The merger agreement may require Smith and/or Schlumberger to accept conditions from these regulators that could adversely impact the combined company. We can provide no assurance that the various closing conditions will be satisfied and that the necessary approvals will be obtained, or that any required conditions will not materially adversely affect the combined company following the merger. In addition, we can provide no assurance that these conditions will not result in the abandonment or delay of the merger.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complete the merger could negatively impact Smith and Schlumberger.</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the merger is not completed, the ongoing businesses and the market price of the common stock of Smith and/or Schlumberger may be adversely affected and Smith and Schlumberger will be subject to several risks, including Smith being required, under certain circumstances, to pay Schlumberger a termination fee of $340 million or Schlumberger being required, under certain circumstances, to pay Smith a termination fee of $615 million; Smith or Schlumberger having to pay certain costs relating to the merger; and diverting the focus of management from pursuing other opportunities that could be beneficial to each of Smith and Schlumberger, in each case, without realizing any of the benefits which might have resulted had the merger been completed.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pendency of the merger could adversely affect Smith and Schlumberger.</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connection with the pending merger, some of the customers of Smith and/or Schlumberger may delay or defer purchasing decisions, which could negatively impact revenues, earnings and cash flows regardless of whether the merger is completed. Additionally, Smith and Schlumberger have each agreed in the merger agreement to refrain from taking certain actions with respect to their business and financial affairs during the pendency of the merger, which restrictions could be in place for an extended period of time if completion of the merger is delayed and could adversely impact Smith’s and Schlumberger’s financial condition, results of operations or cash flows.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Smith may be unable to retain key employees during the pendency of the merger.</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pending merger, current and prospective employees of Smith may experience uncertainty about their future roles with the combined company following the merger, which may materially adversely affect the ability of Smith to attract and retain key personnel during the pendency of the merger. Key employees may depart because of issues relating to the uncertainty and difficulty of integration or a desire not to remain with the combined company following the merger. Accordingly, no assurance can be given that Smith will be able to retain key employees to the same extent that Smith has been able to in the past.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Smith stockholders will have a significantly reduced ownership and voting interest after the merger and will exercise less influence over management.</w:t>
      </w:r>
    </w:p>
    <w:p>
      <w:pPr>
        <w:spacing w:after="0" w:line="125"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Immediately after the completion of the merger, it is expected that former Smith stockholders, who collectively own 100% of Smith, will own approximately 12.8% of Schlumberger based on the number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shares of Smith and Schlumberger common stock outstanding, on a fully diluted basis, as of [—], 2010. Consequently, Smith stockholders will have less influence over the management and policies of Schlumberger than they currently have over the management and policies of Smith.</w:t>
      </w:r>
    </w:p>
    <w:p>
      <w:pPr>
        <w:spacing w:after="0" w:line="16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Multiple lawsuits have been filed against Smith challenging the merger, and an adverse ruling in any such lawsuit may prevent the merger from being completed.</w:t>
      </w:r>
    </w:p>
    <w:p>
      <w:pPr>
        <w:spacing w:after="0" w:line="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Subsequent to the announcement of the merger, five putative class action lawsuits were commenced on behalf of stockholders of Smith against Smith and its directors, and in certain cases against Schlumberger and one of its affiliates, challenging the merger. See “The Merger—Litigation Relating to the Merger” for more information about the lawsuits related to the merger that have been filed.</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One of the conditions to the closing of the merger is that no law, order, injunction, judgment, decree, ruling or other similar requirement shall be in effect that prohibits the completion of the merger. Accordingly, if any of the plaintiffs is successful in obtaining an injunction prohibiting the completion of the merger, then such injunction may prevent the merger from becoming effective, or delay its becoming effective within the expected timeframe.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Following the Merger</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Schlumberger and Smith are, and following completion of the merger, the combined company will continue to be, subject to the risks described in (a) Part I, Item 1A in Schlumberger’s Annual Report on Form 10-K for the year ended December 31, 2009, filed with the SEC on February 5, 2010, (b) Part II, Item 1A in Schlumberger’s Quarterly Report on Form 10-Q for the quarter ended March 31, 2010, filed with the SEC on April 28, 2010, (c) Part I, Item 1A in Smith’s Annual Report on Form 10-K for the year ended December 31, 2009, filed with the SEC on March 1, 2010, and (d) Part II, Item 1A in Smith’s Quarterly Report on Form 10-Q for the quarter ended March 31, 2010, filed with the SEC on April 28, 2010, each of which is incorporated by reference into this proxy statement/prospectus. See “Where You Can Find More Information” beginning on page [—] of this proxy statement/prospectus. In addition, the business and operations of the combined company may be affected by the following additional risks: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combined company could incur substantial expenses related to the integration of Smith and Schlumberger.</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Smith and Schlumberger expect that the combined company will incur substantial expenses in connection with integrating their respective businesses, policies, procedures, operations, technologies and systems. There are a large number of systems that must be integrated, including information management, purchasing, accounting and finance, sales, billing, payroll and benefits, fixed asset and lease administration systems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exceed the savings that Schlumberger expects to achieve from the elimination of duplicative expenses and the realization of economies of scale and cost savings and revenue enhancements related to the integration of the businesses following the completion of the merger. These integration expenses may result in the combined company taking significant charges against earnings following the completion of the merger.</w:t>
      </w:r>
    </w:p>
    <w:p>
      <w:pPr>
        <w:spacing w:after="0" w:line="199"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Following the merger, the combined company may be unable to successfully integrate Smith’s and Schlumberger’s businesses and realize the anticipated benefits of the merger.</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merger involves the combination of two companies which currently operate as independent public companies. The combined company will be required to devote management attention and resources to integrating its business practices and operations. Potential difficulties the combined company may encounter in the integration process include the following:</w:t>
      </w:r>
    </w:p>
    <w:p>
      <w:pPr>
        <w:spacing w:after="0" w:line="59" w:lineRule="exact"/>
        <w:rPr>
          <w:sz w:val="20"/>
          <w:szCs w:val="20"/>
          <w:color w:val="auto"/>
        </w:rPr>
      </w:pPr>
    </w:p>
    <w:p>
      <w:pPr>
        <w:ind w:left="660" w:right="18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inability to successfully integrate the respective businesses of Smith and Schlumberger in a manner that permits the combined company to achieve the cost savings and operating synergies anticipated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480"/>
        <w:spacing w:after="0" w:line="268" w:lineRule="auto"/>
        <w:rPr>
          <w:sz w:val="20"/>
          <w:szCs w:val="20"/>
          <w:color w:val="auto"/>
        </w:rPr>
      </w:pPr>
      <w:r>
        <w:rPr>
          <w:rFonts w:ascii="Arial" w:cs="Arial" w:eastAsia="Arial" w:hAnsi="Arial"/>
          <w:sz w:val="18"/>
          <w:szCs w:val="18"/>
          <w:color w:val="auto"/>
        </w:rPr>
        <w:t>result from the merger, which would result in the anticipated benefits of the merger not being realized partly or wholly in the time frame currently anticipated or at all;</w:t>
      </w:r>
    </w:p>
    <w:p>
      <w:pPr>
        <w:spacing w:after="0" w:line="64" w:lineRule="exact"/>
        <w:rPr>
          <w:sz w:val="20"/>
          <w:szCs w:val="20"/>
          <w:color w:val="auto"/>
        </w:rPr>
      </w:pPr>
    </w:p>
    <w:p>
      <w:pPr>
        <w:ind w:left="660" w:right="6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integrating personnel from the two companies while maintaining focus on providing consistent, high quality products and customer service;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merger and integrating the companies’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issues currently faced by one company may be imputed to the operations of the other company.</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 the extent that either Schlumberger or Smith currently has or is perceived by customers to have operational challenges, such as on-time performance, safety issues or workforce issues, those challenges may raise concerns by existing customers of the other company following the merger which may limit or impede Schlumberger’s future ability to obtain additional work from those customers.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retain key employees and skilled workers could adversely affect Schlumberger following the merger.</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Schlumberger’s performance following the merger could be adversely affected if the combined company is unable to retain certain key employees and skilled workers of Smith. The loss of the services of one or more of these key employees and skilled workers could adversely affect Schlumberger’s future operating results because of their experience and knowledge of Smith’s business. In addition, current and prospective employees of Schlumberger and Smith may experience uncertainty about their future roles with the company until after the merger is completed. This may adversely affect the ability of Schlumberger and Smith to attract and retain key personnel, which could adversely affect Schlumberger’s performance following the merger.</w:t>
      </w:r>
    </w:p>
    <w:p>
      <w:pPr>
        <w:spacing w:after="0" w:line="197" w:lineRule="exact"/>
        <w:rPr>
          <w:sz w:val="20"/>
          <w:szCs w:val="20"/>
          <w:color w:val="auto"/>
        </w:rPr>
      </w:pPr>
    </w:p>
    <w:p>
      <w:pPr>
        <w:ind w:left="240" w:right="900"/>
        <w:spacing w:after="0" w:line="268" w:lineRule="auto"/>
        <w:rPr>
          <w:sz w:val="20"/>
          <w:szCs w:val="20"/>
          <w:color w:val="auto"/>
        </w:rPr>
      </w:pPr>
      <w:r>
        <w:rPr>
          <w:rFonts w:ascii="Arial" w:cs="Arial" w:eastAsia="Arial" w:hAnsi="Arial"/>
          <w:sz w:val="18"/>
          <w:szCs w:val="18"/>
          <w:b w:val="1"/>
          <w:bCs w:val="1"/>
          <w:i w:val="1"/>
          <w:iCs w:val="1"/>
          <w:color w:val="auto"/>
        </w:rPr>
        <w:t>The required regulatory approvals may not be obtained or may contain materially burdensome conditions that could have an adverse effect on Schlumberger.</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Completion of the merger is conditioned upon the receipt of certain governmental approvals, including, without limitation, the expiration or termination of the applicable waiting period under the HSR Act, the issuance by the European Commission of a decision under the EC Merger Regulation declaring the merger compatible with the common market and the approval of the merger by the antitrust regulators in other specified jurisdictions. Although Schlumberger and Smith have agreed in the merger agreement to use their reasonable best efforts to obtain the requisite governmental approvals, there can be no assurance that these approvals will be obtained. In addition, the governmental authorities from which these approvals are required may impose conditions on the completion of the merger or require changes to the terms of the merger. Under the terms of the merger agreement,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Please see “The Merger Agreement—Certain Additional Agreements—Filings” on page [—] for more information on the calculation of the detriment limit. If Schlumberger agrees to undertake divestitures or comply with operating restrictions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order to obtain any approvals required to complete the merger, Schlumberger may be less able to realize anticipated benefits of the merger, and the business and results of operations of the combined company after the merger may be adversely affected.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portion of the combined company’s revenue will be dependent on the activity level of natural gas exploration and production in North America.</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consummation of the merger, a portion of the combined company’s revenues will be derived from its North American operations. Because of the current economic environment and related decrease in demand for energy, natural gas exploration and production in North America have decreased significantly from their peak levels in the summer of 2008. Warmer than normal winters in North America, among other factors, may adversely impact demand for natural gas and, therefore, demand for oilfield services. If the economic conditions deteriorate further or do not improve, the decline in natural gas exploration and production could cause a decline in the demand for the services and products of the combined company. Such decline could result in a significant adverse effect on the operating results of the combined company and the expected benefits of the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Common Stock Following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market value of Schlumberger common stock could decline if large amounts of its common stock are sold following the merger.</w:t>
      </w:r>
    </w:p>
    <w:p>
      <w:pPr>
        <w:spacing w:after="0" w:line="113"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Following the merger, stockholders of Schlumberger and former stockholders of Smith will own interests in a combined company operating an expanded business with more assets and a different mix of liabilities. Current stockholders of Schlumberger and Smith may not wish to continue to invest in the combined company, or may wish to reduce their investment in the combined company, in order to comply with institutional investing guidelines, to increase diversification or to track any rebalancing of stock indices in which Schlumberger or Smith common stock is included. If, following the merger, large amounts of Schlumberger common stock are sold, the price of its common stock could decline.</w:t>
      </w:r>
    </w:p>
    <w:p>
      <w:pPr>
        <w:spacing w:after="0" w:line="197"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The merger will likely not be accretive, and may be dilutive, to Schlumberger’s earnings per share in the near term, which may negatively affect the market price of Schlumberger common stock.</w:t>
      </w:r>
    </w:p>
    <w:p>
      <w:pPr>
        <w:spacing w:after="0" w:line="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Schlumberger anticipates that the merger will not be accretive, and may be dilutive, to earnings per share in the near term. This expectation is based on preliminary estimates that may materially change. In addition, future events and conditions could decrease or delay any accretion, result in dilution or cause greater dilution than is currently expected, including:</w:t>
      </w:r>
    </w:p>
    <w:p>
      <w:pPr>
        <w:spacing w:after="0" w:line="59" w:lineRule="exact"/>
        <w:rPr>
          <w:sz w:val="20"/>
          <w:szCs w:val="20"/>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adverse changes in energy market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reserve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dilution of, or decrease or delay of any accretion to, Schlumberger’s earnings per share could cause the price of Schlumberger’s common stock to decline.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The shares of Schlumberger common stock to be received by Smith stockholders upon the completion of the merger will have different rights from shares of Smith common stock.</w:t>
      </w:r>
    </w:p>
    <w:p>
      <w:pPr>
        <w:spacing w:after="0" w:line="5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Upon completion of the merger, Smith stockholders will no longer be stockholders of Smith, a Delaware corporation, but will instead become shareholders of Schlumberger, a company organized under the laws of the Netherlands Antilles, and their rights as shareholders will be governed by Netherlands Antilles law and Schlumberger’s articles of incorporation and bylaws. Netherlands Antilles law and the terms of Schlumberger’s articles of incorporation and bylaws may be materially different than Delaware law and the terms of Smith’s restated certificate of incorporation and amended and restated bylaws, which currently govern the rights of Smith stockholders. Please see “Comparison of Shareholder Rights” for a discussion of the different rights associated with Schlumberger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and Smith</w:t>
      </w:r>
    </w:p>
    <w:p>
      <w:pPr>
        <w:spacing w:after="0" w:line="90" w:lineRule="exact"/>
        <w:rPr>
          <w:sz w:val="20"/>
          <w:szCs w:val="20"/>
          <w:color w:val="auto"/>
        </w:rPr>
      </w:pPr>
    </w:p>
    <w:p>
      <w:pPr>
        <w:ind w:left="240" w:right="140"/>
        <w:spacing w:after="0" w:line="275" w:lineRule="auto"/>
        <w:rPr>
          <w:sz w:val="20"/>
          <w:szCs w:val="20"/>
          <w:color w:val="auto"/>
        </w:rPr>
      </w:pPr>
      <w:r>
        <w:rPr>
          <w:rFonts w:ascii="Arial" w:cs="Arial" w:eastAsia="Arial" w:hAnsi="Arial"/>
          <w:sz w:val="18"/>
          <w:szCs w:val="18"/>
          <w:b w:val="1"/>
          <w:bCs w:val="1"/>
          <w:i w:val="1"/>
          <w:iCs w:val="1"/>
          <w:color w:val="auto"/>
        </w:rPr>
        <w:t xml:space="preserve">The offshore oil and gas operations of the combined company could be adversely impacted by the </w:t>
      </w:r>
      <w:r>
        <w:rPr>
          <w:rFonts w:ascii="Arial" w:cs="Arial" w:eastAsia="Arial" w:hAnsi="Arial"/>
          <w:sz w:val="18"/>
          <w:szCs w:val="18"/>
          <w:b w:val="1"/>
          <w:bCs w:val="1"/>
          <w:color w:val="auto"/>
        </w:rPr>
        <w:t>Deepwater Horizon</w:t>
      </w:r>
      <w:r>
        <w:rPr>
          <w:rFonts w:ascii="Arial" w:cs="Arial" w:eastAsia="Arial" w:hAnsi="Arial"/>
          <w:sz w:val="18"/>
          <w:szCs w:val="18"/>
          <w:b w:val="1"/>
          <w:bCs w:val="1"/>
          <w:i w:val="1"/>
          <w:iCs w:val="1"/>
          <w:color w:val="auto"/>
        </w:rPr>
        <w:t xml:space="preserve"> drilling rig accident and resulting oil spill.</w:t>
      </w:r>
    </w:p>
    <w:p>
      <w:pPr>
        <w:spacing w:after="0" w:line="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owned by Transocean Ltd. and under contract to a subsidiary of BP plc. In response to this incident, the Minerals Management Service of the U.S. Department of the Interior, or MMS, issued a notice on May 30, 2010 implementing a six-month moratorium on certain drilling activities in the U.S. Gulf of Mexico. The notice also states that the MMS will not consider during the six-month moratorium period drilling permits for new wells and related activities for specified water depths. In addition, wells covered by the moratorium that are currently being drilled will be required to halt drilling and take steps to secure the well. The MMS is expected to issue new safety and environmental guidelines or regulations for drilling in the U.S. Gulf of Mexico and may take other steps that could increase the costs of exploration and production, reduce the area of operations and result in permitting delays.</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Schlumberger Oilfield Services revenue attributable to the U.S. Gulf of Mexico represented approximately 3.5% of consolidated Schlumberger revenue for the year ended December 31, 2009. In addition, WesternGeco U.S. Gulf of Mexico revenue amounted to approximately 1.8% of consolidated revenue. The majority of these revenues related to the high-technology services and products deployed in deepwater operations.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At this time, neither Smith nor Schlumberger can predict what further impact, if any,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may have on the regulation of offshore oil and gas exploration and development activity, the cost or availability of insurance coverage to cover the risks of such operations, or what actions may be taken by customers of Schlumberger or Smith or other industry participants in response to the incident. Increased costs for the operations of Schlumberger’s and Smith’s customers in the U.S. Gulf of Mexico, along with permitting delays, could affect the economics of currently planned activity in the area and demand for their services. A prolonged suspension of drilling activity in the U.S. Gulf of Mexico and resulting new regulations could materially adversely affect each company’s financial condition, results of operations or cash flows.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proxy statement/prospectus and the documents incorporated by reference herein include “forward-looking statements” about Schlumberger, Smith and the combined company within the meaning of Section 27A of the Securities Act, Section 21E of the Exchange Act, and the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Schlumberger and Smith believe that the expectations reflected in such forward-looking statements are reasonable, they can give no assurances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Schlumberger and Smith will not be able to retain key employees, expenses of the merger, and other risk factors.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and elsewhere in this proxy statement/prospectus and the documents incorporated by reference herein, could affect the future results of the energy industry in general, and Schlumberger after the merger in particular, and could cause those results to differ materially from those expressed in or implied by such forward-looking statements:</w:t>
      </w:r>
    </w:p>
    <w:p>
      <w:pPr>
        <w:sectPr>
          <w:pgSz w:w="11900" w:h="16838" w:orient="portrait"/>
          <w:cols w:equalWidth="0" w:num="1">
            <w:col w:w="11380"/>
          </w:cols>
          <w:pgMar w:left="240" w:top="459" w:right="279" w:bottom="1440" w:gutter="0" w:footer="0" w:header="0"/>
        </w:sectPr>
      </w:pPr>
    </w:p>
    <w:p>
      <w:pPr>
        <w:spacing w:after="0" w:line="35" w:lineRule="exact"/>
        <w:rPr>
          <w:sz w:val="20"/>
          <w:szCs w:val="20"/>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forecasts or expectations regarding business outlook;</w:t>
      </w:r>
    </w:p>
    <w:p>
      <w:pPr>
        <w:spacing w:after="0" w:line="90" w:lineRule="exact"/>
        <w:rPr>
          <w:rFonts w:ascii="Arial" w:cs="Arial" w:eastAsia="Arial" w:hAnsi="Arial"/>
          <w:sz w:val="18"/>
          <w:szCs w:val="18"/>
          <w:color w:val="auto"/>
        </w:rPr>
      </w:pPr>
    </w:p>
    <w:p>
      <w:pPr>
        <w:ind w:left="580" w:right="525" w:hanging="207"/>
        <w:spacing w:after="0" w:line="268"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overall demand for and pricing of the products and services of Schlumberger and Smith;</w:t>
      </w:r>
    </w:p>
    <w:p>
      <w:pPr>
        <w:spacing w:after="0" w:line="50" w:lineRule="exact"/>
        <w:rPr>
          <w:rFonts w:ascii="Arial" w:cs="Arial" w:eastAsia="Arial" w:hAnsi="Arial"/>
          <w:sz w:val="18"/>
          <w:szCs w:val="18"/>
          <w:color w:val="auto"/>
        </w:rPr>
      </w:pPr>
    </w:p>
    <w:p>
      <w:pPr>
        <w:ind w:left="580" w:right="25" w:hanging="207"/>
        <w:spacing w:after="0" w:line="259"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growth for Schlumberger, Smith and the combined company (and for specified products or geographic areas within each business segment);</w:t>
      </w:r>
    </w:p>
    <w:p>
      <w:pPr>
        <w:spacing w:after="0" w:line="59"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Schlumberger’s ability to integrate the operations of Smith;</w:t>
      </w:r>
    </w:p>
    <w:p>
      <w:pPr>
        <w:spacing w:after="0" w:line="90" w:lineRule="exact"/>
        <w:rPr>
          <w:rFonts w:ascii="Arial" w:cs="Arial" w:eastAsia="Arial" w:hAnsi="Arial"/>
          <w:sz w:val="18"/>
          <w:szCs w:val="18"/>
          <w:color w:val="auto"/>
        </w:rPr>
      </w:pPr>
    </w:p>
    <w:p>
      <w:pPr>
        <w:ind w:left="580" w:right="625" w:hanging="207"/>
        <w:spacing w:after="0" w:line="332"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 and timing of any cost savings synergies or other efficiencies expected to result from the merger;</w:t>
      </w:r>
    </w:p>
    <w:p>
      <w:pPr>
        <w:spacing w:after="0" w:line="4" w:lineRule="exact"/>
        <w:rPr>
          <w:rFonts w:ascii="Arial" w:cs="Arial" w:eastAsia="Arial" w:hAnsi="Arial"/>
          <w:sz w:val="16"/>
          <w:szCs w:val="16"/>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oil and gas prices;</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90" w:lineRule="exact"/>
        <w:rPr>
          <w:rFonts w:ascii="Arial" w:cs="Arial" w:eastAsia="Arial" w:hAnsi="Arial"/>
          <w:sz w:val="18"/>
          <w:szCs w:val="18"/>
          <w:color w:val="auto"/>
        </w:rPr>
      </w:pPr>
    </w:p>
    <w:p>
      <w:pPr>
        <w:ind w:left="580" w:right="85" w:hanging="207"/>
        <w:spacing w:after="0" w:line="332"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regulatory and operational risks arising from the international nature of Smith’s and Schlumberger’s operations;</w:t>
      </w:r>
    </w:p>
    <w:p>
      <w:pPr>
        <w:spacing w:after="0" w:line="4" w:lineRule="exact"/>
        <w:rPr>
          <w:rFonts w:ascii="Arial" w:cs="Arial" w:eastAsia="Arial" w:hAnsi="Arial"/>
          <w:sz w:val="16"/>
          <w:szCs w:val="16"/>
          <w:color w:val="auto"/>
        </w:rPr>
      </w:pPr>
    </w:p>
    <w:p>
      <w:pPr>
        <w:ind w:left="580" w:hanging="207"/>
        <w:spacing w:after="0"/>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capital expenditures by the companies and the oil and gas industry;</w:t>
      </w:r>
    </w:p>
    <w:p>
      <w:pPr>
        <w:spacing w:after="0" w:line="113" w:lineRule="exact"/>
        <w:rPr>
          <w:rFonts w:ascii="Arial" w:cs="Arial" w:eastAsia="Arial" w:hAnsi="Arial"/>
          <w:sz w:val="16"/>
          <w:szCs w:val="16"/>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business strategies of customers;</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failure to retain certain key employees and skilled workers;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95" w:right="320" w:hanging="195"/>
        <w:spacing w:after="0" w:line="268"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effects of the drilling moratorium in the Gulf of Mexico, or related changes in laws or regulations;</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future global economic conditions;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pension and post-retirement funding;</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stock compensation costs;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political stability of oil-producing countries;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195" w:right="240" w:hanging="195"/>
        <w:spacing w:after="0" w:line="294" w:lineRule="auto"/>
        <w:tabs>
          <w:tab w:leader="none" w:pos="1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various risks and other factors considered by the respective boards of Schlumberger and Smith as described under “The Merger —Smith’s Reasons for the Merger; Recommendation of the Smith Board of Directors” and under “The Merger—Schlumberger’s Reasons for the Merger”;</w:t>
      </w:r>
    </w:p>
    <w:p>
      <w:pPr>
        <w:spacing w:after="0" w:line="34" w:lineRule="exact"/>
        <w:rPr>
          <w:rFonts w:ascii="Arial" w:cs="Arial" w:eastAsia="Arial" w:hAnsi="Arial"/>
          <w:sz w:val="16"/>
          <w:szCs w:val="16"/>
          <w:color w:val="auto"/>
        </w:rPr>
      </w:pPr>
    </w:p>
    <w:p>
      <w:pPr>
        <w:ind w:left="195" w:right="220" w:hanging="195"/>
        <w:spacing w:after="0" w:line="268"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future and pro forma financial condition or results of operations and future revenues and expenses;</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5"/>
          <w:szCs w:val="15"/>
          <w:color w:val="auto"/>
        </w:rPr>
      </w:pPr>
      <w:r>
        <w:rPr>
          <w:rFonts w:ascii="Arial" w:cs="Arial" w:eastAsia="Arial" w:hAnsi="Arial"/>
          <w:sz w:val="15"/>
          <w:szCs w:val="15"/>
          <w:color w:val="auto"/>
        </w:rPr>
        <w:t>business strategy and other plans and objectives for future operations;</w:t>
      </w:r>
    </w:p>
    <w:p>
      <w:pPr>
        <w:spacing w:after="0" w:line="124" w:lineRule="exact"/>
        <w:rPr>
          <w:rFonts w:ascii="Arial" w:cs="Arial" w:eastAsia="Arial" w:hAnsi="Arial"/>
          <w:sz w:val="15"/>
          <w:szCs w:val="15"/>
          <w:color w:val="auto"/>
        </w:rPr>
      </w:pPr>
    </w:p>
    <w:p>
      <w:pPr>
        <w:ind w:left="195" w:right="620" w:hanging="195"/>
        <w:spacing w:after="0" w:line="268"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regulatory conditions which may be imposed as a condition to approval of the merger;</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unexpected liabilities, including environmental liabilities; and</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200" w:lineRule="exact"/>
        <w:rPr>
          <w:sz w:val="20"/>
          <w:szCs w:val="20"/>
          <w:color w:val="auto"/>
        </w:rPr>
      </w:pPr>
    </w:p>
    <w:p>
      <w:pPr>
        <w:sectPr>
          <w:pgSz w:w="11900" w:h="16838" w:orient="portrait"/>
          <w:cols w:equalWidth="0" w:num="2">
            <w:col w:w="5465" w:space="720"/>
            <w:col w:w="5195"/>
          </w:cols>
          <w:pgMar w:left="240" w:top="459" w:right="279" w:bottom="1440" w:gutter="0" w:footer="0" w:header="0"/>
          <w:type w:val="continuous"/>
        </w:sectPr>
      </w:pP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80"/>
          </w:cols>
          <w:pgMar w:left="240" w:top="459" w:right="27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projection or estimate by Smith that was furnished to its financial advisor, including those statements summarized herein, was made as of a date shortly before the date of the merger agreement and spoke only as of the date furnished and has not been updated. These estimates and projections were only intended to be used by such financial advisor for analysis of the merger and are not intended to provide guidance as to future results and should not be relied upon for that purpose.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Schlumberger or Smith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neither Schlumberger nor Smith undertakes any obligation to publicly update or revise any forward-looking statements except as required by law.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with respect to these factors, see “Where You Can Find More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 (Schlumberger N.V.)</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2009, Schlumberger employed approximately 77,000 people of over 140 nationalities operating in approximately 80 countries. Schlumberger consists of two business segments, Schlumberger Oilfield Services and WesternGeco. Schlumberger Oilfield Services provides the industry’s widest range of products and services from exploration to production, while WesternGeco is the world’s most technologically advanced surface seismic acquisition and processing company.</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principal United States market for Schlumberger’s common stock is the NYSE, where it is traded under the symbol “SLB.” Schlumberger’s common stock is also traded on the Euronext Paris, Euronext Amsterdam, London and SIX Swiss stock exchanges.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Schlumberger has principal executive offices in Paris, Houston and The Hague. Its principal executive offices in the United States are located at 5599 San Felipe, 17th Floor, Houston, Texas 77056, and its telephone number is (713) 513-2000.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International, Inc.</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Founded in 1902, Smith is a leading global provider of premium products and services used during the drilling, completion and production phases of oil and natural gas development activities. Smith’s business is segregated into three operating segments, M-I SWACO, Smith Oilfield and Distribution. Smith provides a comprehensive line of technologically-advanced products and engineering services, including drilling and completion fluid systems, solids-control and separation equipment, waste-management services, three-cone and diamond drill bits, borehole enlargement services, tubulars, directional systems, measurement-while-drilling and logging-while-drilling services, coiled tubing, cased-hole wireline and other complementary downhole tools and services. Smith also offers supply-chain management solutions through an extensive North American branch network providing pipe, valves and fittings as well as mill, safety and other maintenance products.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Smith’s common stock is listed on the NYSE, where it is traded under the symbol “SII.”</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Smith was incorporated in the state of California in January 1937 and reincorporated under Delaware law in May 1983. Smith’s executive offices are headquartered at 1310 Rankin Road, Houston, Texas 77073, and its telephone number is (281) 443-3370.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Turnberry Merger Sub Inc.</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Turnberry Merger Sub Inc., referred to as Merger Sub, is a Delaware corporation and a wholly owned subsidiary of Schlumberger. Merger Sub was formed solely for the purpose of participating in the merger and has conducted no activities other than in connection with the merger.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annual meeting of Smith stockholders will be held on [—], 2010, at [—], local time, at the Hotel du Pont, located at 11th and Market Streets, Wilmington, Delaware.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Smith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Smith annual meeting, Smith stockholders will be asked to vote on the following proposals:</w:t>
      </w:r>
    </w:p>
    <w:p>
      <w:pPr>
        <w:spacing w:after="0" w:line="9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elect three Class III directors to hold office until the 2013 annual meeting of stockholders or until their respective successors have been elected and qualified;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approve Smith’s 1989 Long-Term Incentive Compensation Plan, as amended and restated;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Smith’s independent registered public accounting firm for the 2010 fiscal year; and</w:t>
      </w:r>
    </w:p>
    <w:p>
      <w:pPr>
        <w:spacing w:after="0" w:line="113"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approve the adjournment of the Smith annual meeting, if necessary, to solicit additional proxies if there are not sufficient votes to adopt the merger agreement at the time of the annual meeting.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Only the approval of Proposal 1 is required for the completion of the merger.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Record Date; Stock Entitled to Vote</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Only Smith stockholders of record at the close of business on [—], 2010, which is referred to as the record date, will be entitled to notice of, and to vote at, the Smith annual meeting or any adjournments or postponements thereof.</w:t>
      </w:r>
    </w:p>
    <w:p>
      <w:pPr>
        <w:spacing w:after="0" w:line="1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As of the record date, there were [—] shares of Smith common stock outstanding and entitled to vote at the Smith annual meeting. The Smith common stock is the only class of securities entitled to vote at the Smith annual meeting. Each share of Smith common stock outstanding on the record date entitles the holder thereof to one vote on each matter properly brought before the Smith annual meeting, exercisable in person or by proxy through the internet or by telephone or by a properly executed and delivered proxy with respect to the Smith annual meeting.</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the record date, directors and executive officers of Smith and their affiliates owned and were entitled to vote [—] shares of Smith common stock, or approximately [—]% of the shares of Smith common stock outstanding on that date. It is currently expected that Smith’s directors and executive officers will vote their shares in favor of the adoption of the merger agreement and each of the other proposals described in this proxy statement/prospectus, although none of them have entered into any agreements obligating them to do so.</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of the outstanding shares of Smith common stock entitled to vote constitutes a quorum for the transaction of business at the Smith annual meeting. If you have returned valid proxy instructions or attend the meeting in person, your Smith common stock will be counted for the purpose of determining whether there is a quorum, even if you wish to abstain from voting on some or all matters introduced 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meeting. Broker non-votes are included in the calculation of the number of shares considered to be present at the Smith annual meeting.</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As of the record date, there were [—] shares of Smith common stock outstanding and entitled to vote at the Smith annual meeting. Accordingly, the presence, in person or by proxy, of holders of [—] shares of Smith common stock will be required in order to establish a quorum.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left="660" w:right="52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Adoption of the merger agreement requires the affirmative vote of a majority of the aggregate voting power of the shares of Smith common stock outstanding as of the record date and entitled to vote at the Smith annual meeting.</w:t>
      </w:r>
    </w:p>
    <w:p>
      <w:pPr>
        <w:spacing w:after="0" w:line="50" w:lineRule="exact"/>
        <w:rPr>
          <w:rFonts w:ascii="Arial" w:cs="Arial" w:eastAsia="Arial" w:hAnsi="Arial"/>
          <w:sz w:val="18"/>
          <w:szCs w:val="18"/>
          <w:color w:val="auto"/>
        </w:rPr>
      </w:pPr>
    </w:p>
    <w:p>
      <w:pPr>
        <w:ind w:left="660" w:hanging="206"/>
        <w:spacing w:after="0" w:line="294"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Election of the directors requires the affirmative vote of a majority of the votes cast either for or against the election of such director at the Smith annual meeting. An abstention does not count as a vote cast for these purposes. If a nominee is not elected, he must promptly tender his resignation to the Smith board of directors, which will determine, based on a 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34" w:lineRule="exact"/>
        <w:rPr>
          <w:rFonts w:ascii="Arial" w:cs="Arial" w:eastAsia="Arial" w:hAnsi="Arial"/>
          <w:sz w:val="16"/>
          <w:szCs w:val="16"/>
          <w:color w:val="auto"/>
        </w:rPr>
      </w:pPr>
    </w:p>
    <w:p>
      <w:pPr>
        <w:ind w:left="660" w:right="140" w:hanging="206"/>
        <w:spacing w:after="0" w:line="33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Approval of Smith’s 1989 Long-Term Incentive Compensation Plan requires the affirmative vote of a majority of the shares represented at the meeting and entitled to vote on such proposal, provided that at least a majority of the outstanding shares of Smith common stock vote on such proposal.</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Smith’s independent registered public accounting firm for the 2010 fiscal year requires the affirmative vote of a majority of the shares represented at the meeting and entitled to vote on such proposal.</w:t>
      </w:r>
    </w:p>
    <w:p>
      <w:pPr>
        <w:spacing w:after="0" w:line="5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Approval of the adjournment of the Smith annual meeting requires the affirmative vote of a majority of the shares represented at the meeting and entitled to vote on such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Abstentions, Not Voting and Incomplete Proxies</w:t>
      </w:r>
    </w:p>
    <w:p>
      <w:pPr>
        <w:spacing w:after="0" w:line="90" w:lineRule="exact"/>
        <w:rPr>
          <w:sz w:val="20"/>
          <w:szCs w:val="20"/>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merger proposal, an abstention or a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96"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election of directors, assuming a quorum is present, an abstention or a failure to vote will have no effect on the outcome of the election.</w:t>
      </w:r>
    </w:p>
    <w:p>
      <w:pPr>
        <w:spacing w:after="0" w:line="113" w:lineRule="exact"/>
        <w:rPr>
          <w:rFonts w:ascii="Arial" w:cs="Arial" w:eastAsia="Arial" w:hAnsi="Arial"/>
          <w:sz w:val="16"/>
          <w:szCs w:val="16"/>
          <w:color w:val="auto"/>
        </w:rPr>
      </w:pPr>
    </w:p>
    <w:p>
      <w:pPr>
        <w:ind w:left="660" w:right="320" w:hanging="206"/>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incentive plan proposal, assuming a quorum is present and at least a majority of the outstanding shares of Smith common stock vote on such proposal, a failure to vote will have no effect on the outcome of the vote for the proposal, while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9" w:lineRule="exact"/>
        <w:rPr>
          <w:rFonts w:ascii="Arial" w:cs="Arial" w:eastAsia="Arial" w:hAnsi="Arial"/>
          <w:sz w:val="18"/>
          <w:szCs w:val="18"/>
          <w:color w:val="auto"/>
        </w:rPr>
      </w:pPr>
    </w:p>
    <w:p>
      <w:pPr>
        <w:ind w:left="660" w:right="220" w:hanging="206"/>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Smith’s independent registered public accounting firm for the 2010 fiscal year, assuming a quorum is present, a failure to vote will have no effect on the outcome of the vote for the proposal, while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9" w:lineRule="exact"/>
        <w:rPr>
          <w:rFonts w:ascii="Arial" w:cs="Arial" w:eastAsia="Arial" w:hAnsi="Arial"/>
          <w:sz w:val="18"/>
          <w:szCs w:val="18"/>
          <w:color w:val="auto"/>
        </w:rPr>
      </w:pPr>
    </w:p>
    <w:p>
      <w:pPr>
        <w:ind w:left="660" w:right="40" w:hanging="206"/>
        <w:spacing w:after="0" w:line="33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approval of the adjournment of the Smith annual meeting, if necessary, assuming a quorum is present, a failure to vote will have no effect on the outcome of the vote for the proposal, while an abstention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such proposal.</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proxy is received without indication as to how to vote on any particular proposal, the shares of Smith common stock represented by such proxy will be voted as recommended by the Smith board of directors with respect to that proposal.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 by Holders of Record</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Giving a proxy means that a Smith stockholder authorizes the persons named in the enclosed proxy card to vote its shares at the Smith annual meeting in the manner it directs. A Smith stockholder may vote by proxy or in person at the Smith annual meeting. If you hold your shares of Smith common stock in your name as a stockholder of record, to submit a proxy, you as a Smith stockholder may use one of the following methods:</w:t>
      </w:r>
    </w:p>
    <w:p>
      <w:pPr>
        <w:spacing w:after="0" w:line="20" w:lineRule="exact"/>
        <w:rPr>
          <w:sz w:val="20"/>
          <w:szCs w:val="20"/>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Submit a proxy by internet</w:t>
      </w:r>
      <w:r>
        <w:rPr>
          <w:rFonts w:ascii="Arial" w:cs="Arial" w:eastAsia="Arial" w:hAnsi="Arial"/>
          <w:sz w:val="18"/>
          <w:szCs w:val="18"/>
          <w:color w:val="auto"/>
        </w:rPr>
        <w:t>, by accessing the website specified on the proxy card and following the instructions on the proxy card;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Submit a proxy by telephone</w:t>
      </w:r>
      <w:r>
        <w:rPr>
          <w:rFonts w:ascii="Arial" w:cs="Arial" w:eastAsia="Arial" w:hAnsi="Arial"/>
          <w:sz w:val="16"/>
          <w:szCs w:val="16"/>
          <w:color w:val="auto"/>
        </w:rPr>
        <w:t>, by dialing the toll-free number specified on the proxy card and following the instructions on the proxy card; or</w:t>
      </w:r>
    </w:p>
    <w:p>
      <w:pPr>
        <w:spacing w:after="0" w:line="113" w:lineRule="exact"/>
        <w:rPr>
          <w:rFonts w:ascii="Arial" w:cs="Arial" w:eastAsia="Arial" w:hAnsi="Arial"/>
          <w:sz w:val="16"/>
          <w:szCs w:val="16"/>
          <w:color w:val="auto"/>
        </w:rPr>
      </w:pPr>
    </w:p>
    <w:p>
      <w:pPr>
        <w:ind w:left="660" w:hanging="206"/>
        <w:spacing w:after="0" w:line="275"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Submit a proxy by mail</w:t>
      </w:r>
      <w:r>
        <w:rPr>
          <w:rFonts w:ascii="Arial" w:cs="Arial" w:eastAsia="Arial" w:hAnsi="Arial"/>
          <w:sz w:val="18"/>
          <w:szCs w:val="18"/>
          <w:color w:val="auto"/>
        </w:rPr>
        <w:t>, by completing and returning the proxy card in the enclosed envelope. The envelope requires no additional postage if mailed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w:t>
      </w:r>
    </w:p>
    <w:p>
      <w:pPr>
        <w:spacing w:after="0" w:line="12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A signed proxy also confers discretionary authority to vote with respect to any matter presented at the Smith annual meeting, except as set forth in the proxy and except for matters proposed by a stockholder who notifies Smith not later than the close of business on the [—] day following the day on which the Smith Notice of Annual Meeting of Stockholders was mailed. At the date hereof, management has no knowledge of any business that will be presented for consideration at the Smith annual meeting and which would be required to be set forth in this proxy statement/prospectus or the related proxy card other than the matters set forth in the Smith Notice of Annual Meeting of Stockholders. If any other matter is properly presented at the Smith annual meeting for consideration, it is intended that the persons named in the enclosed form of proxy and acting thereunder will vote in accordance with their best judgment on such matter.</w:t>
      </w:r>
    </w:p>
    <w:p>
      <w:pPr>
        <w:spacing w:after="0" w:line="99" w:lineRule="exact"/>
        <w:rPr>
          <w:sz w:val="20"/>
          <w:szCs w:val="20"/>
          <w:color w:val="auto"/>
        </w:rPr>
      </w:pPr>
    </w:p>
    <w:p>
      <w:pPr>
        <w:ind w:firstLine="456"/>
        <w:spacing w:after="0" w:line="378" w:lineRule="auto"/>
        <w:rPr>
          <w:sz w:val="20"/>
          <w:szCs w:val="20"/>
          <w:color w:val="auto"/>
        </w:rPr>
      </w:pPr>
      <w:r>
        <w:rPr>
          <w:rFonts w:ascii="Arial" w:cs="Arial" w:eastAsia="Arial" w:hAnsi="Arial"/>
          <w:sz w:val="15"/>
          <w:szCs w:val="15"/>
          <w:b w:val="1"/>
          <w:bCs w:val="1"/>
          <w:color w:val="auto"/>
        </w:rPr>
        <w:t xml:space="preserve">Every Smith stockholder’s vote is important. Accordingly, each Smith stockholder should sign, date and return the enclosed proxy card, or submit a proxy via the internet or by telephone, whether or not it plans to attend the Smith annual meeting in person. Proxies must be received by </w:t>
      </w:r>
      <w:r>
        <w:rPr>
          <w:rFonts w:ascii="Arial" w:cs="Arial" w:eastAsia="Arial" w:hAnsi="Arial"/>
          <w:sz w:val="15"/>
          <w:szCs w:val="15"/>
          <w:color w:val="auto"/>
        </w:rPr>
        <w:t>[—]</w:t>
      </w:r>
      <w:r>
        <w:rPr>
          <w:rFonts w:ascii="Arial" w:cs="Arial" w:eastAsia="Arial" w:hAnsi="Arial"/>
          <w:sz w:val="15"/>
          <w:szCs w:val="15"/>
          <w:b w:val="1"/>
          <w:bCs w:val="1"/>
          <w:color w:val="auto"/>
        </w:rPr>
        <w:t>,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you are a Smith stockholder and your shares are held in “street name” in a stock brokerage account or by a bank or nominee, you must provide the record holder of your shares with instructions on how to vote the shares. Please follow the voting instructions provided by the bank or broker. You may not vote shares held in street name by returning a proxy card directly to Smith or by voting in person at the Smith annual meeting unless you provide a “legal proxy,” which you must obtain from your bank or broker. Further, brokers who hold shares of Smith common stock on behalf of their customers may not give a proxy to Smith to vote those shares with respect to the merger proposal, the Smith incentive plan proposal or the election of directors without specific instructions from their customers, as brokers do not have discretionary voting power on such matters.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if you are a Smith stockholder and you do not instruct your broker or other nominee on how to vote your shares:</w:t>
      </w:r>
    </w:p>
    <w:p>
      <w:pPr>
        <w:spacing w:after="0" w:line="90" w:lineRule="exact"/>
        <w:rPr>
          <w:sz w:val="20"/>
          <w:szCs w:val="20"/>
          <w:color w:val="auto"/>
        </w:rPr>
      </w:pPr>
    </w:p>
    <w:p>
      <w:pPr>
        <w:ind w:left="660" w:right="72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on the merger proposal, for which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for the election of directors, for which broker non-votes will have no effect on the outcome of the election.</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on the incentive plan proposal, for which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vote your shares on the other Smith annual meeting matters.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and Changes to a Smith Stockholder’s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Smith stockholder, you have the power to change your vote at any time before your shares are voted at the Smith annual meeting by:</w:t>
      </w:r>
    </w:p>
    <w:p>
      <w:pPr>
        <w:spacing w:after="0" w:line="113" w:lineRule="exact"/>
        <w:rPr>
          <w:sz w:val="20"/>
          <w:szCs w:val="20"/>
          <w:color w:val="auto"/>
        </w:rPr>
      </w:pPr>
    </w:p>
    <w:p>
      <w:pPr>
        <w:ind w:left="660" w:hanging="206"/>
        <w:spacing w:after="0" w:line="332"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submitting notice in writing to Smith’s Corporate Secretary at Smith International, Inc., 1310 Rankin Road, Houston, Texas 77073 that you are revoking your proxy (which, if you hold your shares in street name, you must do in accordance with instructions from your bank or broker);</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executing and delivering a later-dated proxy card or submitting a later-dated proxy by telephone or on the internet;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voting in person at the Smith annual meeting.</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If you are a Smith stockholder of record, revocation of your proxy or voting instructions through the internet, by telephone or by mail must be received by [—], on [—], 2010, although you may also revoke your proxy by attending the Smith annual meeting and voting in person. </w:t>
      </w:r>
      <w:r>
        <w:rPr>
          <w:rFonts w:ascii="Arial" w:cs="Arial" w:eastAsia="Arial" w:hAnsi="Arial"/>
          <w:sz w:val="18"/>
          <w:szCs w:val="18"/>
          <w:b w:val="1"/>
          <w:bCs w:val="1"/>
          <w:color w:val="auto"/>
        </w:rPr>
        <w:t>However, if your shares are held in</w:t>
      </w:r>
      <w:r>
        <w:rPr>
          <w:rFonts w:ascii="Arial" w:cs="Arial" w:eastAsia="Arial" w:hAnsi="Arial"/>
          <w:sz w:val="18"/>
          <w:szCs w:val="18"/>
          <w:color w:val="auto"/>
        </w:rPr>
        <w:t xml:space="preserve"> </w:t>
      </w:r>
      <w:r>
        <w:rPr>
          <w:rFonts w:ascii="Arial" w:cs="Arial" w:eastAsia="Arial" w:hAnsi="Arial"/>
          <w:sz w:val="18"/>
          <w:szCs w:val="18"/>
          <w:b w:val="1"/>
          <w:bCs w:val="1"/>
          <w:color w:val="auto"/>
        </w:rPr>
        <w:t>street name by a bank or broker, you may revoke your instructions only by informing the bank or broker in accordance with any procedures it has established.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Smith’s Benefit Plans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Participants in the Smith International, Inc. 401(k) Retirement Plan, Wilson 401(k) Retirement Plan, M-I Retirement Plan or M-I L.L.C. Greybull Retirement Plan have received voting instruction cards in lieu of a proxy card. Only the trustees of these plans, in their capacity as directed trustees, can vote the plan shares at the Smith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solicitation of proxies from Smith stockholders is made on behalf of the Smith board of directors. Smith and Schlumberger will each bear their own costs and expenses, including with respect to printing and mailing this proxy statement/prospectus and payment of fees to the SEC. Smith will pay the costs of soliciting and obtaining proxies from Smith stockholders, including the cost of reimbursing brokers, banks and other financial institutions for forwarding proxy materials to their customers. Proxies may be solicited, without extra compensation, by Smith officers and employees by mail, telephone, fax, personal interviews or other methods of communication. Smith has engaged the firm of MacKenzie Partners, Inc. to assist Smith in the distribution and solicitation of proxies from Smith stockholders and will pay MacKenzie Partners, Inc. an estimated fee of $[—], as well as out-of-pocket expenses for its services.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Adoption of the Merger Agreement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Smith is asking its stockholders to vote on the proposal to adopt the merger agreement. For a detailed discussion of the terms and conditions of the merger, see “The Merger Agreement.” As discussed in the section entitled “The Merger—Smith’s Reasons for the Merger; Recommendation of the Smith Board of Directors,” after careful consideration, the Smith board of directors, by a unanimous vote of all directors, determined that the merger, the merger agreement and the transactions contemplated by the merger agreement are advisable and in the best interests of Smith and its stockholders, and approved the merger agreement and the transactions contemplated thereby.</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Adoption of the merger agreement requires the affirmative vote of holders of a majority of the voting power of the outstanding shares of Smith common stock. For purposes of this vote, an abstention or a failure to vote or to instruct a broker or nominee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will vote your shares as you specify on your proxy card. If you properly execute and return your proxy card (in paper form, electronically via the internet or by telephone), but do not specify how you want your shares voted, we will vote them “</w:t>
      </w:r>
      <w:r>
        <w:rPr>
          <w:rFonts w:ascii="Arial" w:cs="Arial" w:eastAsia="Arial" w:hAnsi="Arial"/>
          <w:sz w:val="16"/>
          <w:szCs w:val="16"/>
          <w:b w:val="1"/>
          <w:bCs w:val="1"/>
          <w:color w:val="auto"/>
        </w:rPr>
        <w:t>FOR</w:t>
      </w:r>
      <w:r>
        <w:rPr>
          <w:rFonts w:ascii="Arial" w:cs="Arial" w:eastAsia="Arial" w:hAnsi="Arial"/>
          <w:sz w:val="16"/>
          <w:szCs w:val="16"/>
          <w:color w:val="auto"/>
        </w:rPr>
        <w:t>” the adoption of the merger agreement.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Smith board of directors unanimously recommends that Smith stockholders vote “FOR” the adoption of the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Election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Smith annual meeting, stockholders will elect three persons as Class III directors to hold office until the 2013 annual meeting of Smith stockholders, or until they are succeeded by other qualified directors who have been appointed or elected. The nominees are James R. Gibbs, Duane C. Radtke and John Yearwood. It is not expected that the members of the Smith board of directors will continue to serve on the board of Smith or of the combined company following the completion of the merger.</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Directors must be elected by a majority of the votes cast at the meeting either for or against the election of such director. We will vote your shares as you specify on your proxy card. If you properly execute and return your proxy card (in paper form, electronically via the internet or by telephone), but do not specify how you want your shares voted, we will vote them “</w:t>
      </w:r>
      <w:r>
        <w:rPr>
          <w:rFonts w:ascii="Arial" w:cs="Arial" w:eastAsia="Arial" w:hAnsi="Arial"/>
          <w:sz w:val="18"/>
          <w:szCs w:val="18"/>
          <w:b w:val="1"/>
          <w:bCs w:val="1"/>
          <w:color w:val="auto"/>
        </w:rPr>
        <w:t>FOR</w:t>
      </w:r>
      <w:r>
        <w:rPr>
          <w:rFonts w:ascii="Arial" w:cs="Arial" w:eastAsia="Arial" w:hAnsi="Arial"/>
          <w:sz w:val="18"/>
          <w:szCs w:val="18"/>
          <w:color w:val="auto"/>
        </w:rPr>
        <w:t>” the election of all of the nominees listed above.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of the nominees is a current member of the Smith board of directors and has consented to serve if elected. Although management does not contemplate the possibility, in the event any nominee is not a candidate or is unable to serve as a director at the time of the election, the proxies will vote for any nominee who is designated by the present Smith board of directors to fill the vacancy.</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Smith board of directors recommends a vote “FOR” each of the director nominees named above.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“Election of Directors of Smith” for a brief biography of all directors, including the director nominees.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Approval of the 1989 Long-Term Incentive Compensation Plan, as Amended and Restated</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the Smith annual meeting, you will be asked to approve an amendment and restatement to the Smith International, Inc. 1989 Long-Term Incentive Compensation Plan (the “plan”), which incorporates previous amendments, increases by 5,000,000 the number of shares of Smith common stock reserved for the plan and makes other minor changes identified herein. On [—], 2010, the last reported closing price of Smith’s common stock on the New York Stock Exchange Composite Tape was $[—].</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affirmative vote of a majority of the shares represented at the Smith annual meeting and entitled to vote will be required to approve the plan, provided that the total votes cast on the proposal represent at least a majority of the outstanding shares of Smith common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Ratification of the Appointment of Deloitte &amp; Touche LLP as Smith’s Independent Registered Public Accounting Firm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of the Smith board of directors has selected Deloitte &amp; Touche LLP as its independent registered public accounting firm to audit the books and records of Smith for its fiscal year ending December 31, 2010. The services of Deloitte &amp; Touche LLP will include the audit of the effectiveness of internal controls over financial reporting. Smith has been advised by Deloitte &amp; Touche LLP that the firm has no relationship with Smith or its subsidiaries other than that arising from the firm’s engagement as independent registered public accountants and, in limited circumstances, tax advisors. Deloitte &amp; Touche LLP has audited Smith’s financial statements since April 15, 2002.</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Ratification of the appointment of Deloitte &amp; Touche LLP as Smith’s independent registered public accountants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3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continued engagement of Deloitte &amp; Touche LLP as independent registered public accounting firm to audit Smith’s books and records for the fiscal year ending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Approval of the Adjournment of the Smith Annual Meeting, if Necessary</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Smith is asking its stockholders to vote on a proposal to approve the adjournment of the Smith annual meeting, if necessary, to solicit additional proxies if there are not sufficient votes to adopt the merger agreement at the time of the annual meeting.</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Adjournment of the Smith annual meeting, if necessary, to solicit additional proxies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Smith board of directors recommends that the stockholders vote “FOR” approval to adjourn the Smith annual meeting, if necessary.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Smith board of directors does not intend to present any other business for action at the meeting, and Smith has not been advised of any other business intended to be presented by others.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Smith and Schlumberger periodically review and assess their industry and strategic alternatives available to enhance shareholder value. As leading companies in their respective lines of business, Smith and Schlumberger are generally familiar with each other’s business. Smith and Schlumberger have, from time to time, discussed and engaged in both commercial and strategic transactions with each other, and meet regularly at board meetings of and otherwise with respect to the operation of M-I SWACO, a joint venture between Smith and Schlumberger since 1999, of which Smith is a 60 percent owner and Schlumberger is a 40 percent owner. The terms of the M-I SWACO joint venture include a “buy/sell provision” pursuant to which either Smith or Schlumberger can offer to sell to the other its entire ownership interest in M-I SWACO in exchange for a cash purchase price per percentage interest specified by the offering party. If the initiating party’s offer to sell is not accepted, such party is obligated to purchase the other party’s interest at the same valuation per percentage interest. In addition, the terms of the M-I SWACO joint venture agreements require a party which is undergoing a change of control to offer to sell to the other its entire ownership interest in M-I SWACO in exchange for a cash purchase price per percentage interest specified by the offering party, and the non-offering party may either accept such offer, require the offering party to purchase the non-offering party’s interest at the same valuation per percentage interest or retain its ownership interest.</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late 2005, Schlumberger approached Smith and suggested that the parties discuss a potential business combination. In connection with these discussions, Smith and Schlumberger entered into a confidentiality agreement dated November 7, 2005, in which Smith and Schlumberger each agreed to a “standstill” provision providing that it would not, for a period of two years, acquire or seek, offer or propose to acquire any securities of the other party or undertake certain other transactions to control or influence the other party. Following the exchange of high-level due diligence information and preliminary discussions, Schlumberger proposed a business combination with consideration per share of Smith common stock consisting of 0.6824 shares of Schlumberger common stock (as adjusted for a 2006 split of the Schlumberger common stock) and $8.00 in cash. Schlumberger’s offer equated to a total enterprise value of approximately $9.8 billion, including $8.5 billion for the shares of Smith common stock, based on the number of outstanding shares as of the then-most recently available filings and including all of Smith’s debt and cash (including all of the debt and cash in Smith’s M-I SWACO joint venture and CE Franklin Ltd. subsidiary) and the book value of the noncontrolling interests in M-I SWACO and CE Franklin Ltd. The Smith board concluded that, in light of Smith’s prospects at the time and the trading multiples of each company’s shares relative to their historical levels, the financial terms of the proposed transaction were not acceptable, and discussions terminated in late November 2005.</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January 13, 2006, Mr. Doug Rock, then-Chairman of the Board, Chief Executive Officer, President and Chief Operating Officer of Smith, Mr. Loren Carroll, a Smith director, Mr. Andrew Gould, Chairman and Chief Executive Officer of Schlumberger, and Mr. Simon Ayat, currently Executive Vice President and Chief Financial Officer of Schlumberger, met to discuss a potential business combination. However, Smith and Schlumberger were unable to reach an agreement on price, and discussions were terminated prior to the parties commencing substantive discussions on other terms.</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second and third quarter of 2007, Schlumberger and Smith engaged in discussions regarding the creation of a new joint venture that would have involved Smith’s drill bits business. Among other possibilities, the parties discussed reducing Schlumberger’s interest in M-I SWACO in connection with this new joint venture. Ultimately, the parties were unable to agree on the relative values of Smith Technologies and M-I SWACO and discussions terminated.</w:t>
      </w:r>
    </w:p>
    <w:p>
      <w:pPr>
        <w:spacing w:after="0" w:line="10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early February 2008, Mr. Ayat approached Mr. John Yearwood, who was then a director of Smith and who had been employed by Schlumberger for more than 27 years, most recently serving as Senior Advisor to the Chief Executive Officer of Schlumberger from March 2006 until May 2008, regarding a potential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combination of Smith and Schlumberger. On February 8, 2008, Smith and Schlumberger entered into a new confidentiality agreement, which again provided for a standstill period extending for two years from the date of the agreement. Prior to any material discussions regarding a business combination, Schlumberger decided to pursue other business opportunities and advised Smith that it would not make a proposal to Smith.</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late January 2009, Mr. Simon Ayat, Executive Vice President and Chief Financial Officer of Schlumberger, called Mr. Yearwood, who had since been named Chief Executive Officer, President and Chief Operating Officer of Smith, and suggested that they discuss the possibility of a business combination. Mr. Ayat did not present any specific proposal. Mr. Yearwood indicated that he would discuss the matter with the Smith board.</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At meetings in early February 2009, the Smith board, together with UBS Securities LLC, its financial advisor, and Wachtell, Lipton, Rosen &amp; Katz, its legal advisor, considered the possibility of entering into business combination discussions with Schlumberger, but determined not to do so in view of Smith’s need to refinance debt which had impending maturities and the dislocation in the credit markets. The Smith board, while generally acknowledging the strategic logic of the combination, believed that the timing for a negotiation of a business combination with Schlumberger was inopportune. The Smith board believed that it was not practicable for Smith at the time to attempt to conduct discussions concerning a business combination while simultaneously seeking to publicly or privately sell its debt securities. Accordingly, Mr. Yearwood met with Mr. Gould and informed him that Smith was not interested in discussing a business combination at that time.</w:t>
      </w:r>
    </w:p>
    <w:p>
      <w:pPr>
        <w:spacing w:after="0" w:line="14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Smith completed a public offering of $1 billion of senior notes in March 2009 to refinance certain of its impending debt maturities. Following this refinancing, Mr. Ayat again suggested to Mr. Yearwood that they discuss a business combination. On April 14, 2009, Smith and Schlumberger entered into a new confidentiality agreement, which again provided for a two-year standstill period, as well as an agreement that neither party would exercise its rights under the M-I SWACO buy/sell provisions for a period of 90 days after termination of negotiations between the parties. Following execution of the confidentiality agreement, Smith furnished due diligence information to Schlumberger and the parties conducted due diligence of Smith, which included meetings between members of Smith and Schlumberger management. Mr. Gould and Mr. Yearwood also had several discussions regarding the potential terms of a business combination.</w:t>
      </w:r>
    </w:p>
    <w:p>
      <w:pPr>
        <w:spacing w:after="0" w:line="10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On May 12, 2009, Schlumberger sent a letter to Smith proposing a business combination with consideration equivalent to 0.70 shares of Schlumberger common stock per share of Smith common stock, consisting of 85% in Schlumberger common stock and 15% in cash in a transaction intended to be taxable to Smith stockholders, which equated to a total enterprise value of approximately $12.4 billion, including $8.6 billion for the shares of Smith common stock, calculated on the same basis as described above.</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late May and early June 2009, the Smith board met, along with its financial and legal advisors, to consider the Schlumberger proposal, including the financial terms of the proposal, the likelihood that the transaction could be successfully completed, and potential responses to the proposal. The Smith board considered alternatives to a business combination transaction, including exercising the M-I SWACO buy/sell provisions and continuing its existing business with the buy/sell provisions remaining in place, but did not believe these alternatives compared favorably from a financial and strategic perspective to the transaction proposed by Schlumberger. The Smith board also considered approaching other potential counterparties with respect to a business combination as an alternative to a strategic transaction with Schlumberger, but believed that strategic benefits similar to those offered by the Schlumberger proposal were not readily obtainable from other parties, and believed that several of the other potentially interested parties either lacked the financial resources to make a financially more attractive offer and/or would have significant risks relating to antitrust approvals for any such business combination. Further, despite its view that a competing bid was highly unlikely, the Smith board concluded that any merger agreement should include provisions which would permit an interested party to offer a superior transaction and enable the Smith board to terminate the Schlumberger transaction upon payment of a relatively modest breakup fee in order to proceed with any such superior transaction. Following these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discussions, Mr. Yearwood sent a letter to Mr. Gould on June 4, 2009 suggesting that Schlumberger increase the amount of the consideration to the equivalent of 0.775 shares of Schlumberger common stock per share of Smith common stock, which equated to a total enterprise value of approximately $13.8 billion, including $9.9 billion for the shares of Smith common stock, calculated on the same basis as described above. Mr. Yearwood also recommended, among other matters, that Schlumberger commit to take any actions necessary to obtain regulatory approvals and to pay a ticking fee if the transaction were not consummated by the end of 2009, and that Smith have the right to terminate the transaction to accept a superior proposal on payment of a break-up fee of 2.5% of Smith’s pre-signing equity value, in which case the M-I SWACO buy/sell provisions would be suspended for two years.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June 9, 2009, Mr. Ayat responded to Mr. Yearwood that Schlumberger was not prepared to increase the consideration or modify the provisions regarding regulatory approval, the ticking fee and the suspension of the M-I SWACO buy/sell provisions and he reiterated Schlumberger’s prior proposal.</w:t>
      </w:r>
    </w:p>
    <w:p>
      <w:pPr>
        <w:spacing w:after="0" w:line="8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Smith board met on June 10 and 11, 2009, along with its financial and legal advisors, to discuss the Schlumberger response, including the valuation of Smith and the allocation of risks that antitrust approvals would not be obtained. Among the methods that the Smith board considered for allocating regulatory risks were to require greater commitments by Schlumberger to make divestitures, require Schlumberger to pay a fee if the transaction were terminated for failure to obtain regulatory approvals or require Schlumberger to increase the consideration paid to Smith stockholders if the closing of the transaction were delayed. Following these discussions, the Smith board determined that it was prepared to consider a business combination with Schlumberger on revised terms, including consideration equivalent to 0.72 shares of Schlumberger common stock per share of Smith common stock in which Smith stockholders would receive 85% Schlumberger common stock and 15% cash in a fully taxable transaction, which equated to a total enterprise value of approximately $13.7 billion, including approximately $9.8 billion for the shares of Smith common stock, calculated on the same basis as described above. On June 11, 2009, Mr. Yearwood sent to Mr. Gould a letter proposing this level of consideration as well as a requirement for Schlumberger to accept regulatory requirements to divest certain assets; a reverse termination fee of $600 million payable by Schlumberger if regulatory approvals were not obtained; a one-year suspension of the M-I SWACO buy/sell provisions upon such termination; a delayed ticking fee; and a Smith right to terminate the transaction to accept a superior proposal on payment of a break-up fee of 1% of Smith’s signing date equity value.</w:t>
      </w:r>
    </w:p>
    <w:p>
      <w:pPr>
        <w:spacing w:after="0" w:line="12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Later in the day on June 11, 2009, Mr. Gould sent to Mr. Yearwood a letter presenting what Mr. Gould characterized as Schlumberger’s best and final offer, expiring at the close of business on June 12, 2009. This proposal accepted Smith’s proposed consideration but increased the break-up fee payable by Smith to 3% of Smith’s signing date equity value and rejected the related suspension of the M-I SWACO buy/sell provisions which Smith had proposed, limited Schlumberger’s divestiture obligations to assets (other than W-H and Wilson assets) generating up to $250 million in revenues, reduced the reverse termination fee payable by Schlumberger to 3% of Smith’s signing date equity value, and eliminated the ticking fee.</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a meeting on June 12, 2009, the Smith board, along with its financial and legal advisors, met to discuss Schlumberger’s proposal. The Smith board reviewed each of the points in the Schlumberger letter in detail with management and its advisors. At the conclusion of its deliberations, the Smith board determined to proceed with the negotiation of a definitive merger agreement on the basis of the Schlumberger proposal. Mr. Yearwood informed Mr. Gould of the Smith board’s willingness to proceed on this basis. Later that evening, Schlumberger’s legal advisor, Baker Botts L.L.P., delivered a draft merger agreement to Wachtell, Lipton. Over the next week, Wachtell, Lipton, Baker Botts and members of Smith’s and Schlumberger’s respective management teams negotiated the terms of the merger agreement and related documentation, while Schlumberger, Smith, and their respective advisors continued their due diligence efforts.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20, 2009, Mr. Gould informed Mr. Yearwood that the Schlumberger board was concerned about Smith’s anticipated financial results for the second quarter of 2009 as furnished to Schlumberger on the previous day. Mr. Gould suggested that merger agreement negotiations be suspended while due diligence efforts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continued. Mr. Yearwood responded that it would not be appropriate to continue due diligence efforts if the parties were not actively pursuing a business combination, and Mr. Gould stated that Schlumberger would suspend further work on the business combination pending the expiry of at least three trading days following the announcement of Smith’s second-quarter earnings.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August 6, 2009, after Smith’s July 28, 2009 earnings announcement, Mr. Gould called Mr. Yearwood to propose reengaging on the same terms as presented in the June 11, 2009 letter (including that consideration would be 85% in Schlumberger common stock and 15% in cash in a fully taxable transaction), except that consideration would be equal to a 35% premium over the average implied exchange ratio based on the closing prices of Schlumberger and Smith common stock from July 6, 2009 through the signing of the definitive merger agreement. Based on such prices through August 6, 2009, this proposal implied consideration equivalent to approximately 0.6206 shares of Schlumberger common stock per share of Smith common stock, which equated to a total enterprise value of approximately $10.9 billion, including $7.3 billion for the shares of Smith common stock, calculated on the same basis as described above.</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At a meeting on August 7, 2009, the Smith board, along with its financial and legal advisors, reviewed Schlumberger’s revised proposal and internal and external developments in the Smith business since June 2009. The Smith board decided to reject Schlumberger’s proposal, and Mr. Yearwood sent to Mr. Gould a letter to that effect. By letters sent on September 2 and 3, 2009, Schlumberger and Smith officially terminated negotiations.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On November 23, 2009, Mr. Gould and Mr. Yearwood met in response to Mr. Gould’s request to review the summer 2009 discussions and Smith’s positions on issues other than valuation. During this meeting Mr. Yearwood informed Mr. Gould that, based on Schlumberger’s modifications to its proposal following the Smith July 28, 2009 earnings announcement and the Smith board’s rejection of that proposal, he believed that in any renewed discussions with Schlumberger, the Smith board would focus on value and certainty of closing. Following this meeting, Mr. Richard E. Chandler, Jr., Senior Vice President, General Counsel and Corporate Secretary of Smith, and Mr. Alex Juden, Secretary and General Counsel of Schlumberger, discussed regulatory approvals, the time and potential concessions that would be required to obtain such approvals and other issues related to closing certainty if discussions were to resume with Schlumberger.</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late January, in light of Mr. Yearwood’s prior statements about the board’s focus, Mr. Gould requested that he be permitted to make a proposal directly to the Smith board. In response to the request, Mr. Rock, Chairman of the Board of Smith, and Mr. James Gibbs, Lead Director of Smith, met with Mr. Gould to discuss a potential business combination. At this meeting, Mr. Gould expressed his view that Schlumberger was interested in renewing prior discussions with a view to quickly completing a business combination with Smith, but if an agreement was not reached as a result of these discussions, that Schlumberger would proceed with other possible transactions. Mr. Gould suggested meeting through the weekend of February 13, 2010 until midday on Thursday, February 18, 2010 to permit the presentation and discussion of a business combination proposal.</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At a meeting on February 3, 2010, the Smith board was informed of the upcoming meeting with Mr. Gould and determined that in order to facilitate direct discussions between the Smith board and Schlumberger, it would be appropriate to establish a negotiation committee composed of Messrs. Rock, Carroll and Yearwood as the three members of the Smith board with the greatest knowledge regarding Smith. On February 13, 2010, Messrs. Gould and Ayat met with Messrs. Rock, Carroll and Yearwood as well as Mr. William Restrepo, Smith’s Chief Financial Officer, to discuss the terms of a potential transaction. Mr. Gould proposed a transaction intended to be tax-free for U.S. federal income tax purposes for Smith stockholders, with consideration entirely in the form of Schlumberger common stock with a value equal to a 35% premium over the average closing price of Smith stock for the 10 trading days preceding the date of the definitive merger agreement, and otherwise on the same terms set forth in Schlumberger’s June 11, 2009 letter. For the 10 trading days preceding February 13, 2010, this was equivalent to consideration of approximately 0.6595 shares of Schlumberger common stock per share of Smith common stock, which equated to a total enterprise value of approximately $13.1 billion, including $10.5 billion for the shares of Smith common stock, calculated on the same basis as described above. The Smith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representatives indicated that the proposed level of consideration was insufficient, and following negotiation, the Schlumberger representatives and Smith representatives reached agreement on a proposed valuation formula with a 40% premium over the 10-day trading period, which as of that day was equivalent to consideration of approximately 0.6839 shares of Schlumberger common stock per share of Smith common stock, which equated to a total enterprise value of approximately $13.5 billion, including $10.9 billion for the shares of Smith common stock, calculated on the same basis as described above. Messrs. Gould, Yearwood, Rock and Carroll then left the meeting, which was joined by Mr. Peter Pintar, Smith’s Vice President Corporate Strategy and Development and Mr. Simon Farrant, Schlumberger’s Portfolio Manager, Mr. Krishna Shivram, Schlumberger’s Manager, Mergers &amp; Acquisitions, and Messrs. Chandler and Juden, whereupon the parties confirmed various commercial and financial aspects of the proposed transaction in light of the agreements reached earlier in the meeting, and discussed next steps. On February 14, 2010, Messrs. Gould, Ayat, Shivram, Farrant and Juden met with Messrs. Yearwood, Restrepo, Pintar and Chandler to continue to confirm various aspects of the proposed transaction that had been discussed the previous day.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Smith board met on February 14, 2010, along with its financial and legal advisors, to review the Schlumberger proposal. Following this discussion, the Smith board authorized Smith management and advisors to continue the negotiations with Schlumberger, including negotiation of the terms of a merger agreement. Later that evening Baker Botts delivered a draft merger agreement to Wachtell, Lipton based on the draft agreement that had been discussed in June 2009, and Smith and Schlumberger recommenced due diligence efforts.</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Smith board met again on February 16, 2010, along with its financial and legal advisors, to discuss the Schlumberger proposal in detail, including the financial aspects of the proposal, and further information from the ongoing negotiations and due diligence. The Smith board discussed the advisability of the proposed transaction, including among other things the valuation implied by the proposal, Smith’s business prospects and strategy, and the strategic benefits of a combination with Schlumberger. The Smith board also discussed whether other parties were likely to be able to enter into alternative business combinations on terms more favorable to Smith stockholders and concluded that other parties were not likely to be able to do so. The Smith board considered the consequences of a premature disclosure that could endanger the Schlumberger negotiations. The Smith board also considered that the terms of the draft merger agreement allowed the Smith board to change or withdraw its recommendation or terminate the merger agreement in favor of a superior proposal. The Smith board determined to continue with negotiations. Over the next several days, Smith and Schlumberger continued their due diligence efforts, including management interviews of both Smith and Schlumberger officers, while Wachtell, Lipton and Baker Botts negotiated the terms of a merger agreement.</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February 18, 2010, the Schlumberger board met to consider the terms of the proposed transaction. Goldman, Sachs &amp; Co., Schlumberger’s financial advisor, reviewed with the Schlumberger board its preliminary financial analysis of the exchange ratio provided for in the proposed merger. Following discussion, the Schlumberger board unanimously approved the proposed merger agreement, the proposed merger, and the other agreements and transactions contemplated by the proposed merger agreement, subject to the receipt by the finance committee of the Schlumberger board of Goldman Sachs’s final financial analysis of the exchange ratio provided for in the proposed merger, and the finance committee’s not recommending that the Schlumberger board’s approval be revised or withdrawn.</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close of trading on February 18, 2010, media reports regarding the proposed transaction began to circulate, causing significant shifts in the trading prices of both Smith and Schlumberger common stock on February 19, 2010. The Smith board met later that day, along with its financial and legal advisors, to receive an update as to these reports and the effect on the proposed merger consideration. The Smith board authorized Mr. Yearwood to negotiate with Schlumberger adjustments to the calculation of the exchange ratio in response to these events. Mr. Yearwood and Mr. Ayat spoke later that day and agreed, in light of the media reports which had affected the trading prices of the Smith and Schlumberger common stock, to modify the proposed valuation formula by replacing the actual trading prices on February 19, 2010 with a second occurrence of the February 18, 2010 trading prices, which resulted in an exchange ratio of 0.6966 shares of Schlumberger common stock per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share of Smith common stock and which equated to a total enterprise value of approximately $14.0 billion, including $11.4 billion for the shares of Smith common stock, based on the closing price of Smith and Schlumberger common stock on February 18, 2010, calculated on the same basis as described above, and which reflected a 40.6% premium to the average implied historical exchange ratio between the shares of common stock of the two companies for the 10 trading day period ended February 18, 2010 and a 37.7% premium to the same ratio for the 10 trading day period ended February 19, 2010. The terms of the proposed merger agreement, including the proposed exchange ratio of 0.6966 shares of Schlumberger common stock per share of Smith common stock, were finalized and submitted to the Smith board and the Schlumberger board for their consideration.</w:t>
      </w:r>
    </w:p>
    <w:p>
      <w:pPr>
        <w:spacing w:after="0" w:line="12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On February 20, 2010, the Smith board met, along with its financial and legal advisors, to consider the terms of the proposed transaction, which had been negotiated. UBS reviewed with the Smith board its financial analysis of the exchange ratio provided for in the proposed merger. Wachtell, Lipton reviewed the legal terms of the proposed merger agreement, including the provisions relating to the allocation of regulatory risks. UBS delivered to the Smith board an oral opinion, which was confirmed by delivery of a written opinion dated February 20, 2010, attached hereto as Annex B, to the effect that, as of that date and subject to the factors and assumptions set forth in such opinion, the 0.6966 exchange ratio provided for in the proposed merger was fair, from a financial point of view, to Smith’s stockholders, other than Schlumberger and its affiliates, as more fully described below under the caption “—Opinion of Smith’s Financial Advisor.” Following discussion, the board unanimously determined that the proposed merger agreement, the proposed merger, and the other agreements and transactions contemplated by the proposed merger agreement are fair to and in the best interests of Smith and its stockholders, and approved and adopted and declared to be advisable the proposed merger agreement and the transactions contemplated by the proposed merger agreement, including the proposed merger.</w:t>
      </w:r>
    </w:p>
    <w:p>
      <w:pPr>
        <w:spacing w:after="0" w:line="10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February 21, 2010, the finance committee of the Schlumberger board met to consider the terms of the proposed transaction. Goldman Sachs reviewed with the finance committee its financial analysis of the exchange ratio provided for in the proposed merger. Following discussion, pursuant to the authority delegated to the committee by the Schlumberger board, the finance committee unanimously determined to proceed with the transaction.</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Later in the day on February 21, 2010, the merger agreement was executed by Smith, Schlumberger and Turnberry Merger Sub Inc., and Smith and Schlumberger issued a joint press release announcing the merger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Smith’s Reasons for the Merger; Recommendation of the Smith Board of Directors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reaching its decision to approve the merger and the merger agreement and recommend adoption of the merger agreement by Smith stockholders, the Smith board of directors consulted with Smith senior management, as well as with Smith’s legal and financial advisors, and considered a number of factors, including the following material factors:</w:t>
      </w:r>
    </w:p>
    <w:p>
      <w:pPr>
        <w:spacing w:after="0" w:line="59" w:lineRule="exact"/>
        <w:rPr>
          <w:sz w:val="20"/>
          <w:szCs w:val="20"/>
          <w:color w:val="auto"/>
        </w:rPr>
      </w:pPr>
    </w:p>
    <w:p>
      <w:pPr>
        <w:ind w:left="660" w:hanging="206"/>
        <w:spacing w:after="0" w:line="298"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fact that the implied value of the proposed exchange ratio, based on the closing price of Schlumberger common stock on February 18, 2010 (the last trading day before various news outlets began reporting on a possible transaction involving Smith and Schlumberger), represented a 37.5% premium to the closing price of Smith common stock on such date and a 40.6% premium to the average implied historical exchange ratio between the shares of common stock of the two companies for the 10 trading day period ended February 18, 2010.</w:t>
      </w:r>
    </w:p>
    <w:p>
      <w:pPr>
        <w:spacing w:after="0" w:line="31" w:lineRule="exact"/>
        <w:rPr>
          <w:rFonts w:ascii="Arial" w:cs="Arial" w:eastAsia="Arial" w:hAnsi="Arial"/>
          <w:sz w:val="16"/>
          <w:szCs w:val="16"/>
          <w:color w:val="auto"/>
        </w:rPr>
      </w:pPr>
    </w:p>
    <w:p>
      <w:pPr>
        <w:ind w:left="660" w:right="60" w:hanging="206"/>
        <w:spacing w:after="0" w:line="25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fact that Smith stockholders immediately prior to the merger would own approximately 12.8% of the equity interests of Schlumberger immediately following the completion of the merger, which would give former Smith stockholders the opportunity to participate in future earnings and growth of Schlumberger and future appreciation in the value of Schlumberger’s common stock following the merger should they determine to retain the Schlumberger common stock they would receive in the merger.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combined company would be a global leader in oil and natural gas supply and services, operating in a wide variety of areas such as drilling fluid systems, drill bits, wireline, directional drilling, tubular products, down-hole tools, coiled tubing, and waste management services, which it believed would benefit Smith and the combined company.</w:t>
      </w:r>
    </w:p>
    <w:p>
      <w:pPr>
        <w:spacing w:after="0" w:line="59"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combined company would be able to offer an integrated suite of products and services to its customers, including in areas outside of the fluid systems, solids-control and separation equipment, waste-management services, drill bits, downhole tools and services and supply chain management businesses which Smith currently operates, and would have enhanced capability to design and implement technological advances in equipment and operations.</w:t>
      </w:r>
    </w:p>
    <w:p>
      <w:pPr>
        <w:spacing w:after="0" w:line="62"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Smith board’s belief that a business combination with Schlumberger offered strategic benefits as described above that would not be easily realized with other counterparties.</w:t>
      </w:r>
    </w:p>
    <w:p>
      <w:pPr>
        <w:spacing w:after="0" w:line="5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Smith did not receive any proposals from any party other than Schlumberger regarding a business combination with Smith at any time during the consideration of the various Schlumberger proposals.</w:t>
      </w:r>
    </w:p>
    <w:p>
      <w:pPr>
        <w:spacing w:after="0" w:line="50" w:lineRule="exact"/>
        <w:rPr>
          <w:rFonts w:ascii="Arial" w:cs="Arial" w:eastAsia="Arial" w:hAnsi="Arial"/>
          <w:sz w:val="18"/>
          <w:szCs w:val="18"/>
          <w:color w:val="auto"/>
        </w:rPr>
      </w:pPr>
    </w:p>
    <w:p>
      <w:pPr>
        <w:ind w:left="660" w:right="160" w:hanging="206"/>
        <w:spacing w:after="0" w:line="33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Smith board of directors’ knowledge of Smith’s business, operations, financial condition, earnings and prospects and of Schlumberger’s business, operations, financial condition, earnings and prospects, taking into account the results of Smith’s due diligence review of Schlumberger.</w:t>
      </w:r>
    </w:p>
    <w:p>
      <w:pPr>
        <w:spacing w:after="0" w:line="4" w:lineRule="exact"/>
        <w:rPr>
          <w:rFonts w:ascii="Arial" w:cs="Arial" w:eastAsia="Arial" w:hAnsi="Arial"/>
          <w:sz w:val="16"/>
          <w:szCs w:val="16"/>
          <w:color w:val="auto"/>
        </w:rPr>
      </w:pPr>
    </w:p>
    <w:p>
      <w:pPr>
        <w:ind w:left="660" w:right="80" w:hanging="206"/>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prevailing macroeconomic conditions, and the economic environment of the industries in which Smith and Schlumberger operate, including Schlumberger’s strong performance in the recent challenging operating environment, which it viewed as supporting the rationale for seeking a strategic transaction that should create a global oil and natural gas supply and services company better positioned to respond to volatile macroeconomic and industry conditions than Smith on a standalone basis.</w:t>
      </w:r>
    </w:p>
    <w:p>
      <w:pPr>
        <w:spacing w:after="0" w:line="62"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financial profile of a combined Smith and Schlumberger would be more attractive than that of Smith as a standalone company, with a more diversified revenue base, both with respect to product/service offering and geography, and a greater free cash flow as well as the synergies anticipated to be achievable in connection with the merger.</w:t>
      </w:r>
    </w:p>
    <w:p>
      <w:pPr>
        <w:spacing w:after="0" w:line="59" w:lineRule="exact"/>
        <w:rPr>
          <w:rFonts w:ascii="Arial" w:cs="Arial" w:eastAsia="Arial" w:hAnsi="Arial"/>
          <w:sz w:val="18"/>
          <w:szCs w:val="18"/>
          <w:color w:val="auto"/>
        </w:rPr>
      </w:pPr>
    </w:p>
    <w:p>
      <w:pPr>
        <w:jc w:val="both"/>
        <w:ind w:left="660" w:right="24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strong strategic fit with Schlumberger, particularly with respect to integrated design of drilling assemblies, including drill bits and drilling fluids, distribution and supply-chain services, and product development programs, and increasing demand by exploration and development companies for a single source of oilfield supplies and services.</w:t>
      </w:r>
    </w:p>
    <w:p>
      <w:pPr>
        <w:spacing w:after="0" w:line="59" w:lineRule="exact"/>
        <w:rPr>
          <w:rFonts w:ascii="Arial" w:cs="Arial" w:eastAsia="Arial" w:hAnsi="Arial"/>
          <w:sz w:val="18"/>
          <w:szCs w:val="18"/>
          <w:color w:val="auto"/>
        </w:rPr>
      </w:pPr>
    </w:p>
    <w:p>
      <w:pPr>
        <w:ind w:left="660" w:right="20" w:hanging="206"/>
        <w:spacing w:after="0" w:line="25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longstanding relationship with Schlumberger through joint ownership and operation of M-I SWACO, as well as the terms of the M-I SWACO joint venture permitting either Smith or Schlumberger to initiate a purchase or sale of the parties’ interests in M-I SWACO, which terms create challenges for companies other than Schlumberger which may seek to engage in a business combination with Smith unless Schlumberger supports such transaction, as well as risks that Schlumberger could select a time for the exercise of the M-I SWACO buy/sell provisions which could prove to be inopportune to Smith.</w:t>
      </w:r>
    </w:p>
    <w:p>
      <w:pPr>
        <w:spacing w:after="0" w:line="61" w:lineRule="exact"/>
        <w:rPr>
          <w:rFonts w:ascii="Arial" w:cs="Arial" w:eastAsia="Arial" w:hAnsi="Arial"/>
          <w:sz w:val="18"/>
          <w:szCs w:val="18"/>
          <w:color w:val="auto"/>
        </w:rPr>
      </w:pPr>
    </w:p>
    <w:p>
      <w:pPr>
        <w:ind w:left="660" w:right="60" w:hanging="206"/>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financial analyses and presentation of UBS, and its related written opinion, dated February 20, 2010, to the effect that, as of that date and based upon and subject to the factors and assumptions set forth in its opinion (a copy of which is attached to this proxy statement/prospectus as Annex B), the exchange ratio was fair, from a financial point of view, to the holders of shares of Smith common stock, other than Schlumberger and its affiliates. See “—Opinion of Smith’s Financial Advisor” and “—Financial Projections.”</w:t>
      </w:r>
    </w:p>
    <w:p>
      <w:pPr>
        <w:spacing w:after="0" w:line="62" w:lineRule="exact"/>
        <w:rPr>
          <w:rFonts w:ascii="Arial" w:cs="Arial" w:eastAsia="Arial" w:hAnsi="Arial"/>
          <w:sz w:val="18"/>
          <w:szCs w:val="18"/>
          <w:color w:val="auto"/>
        </w:rPr>
      </w:pPr>
    </w:p>
    <w:p>
      <w:pPr>
        <w:ind w:left="660" w:right="780" w:hanging="206"/>
        <w:spacing w:after="0" w:line="33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level of the commitments by the parties to obtain applicable regulatory approvals, which in the view of the Smith board of directors after considering the advice of counsel, made it highly likely that the merger, once announced, would be completed.</w:t>
      </w:r>
    </w:p>
    <w:p>
      <w:pPr>
        <w:spacing w:after="0" w:line="4" w:lineRule="exact"/>
        <w:rPr>
          <w:rFonts w:ascii="Arial" w:cs="Arial" w:eastAsia="Arial" w:hAnsi="Arial"/>
          <w:sz w:val="16"/>
          <w:szCs w:val="16"/>
          <w:color w:val="auto"/>
        </w:rPr>
      </w:pPr>
    </w:p>
    <w:p>
      <w:pPr>
        <w:jc w:val="both"/>
        <w:ind w:left="660" w:right="54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expectation that the merger will qualify as a reorganization for U.S. federal income tax purposes and that, as a result, the exchange by Smith stockholders of their shares of Smith common stock for shares of Schlumberger common stock in the merger generally will be tax-free to Smith stockholders.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60" w:hanging="206"/>
        <w:spacing w:after="0" w:line="298"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fact that the merger agreement allows the Smith board of directors to change or withdraw its recommendation regarding the merger proposal if a superior transaction proposal is received from a third party or in response to certain material developments or changes in circumstances, if in either case the Smith board of directors determines that a failure to change its recommendation would result in a breach of its fiduciary duties under applicable law, subject to the payment of a termination fee upon termination under certain circumstances.</w:t>
      </w:r>
    </w:p>
    <w:p>
      <w:pPr>
        <w:spacing w:after="0" w:line="31"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fact that the merger agreement requires payment of a termination fee by Schlumberger upon termination of the merger agreement under certain circumstances. See “The Merger Agreement—Termination, Amendment and Waiver.”</w:t>
      </w:r>
    </w:p>
    <w:p>
      <w:pPr>
        <w:spacing w:after="0" w:line="50" w:lineRule="exact"/>
        <w:rPr>
          <w:rFonts w:ascii="Arial" w:cs="Arial" w:eastAsia="Arial" w:hAnsi="Arial"/>
          <w:sz w:val="18"/>
          <w:szCs w:val="18"/>
          <w:color w:val="auto"/>
        </w:rPr>
      </w:pPr>
    </w:p>
    <w:p>
      <w:pPr>
        <w:ind w:left="660" w:hanging="206"/>
        <w:spacing w:after="0" w:line="370" w:lineRule="auto"/>
        <w:tabs>
          <w:tab w:leader="none" w:pos="6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fact that the combined company would have a highly experienced management team with extensive industry experience in most significant facets of the oil and natural gas supply and services industry, which experience and leadership were considered beneficial to Smith and the combined company.</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Smith board of directors also considered potential risks and potentially negative factors concerning the merger in connection with its deliberations of the proposed transaction, including:</w:t>
      </w:r>
    </w:p>
    <w:p>
      <w:pPr>
        <w:spacing w:after="0" w:line="51" w:lineRule="exact"/>
        <w:rPr>
          <w:sz w:val="20"/>
          <w:szCs w:val="20"/>
          <w:color w:val="auto"/>
        </w:rPr>
      </w:pPr>
    </w:p>
    <w:p>
      <w:pPr>
        <w:ind w:left="660" w:right="78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possibility that the merger may not be completed, or that completion may be unduly delayed, for reasons beyond the control of Smith and Schlumberger.</w:t>
      </w:r>
    </w:p>
    <w:p>
      <w:pPr>
        <w:spacing w:after="0" w:line="50"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risk that regulatory agencies may not approve the merger or may impose terms and conditions on their approvals that would either materially impair the business operations of the combined company or adversely impact the ability of the combined company to realize the synergies that are projected to occur in connection with the merger.</w:t>
      </w:r>
    </w:p>
    <w:p>
      <w:pPr>
        <w:spacing w:after="0" w:line="59"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risks inherent in combining and integrating two companies, including that the companies may not be successfully integrated or that the synergies anticipated to be achievable from combining the two companies may not be realized.</w:t>
      </w:r>
    </w:p>
    <w:p>
      <w:pPr>
        <w:spacing w:after="0" w:line="50" w:lineRule="exact"/>
        <w:rPr>
          <w:rFonts w:ascii="Arial" w:cs="Arial" w:eastAsia="Arial" w:hAnsi="Arial"/>
          <w:sz w:val="18"/>
          <w:szCs w:val="18"/>
          <w:color w:val="auto"/>
        </w:rPr>
      </w:pPr>
    </w:p>
    <w:p>
      <w:pPr>
        <w:ind w:left="660" w:right="80" w:hanging="206"/>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fact that the exchange ratio included in the merger agreement provides for a fixed number of shares of Schlumberger common stock, the possibility that Smith stockholders could be adversely affected by a decrease in the trading price of Schlumberger common stock before the closing of the merger, and the fact that the merger agreement does not provide Smith with a termination right based on the trading price of Schlumberger common stock or other similar protection.</w:t>
      </w:r>
    </w:p>
    <w:p>
      <w:pPr>
        <w:spacing w:after="0" w:line="62" w:lineRule="exact"/>
        <w:rPr>
          <w:rFonts w:ascii="Arial" w:cs="Arial" w:eastAsia="Arial" w:hAnsi="Arial"/>
          <w:sz w:val="18"/>
          <w:szCs w:val="18"/>
          <w:color w:val="auto"/>
        </w:rPr>
      </w:pPr>
    </w:p>
    <w:p>
      <w:pPr>
        <w:ind w:left="660" w:right="60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potential for diversion of management and employee attention and for increased employee attrition during the substantial period prior to the completion of the merger, and the potential effect of the merger on Smith’s business and relations with customers and suppliers.</w:t>
      </w:r>
    </w:p>
    <w:p>
      <w:pPr>
        <w:spacing w:after="0" w:line="4" w:lineRule="exact"/>
        <w:rPr>
          <w:rFonts w:ascii="Arial" w:cs="Arial" w:eastAsia="Arial" w:hAnsi="Arial"/>
          <w:sz w:val="16"/>
          <w:szCs w:val="16"/>
          <w:color w:val="auto"/>
        </w:rPr>
      </w:pPr>
    </w:p>
    <w:p>
      <w:pPr>
        <w:ind w:left="660" w:right="2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potential impact of the restrictions imposed by the merger agreement on Smith’s ability to take specified actions during the period prior to the completion of the merger (which may delay or prevent Smith from undertaking business opportunities that may arise pending completion of the merger).</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transaction costs to be incurred in connection with the merger.</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potential that the termination payment provisions of the merger agreement and the provisions of the M-I SWACO joint venture could have the effect of discouraging a bona fide alternative business combination proposal for Smith.</w:t>
      </w:r>
    </w:p>
    <w:p>
      <w:pPr>
        <w:spacing w:after="0" w:line="5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possibility that the fee that Schlumberger would be required to pay under the merger agreement upon termination of the merger agreement under certain circumstances would be insufficient to compensate Smith for its costs incurred in connection with the merger agreement.</w:t>
      </w:r>
    </w:p>
    <w:p>
      <w:pPr>
        <w:spacing w:after="0" w:line="4" w:lineRule="exact"/>
        <w:rPr>
          <w:rFonts w:ascii="Arial" w:cs="Arial" w:eastAsia="Arial" w:hAnsi="Arial"/>
          <w:sz w:val="16"/>
          <w:szCs w:val="16"/>
          <w:color w:val="auto"/>
        </w:rPr>
      </w:pPr>
    </w:p>
    <w:p>
      <w:pPr>
        <w:ind w:left="660" w:right="10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interests of Smith executive officers and directors with respect to the merger apart from their interests as Smith stockholders, and the risk that these interests might influence their decision with respect to the merger (see “—Interests of Smith’s Directors and Officers in the Merger”).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Smith board of directors concluded that the potentially negative factors associated with the proposed merger were outweighed by the potential benefits that it expected the Smith stockholders would achieve as a result of the merger.</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view of the wide variety of factors considered in connection with its evaluation of the merger and the complexity of these matters, the Smith board of directors did not find it useful and did not attempt to quantify or assign any relative or specific weights to the various factors that it considered in reaching its determination to approve the merger and the merger agreement and to recommend that Smith stockholders vote for the merger proposal. In addition, individual members of the Smith board of directors may have given differing weights to different factors. The Smith board of directors conducted an overall analysis of the factors described above, including through discussions with, and questioning of, Smith management and outside legal and financial advisors regarding certain of the matters described above.</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Smith board of directors, by a unanimous vote of all directors, determined that the merger, the merger agreement and the transactions contemplated by the merger agreement are advisable and in the best interests of Smith and its stockholders, and approved the merger agreement and the transactions contemplated by the merger agreement.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Smith board of directors unanimously recommends that Smith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explanation of Smith’s reasons for the merger and other information presented in this section is forward-looking in nature and, therefore, should be read in light of the factors described under “Cautionary Statement Regarding Forward-Looking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 Reasons for the Merger</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Schlumberger believes the merger will create sustainable long-term value for its stockholders. Key factors considered by Schlumberger include the following:</w:t>
      </w:r>
    </w:p>
    <w:p>
      <w:pPr>
        <w:spacing w:after="0" w:line="51" w:lineRule="exact"/>
        <w:rPr>
          <w:sz w:val="20"/>
          <w:szCs w:val="20"/>
          <w:color w:val="auto"/>
        </w:rPr>
      </w:pPr>
    </w:p>
    <w:p>
      <w:pPr>
        <w:ind w:left="660" w:right="14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Smith’s operations complement and strengthen Schlumberger’s strategy to provide its customers with engineered drilling systems that optimize all the components of the drillstring, allowing customers to drill more economically in demanding conditions;</w:t>
      </w:r>
    </w:p>
    <w:p>
      <w:pPr>
        <w:spacing w:after="0" w:line="5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increasing its interest in M-I SWACO from 40% to 100%, Schlumberger would increase its ability to design and deploy drillings fluids to, together with its bottom-hole assembly technologies, optimize the drilling system;</w:t>
      </w:r>
    </w:p>
    <w:p>
      <w:pPr>
        <w:spacing w:after="0" w:line="5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Schlumberger believes that it can leverage Wilson’s core supply chain management competencies to improve Schlumberger’s existing supply chain and logistics systems;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certain Smith products fill gaps in Schlumberger’s current portfolio, enabling the combined company to offer a more complete offering to customers;</w:t>
      </w:r>
    </w:p>
    <w:p>
      <w:pPr>
        <w:spacing w:after="0" w:line="113"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merger is anticipated to provide Schlumberger with additional opportunities through new product development programs enabled by Smith’s assets and operations;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continued strength of the balance sheet of the combined company post-merger in order to maintain business flexibility; and</w:t>
      </w:r>
    </w:p>
    <w:p>
      <w:pPr>
        <w:spacing w:after="0" w:line="9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Schlumberger’s expectation that the merger would result in meaningful cost savings and operational synergies, estimated to include approximately $160 million in 2011 and approximately $320 million in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Smith’s Financial Advisor</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20, 2010, at a meeting of Smith’s board of directors held to evaluate the proposed merger, UBS delivered to Smith’s board of directors an oral opinion, which opinion was confirmed by delivery of a written opinion, dated February 20, 2010, to the effect that, as of that date and based on and subject to various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assumptions, matters considered and limitations described in its opinion, the exchange ratio provided for in the merger was fair, from a financial point of view, to holders of Smith common stock other than Schlumberger and its affiliates.</w:t>
      </w:r>
    </w:p>
    <w:p>
      <w:pPr>
        <w:spacing w:after="0" w:line="13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 xml:space="preserve">The full text of UBS’ opinion describes the assumptions made, procedures followed, matters considered and limitations on the review undertaken by UBS. A copy of this opinion is attached as Annex B hereto and is incorporated into this proxy statement/prospectus by reference. </w:t>
      </w:r>
      <w:r>
        <w:rPr>
          <w:rFonts w:ascii="Arial" w:cs="Arial" w:eastAsia="Arial" w:hAnsi="Arial"/>
          <w:sz w:val="15"/>
          <w:szCs w:val="15"/>
          <w:b w:val="1"/>
          <w:bCs w:val="1"/>
          <w:color w:val="auto"/>
        </w:rPr>
        <w:t>Holders of Smith common stock are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encouraged to read UBS’ opinion carefully in its entirety. UBS’ opinion was provided for the benefit of Smith’s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Smith or Smith’s underlying business decision to effect the merger. The opinion does not constitute a recommendation to any stockholder as to how to vote or act with respect to the merger. </w:t>
      </w:r>
      <w:r>
        <w:rPr>
          <w:rFonts w:ascii="Arial" w:cs="Arial" w:eastAsia="Arial" w:hAnsi="Arial"/>
          <w:sz w:val="15"/>
          <w:szCs w:val="15"/>
          <w:color w:val="auto"/>
        </w:rPr>
        <w:t>The following summary of UBS’ opinion is qualified in its entirety by reference to the full text of UBS’ opinion.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UBS, among other things:</w:t>
      </w:r>
    </w:p>
    <w:p>
      <w:pPr>
        <w:spacing w:after="0" w:line="90" w:lineRule="exact"/>
        <w:rPr>
          <w:sz w:val="20"/>
          <w:szCs w:val="20"/>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Smith and Schlumberger;</w:t>
      </w:r>
    </w:p>
    <w:p>
      <w:pPr>
        <w:spacing w:after="0" w:line="90" w:lineRule="exact"/>
        <w:rPr>
          <w:rFonts w:ascii="Arial" w:cs="Arial" w:eastAsia="Arial" w:hAnsi="Arial"/>
          <w:sz w:val="18"/>
          <w:szCs w:val="18"/>
          <w:color w:val="auto"/>
        </w:rPr>
      </w:pPr>
    </w:p>
    <w:p>
      <w:pPr>
        <w:ind w:left="660" w:right="200" w:hanging="206"/>
        <w:spacing w:after="0" w:line="259"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certain internal financial information and other data relating to Smith’s business and financial prospects that were not publicly available, including financial forecasts and estimates prepared by Smith’s management that Smith’s board of directors directed UBS to utilize for purposes of its analysis;</w:t>
      </w:r>
    </w:p>
    <w:p>
      <w:pPr>
        <w:spacing w:after="0" w:line="59" w:lineRule="exact"/>
        <w:rPr>
          <w:rFonts w:ascii="Arial" w:cs="Arial" w:eastAsia="Arial" w:hAnsi="Arial"/>
          <w:sz w:val="18"/>
          <w:szCs w:val="18"/>
          <w:color w:val="auto"/>
        </w:rPr>
      </w:pPr>
    </w:p>
    <w:p>
      <w:pPr>
        <w:ind w:left="660" w:right="420" w:hanging="206"/>
        <w:spacing w:after="0" w:line="306"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reviewed certain financial information and other data relating to the business and financial prospects of Schlumberger that were publicly available, including Wall Street consensus financial forecasts and estimates as published by Institutional Brokers’ Estimate System (“IBES”) for 2010 (“Schlumberger Street Estimates”) that Smith’s management directed UBS to utilize for purposes of its analysis;</w:t>
      </w:r>
    </w:p>
    <w:p>
      <w:pPr>
        <w:spacing w:after="0" w:line="25"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conducted discussions with members of the senior managements of Smith and Schlumberger concerning the businesses and financial prospects of Smith and Schlumberger;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with respect to certain other companies UBS believed to be generally relevant;</w:t>
      </w:r>
    </w:p>
    <w:p>
      <w:pPr>
        <w:spacing w:after="0" w:line="113" w:lineRule="exact"/>
        <w:rPr>
          <w:rFonts w:ascii="Arial" w:cs="Arial" w:eastAsia="Arial" w:hAnsi="Arial"/>
          <w:sz w:val="16"/>
          <w:szCs w:val="16"/>
          <w:color w:val="auto"/>
        </w:rPr>
      </w:pPr>
    </w:p>
    <w:p>
      <w:pPr>
        <w:ind w:left="660" w:right="58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compared the financial terms of the merger with the publicly available financial terms of certain other transactions UBS believed to be generally relevant;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current and historical market prices of Smith common stock and Schlumberger common stock;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a draft of the merger agreement;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conducted such other financial studies, analyses and investigations, and considered such other information, as UBS deemed necessary or appropriate.</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its review, with the consent of Smith’s board of directors, UBS assumed and relied upon, without independent verification, the accuracy and completeness in all material respects of the information provided to or reviewed by UBS for the purpose of its opinion. In addition, with the consent of Smith’s board of directors, UBS did not make any independent evaluation or appraisal of any of the assets or liabilities (contingent or otherwise) of Smith or Schlumberger, and was not furnished with any such evaluation or appraisal. With respect to the financial forecasts and estimates for Smith referred to above, UBS assumed, at the direction of Smith’s board of directors, that such forecasts and estimates were reasonably prepared on a basis reflecting the best currently available estimates and judgments of Smith’s management as to the future financial performance of Smith. UBS was not provided with any Schlumberger internal financial forecasts or estimates, nor with any forecasts or estimates regarding Schlumberger prepared by Smith, and therefore did not consider any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information in connection with its analysis or its opinion. Based on UBS’ discussions with Smith’s board of directors, UBS assumed, with the consent of Smith’s board of directors, that the Schlumberger Street Estimates that UBS reviewed were a reasonable basis upon which to evaluate the future performance of Schlumberger for 2010 and UBS used such forecasts and estimates for purposes of its analysis and its opinion. UBS assumed, with the consent of Smith’s board of directors, that the merger would qualify for U.S. federal income tax purposes as a reorganization within the meaning of Section 368(a) of the Internal Revenue Code of 1986, as amended. UBS’ opinion was necessarily based on economic, monetary, market and other conditions as in effect on, and the information available to UBS as of, the date of its opinion.</w:t>
      </w:r>
    </w:p>
    <w:p>
      <w:pPr>
        <w:spacing w:after="0" w:line="14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the direction of Smith’s board of directors, UBS was not asked to, and it did not, offer any opinion as to the terms, other than the exchange ratio to the extent expressly specified in UBS’ opinion, of the merger agreement or the form of the merger. In addition, UBS expressed no opinion as to the fairness of the amount or nature of any compensation to be received by any officers, directors or employees of any parties to the merger, or any class of such persons, relative to the exchange ratio. UBS expressed no opinion as to what the value of Schlumberger common stock would be when issued pursuant to the merger or the price at which Smith common stock or Schlumberger common stock would trade at any time. In rendering its opinion, UBS assumed, with the consent of Smith’s board of directors, that (i) the final executed form of the merger agreement would not differ in any material respect from the draft that UBS reviewed, (ii) Smith and Schlumberger would comply with all material terms of the merger agreement and (iii) the merger would be consummated in accordance with the terms of the merger agreement without any adverse waiver or amendment of any material term or condition of the merger agreement. UBS also assumed that all governmental, regulatory or other consents and approvals necessary for the consummation of the merger would be obtained without any material adverse effect on Smith, Schlumberger or the merger. UBS was not authorized to solicit and did not solicit indications of interest in a transaction with Smith from any party. Except as described above, Smith imposed no other instructions or limitations on UBS with respect to the investigations made or the procedures followed by UBS in rendering its opinion. The issuance of UBS’ opinion was approved by an authorized committee of UBS.</w:t>
      </w:r>
    </w:p>
    <w:p>
      <w:pPr>
        <w:spacing w:after="0" w:line="12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connection with rendering its opinion to Smith’s board of directors, UBS performed a variety of financial and comparative analyses which are summarized below. The following summary is not a complete description of all analyses performed and factors considered by UBS in connection with its opinion. The preparation of a financial opinion is a complex process involving subjective judgments and is not necessarily susceptible to partial analysis or summary description. With respect to the selected companies analyses of Smith and Schlumberger and the selected transactions analysis summarized below, no company or transaction used as a comparison was identical to Smith, Schlumberger or the merger. These analyses necessarily involve complex considerations and judgments concerning financial and operating characteristics and other factors that could affect the public trading or acquisition values of the companies concerned.</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UBS believes that its analyses and the summary below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UBS’ analyses and opinion. UBS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estimates of the future performance of Smith and Schlumberger provided by Smith or derived from public sources in or underlying UBS’ analyses are not necessarily indicative of future results or values, which may be significantly more or less favorable than those estimates. In performing its analyses, UBS considered industry performance, general business and economic conditions and other matters, many of which were beyond the control of Smith and Schlumberger. Estimates of the financial value of companies do not purport to be appraisals or necessarily reflect the prices at which businesses or securities actually may be sold or acquired.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exchange ratio was determined through negotiation between Smith and Schlumberger and the decision by Smith to enter into the merger agreement was solely that of Smith’s board of directors. UBS’ opinion and financial analyses were only one of many factors considered by Smith’s board of directors in its evaluation of the merger and should not be viewed as determinative of the views of Smith’s board of directors or management with respect to the merger or the exchange ratio.</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The following is a brief summary of the material financial analyses performed by UBS and reviewed with Smith’s board of directors on February 20, 2010 in connection with its opinion relating to the proposed merger. </w:t>
      </w:r>
      <w:r>
        <w:rPr>
          <w:rFonts w:ascii="Arial" w:cs="Arial" w:eastAsia="Arial" w:hAnsi="Arial"/>
          <w:sz w:val="16"/>
          <w:szCs w:val="16"/>
          <w:b w:val="1"/>
          <w:bCs w:val="1"/>
          <w:color w:val="auto"/>
        </w:rPr>
        <w:t>The financial analyses summarized below include information presented in tabular format.</w:t>
      </w:r>
    </w:p>
    <w:p>
      <w:pPr>
        <w:spacing w:after="0" w:line="315" w:lineRule="auto"/>
        <w:rPr>
          <w:sz w:val="20"/>
          <w:szCs w:val="20"/>
          <w:color w:val="auto"/>
        </w:rPr>
      </w:pPr>
      <w:r>
        <w:rPr>
          <w:rFonts w:ascii="Arial" w:cs="Arial" w:eastAsia="Arial" w:hAnsi="Arial"/>
          <w:sz w:val="15"/>
          <w:szCs w:val="15"/>
          <w:b w:val="1"/>
          <w:bCs w:val="1"/>
          <w:color w:val="auto"/>
        </w:rPr>
        <w:t xml:space="preserve">In order for UBS’ financial analyses to be fully understood,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 financial analyses. </w:t>
      </w:r>
      <w:r>
        <w:rPr>
          <w:rFonts w:ascii="Arial" w:cs="Arial" w:eastAsia="Arial" w:hAnsi="Arial"/>
          <w:sz w:val="15"/>
          <w:szCs w:val="15"/>
          <w:color w:val="auto"/>
        </w:rPr>
        <w:t>For purposes of certain analyses described below, the term “implied per share value of the merger consideration” refers to the implied per share value of the merger consideration based on the merger exchange ratio of 0.6966 and the closing price of Schlumberger common stock on February 19, 2010 of $63.90.</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Smith Financial Analyses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Enterprise value and transaction value for Smith were calculated as the aggregate value of Smith’s equity (based on, where indicated below, the unaffected market price or the implied per share value of the merger consideration) plus debt at book value and noncontrolling interests at book value, less cash and cash equivalents. Enterprise value and transaction value for Smith on a “net” basis were calculated as the aggregate value of Smith’s equity (based on, where indicated below, the unaffected market price or the implied per share value of the merger consideration) plus debt at book value, less cash and cash equivalent, less 40% of the net debt of M-I SWACO and less 45.4% of the net debt of CE Franklin Ltd. Earnings before interest, taxes, depreciation and amortization (“EBITDA”) for Smith on a net basis was calculated as EBITDA, less 40% of the EBITDA of M-I SWACO and less 45.4% of the EBITDA of CE Franklin Ltd. Cash flow for Smith was calculated as net income before deducting the noncontrolling interests in such income plus depreciation and amortization, less distributions to minority holders of M-I SWACO and CE Franklin Ltd. Cash flow for Smith on a net basis was calculated as net income after deducting such noncontrolling interests plus depreciation and amortization.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Companies Analysis</w:t>
      </w:r>
    </w:p>
    <w:p>
      <w:pPr>
        <w:spacing w:after="0" w:line="90"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UBS compared selected financial and stock market data of Smith with corresponding data of the following six U.S. listed publicly traded large capitalization oilfield services companies with diversified product offerings (i.e., not focused primarily on contract drilling services):</w:t>
      </w:r>
    </w:p>
    <w:p>
      <w:pPr>
        <w:spacing w:after="0" w:line="4" w:lineRule="exact"/>
        <w:rPr>
          <w:sz w:val="20"/>
          <w:szCs w:val="20"/>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Schlumberger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Halliburton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National Oilwell Varco, Inc.</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Baker Hughes Incorporated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Weatherford International Ltd.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Cameron International Corporation</w:t>
      </w:r>
    </w:p>
    <w:p>
      <w:pPr>
        <w:spacing w:after="0" w:line="171" w:lineRule="exact"/>
        <w:rPr>
          <w:sz w:val="20"/>
          <w:szCs w:val="20"/>
          <w:color w:val="auto"/>
        </w:rPr>
      </w:pPr>
    </w:p>
    <w:p>
      <w:pPr>
        <w:ind w:right="300" w:firstLine="456"/>
        <w:spacing w:after="0" w:line="318" w:lineRule="auto"/>
        <w:rPr>
          <w:sz w:val="20"/>
          <w:szCs w:val="20"/>
          <w:color w:val="auto"/>
        </w:rPr>
      </w:pPr>
      <w:r>
        <w:rPr>
          <w:rFonts w:ascii="Arial" w:cs="Arial" w:eastAsia="Arial" w:hAnsi="Arial"/>
          <w:sz w:val="15"/>
          <w:szCs w:val="15"/>
          <w:color w:val="auto"/>
        </w:rPr>
        <w:t>UBS reviewed, among other things, the enterprise values of the selected companies, calculated as equity market value based on closing stock prices on February 19, 2010 (except for that of Schlumberger, which was based on its unaffected closing price on February 18, 2010, the last trading day before various news outlets began reporting on a possible transaction involving Smith and Schlumberger), plus debt at book value, preferred stock at liquidation value and noncontrolling interests at book value, less cash and cash equivalents, as multiples of latest 12 months (“LTM”) EBITDA. Historical balance sheet data were based on the most recent publicly available information as of February 19, 2010. UBS also reviewed closing stock prices of the selected companies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the dates referred to above as a multiple of (i) calendar years 2010 and 2011 estimated earnings per share (“EPS”) and (ii) calendar years 2010 and 2011 cash flow per share (“CFPS”). UBS then compared these multiples derived for the selected companies with corresponding multiples implied for Smith based both on the closing price of Smith common stock on February 18, 2010 and the implied per share value of the merger consideration. Financial data for the selected companies were based on IBES consensus estimates, public filings and other publicly available information. Estimated financial data for Smith were based on IBES consensus estimates and internal estimates of Smith’s management, referred to as “Smith Management Estimates.” This analysis indicated the following implied high, mean, median and low multiples for the selected companies, as compared to corresponding multiples implied for Smith:</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5"/>
          </w:tcPr>
          <w:p>
            <w:pPr>
              <w:jc w:val="center"/>
              <w:ind w:left="336"/>
              <w:spacing w:after="0"/>
              <w:rPr>
                <w:sz w:val="20"/>
                <w:szCs w:val="20"/>
                <w:color w:val="auto"/>
              </w:rPr>
            </w:pPr>
            <w:r>
              <w:rPr>
                <w:rFonts w:ascii="Arial" w:cs="Arial" w:eastAsia="Arial" w:hAnsi="Arial"/>
                <w:sz w:val="14"/>
                <w:szCs w:val="14"/>
                <w:b w:val="1"/>
                <w:bCs w:val="1"/>
                <w:color w:val="auto"/>
                <w:w w:val="89"/>
              </w:rPr>
              <w:t>Enterprise Value/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Price/EPS</w:t>
            </w:r>
          </w:p>
        </w:tc>
        <w:tc>
          <w:tcPr>
            <w:tcW w:w="116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Price/CFPS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EBITDA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2010E</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2010E</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2011E</w:t>
            </w: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LTM</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2010E</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24.1x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17.2x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14.9x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Mean</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20.8x</w:t>
            </w: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14.7x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11.7x</w:t>
            </w:r>
          </w:p>
        </w:tc>
        <w:tc>
          <w:tcPr>
            <w:tcW w:w="480" w:type="dxa"/>
            <w:vAlign w:val="bottom"/>
          </w:tcPr>
          <w:p>
            <w:pPr>
              <w:jc w:val="right"/>
              <w:spacing w:after="0"/>
              <w:rPr>
                <w:sz w:val="20"/>
                <w:szCs w:val="20"/>
                <w:color w:val="auto"/>
              </w:rPr>
            </w:pPr>
            <w:r>
              <w:rPr>
                <w:rFonts w:ascii="Arial" w:cs="Arial" w:eastAsia="Arial" w:hAnsi="Arial"/>
                <w:sz w:val="18"/>
                <w:szCs w:val="18"/>
                <w:color w:val="auto"/>
              </w:rPr>
              <w:t>9.4x</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10.1x</w:t>
            </w:r>
          </w:p>
        </w:tc>
        <w:tc>
          <w:tcPr>
            <w:tcW w:w="2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9.0x</w:t>
            </w:r>
          </w:p>
        </w:tc>
        <w:tc>
          <w:tcPr>
            <w:tcW w:w="420" w:type="dxa"/>
            <w:vAlign w:val="bottom"/>
          </w:tcPr>
          <w:p>
            <w:pPr>
              <w:jc w:val="right"/>
              <w:spacing w:after="0"/>
              <w:rPr>
                <w:sz w:val="20"/>
                <w:szCs w:val="20"/>
                <w:color w:val="auto"/>
              </w:rPr>
            </w:pPr>
            <w:r>
              <w:rPr>
                <w:rFonts w:ascii="Arial" w:cs="Arial" w:eastAsia="Arial" w:hAnsi="Arial"/>
                <w:sz w:val="18"/>
                <w:szCs w:val="18"/>
                <w:color w:val="auto"/>
              </w:rPr>
              <w:t>7.3x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Median</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22.5x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14.9x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11.9x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Low</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14.0x</w:t>
            </w:r>
          </w:p>
        </w:tc>
        <w:tc>
          <w:tcPr>
            <w:tcW w:w="2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12.0x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7.8x</w:t>
            </w:r>
          </w:p>
        </w:tc>
        <w:tc>
          <w:tcPr>
            <w:tcW w:w="480" w:type="dxa"/>
            <w:vAlign w:val="bottom"/>
          </w:tcPr>
          <w:p>
            <w:pPr>
              <w:jc w:val="right"/>
              <w:spacing w:after="0"/>
              <w:rPr>
                <w:sz w:val="20"/>
                <w:szCs w:val="20"/>
                <w:color w:val="auto"/>
              </w:rPr>
            </w:pPr>
            <w:r>
              <w:rPr>
                <w:rFonts w:ascii="Arial" w:cs="Arial" w:eastAsia="Arial" w:hAnsi="Arial"/>
                <w:sz w:val="18"/>
                <w:szCs w:val="18"/>
                <w:color w:val="auto"/>
              </w:rPr>
              <w:t>5.9x</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6.0x</w:t>
            </w:r>
          </w:p>
        </w:tc>
        <w:tc>
          <w:tcPr>
            <w:tcW w:w="22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6.8x</w:t>
            </w:r>
          </w:p>
        </w:tc>
        <w:tc>
          <w:tcPr>
            <w:tcW w:w="420" w:type="dxa"/>
            <w:vAlign w:val="bottom"/>
          </w:tcPr>
          <w:p>
            <w:pPr>
              <w:jc w:val="right"/>
              <w:spacing w:after="0"/>
              <w:rPr>
                <w:sz w:val="20"/>
                <w:szCs w:val="20"/>
                <w:color w:val="auto"/>
              </w:rPr>
            </w:pPr>
            <w:r>
              <w:rPr>
                <w:rFonts w:ascii="Arial" w:cs="Arial" w:eastAsia="Arial" w:hAnsi="Arial"/>
                <w:sz w:val="18"/>
                <w:szCs w:val="18"/>
                <w:color w:val="auto"/>
              </w:rPr>
              <w:t>6.3x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4840" w:type="dxa"/>
            <w:vAlign w:val="bottom"/>
            <w:tcBorders>
              <w:bottom w:val="single" w:sz="8" w:color="CCEEFF"/>
            </w:tcBorders>
            <w:gridSpan w:val="2"/>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840" w:type="dxa"/>
            <w:vAlign w:val="bottom"/>
            <w:gridSpan w:val="4"/>
          </w:tcPr>
          <w:p>
            <w:pPr>
              <w:spacing w:after="0"/>
              <w:rPr>
                <w:sz w:val="20"/>
                <w:szCs w:val="20"/>
                <w:color w:val="auto"/>
              </w:rPr>
            </w:pPr>
            <w:r>
              <w:rPr>
                <w:rFonts w:ascii="Arial" w:cs="Arial" w:eastAsia="Arial" w:hAnsi="Arial"/>
                <w:sz w:val="18"/>
                <w:szCs w:val="18"/>
                <w:color w:val="auto"/>
              </w:rPr>
              <w:t>Smith</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30.6x</w:t>
            </w:r>
          </w:p>
        </w:tc>
        <w:tc>
          <w:tcPr>
            <w:tcW w:w="22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17.6x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13.0x</w:t>
            </w:r>
          </w:p>
        </w:tc>
        <w:tc>
          <w:tcPr>
            <w:tcW w:w="480" w:type="dxa"/>
            <w:vAlign w:val="bottom"/>
          </w:tcPr>
          <w:p>
            <w:pPr>
              <w:jc w:val="right"/>
              <w:spacing w:after="0"/>
              <w:rPr>
                <w:sz w:val="20"/>
                <w:szCs w:val="20"/>
                <w:color w:val="auto"/>
              </w:rPr>
            </w:pPr>
            <w:r>
              <w:rPr>
                <w:rFonts w:ascii="Arial" w:cs="Arial" w:eastAsia="Arial" w:hAnsi="Arial"/>
                <w:sz w:val="18"/>
                <w:szCs w:val="18"/>
                <w:color w:val="auto"/>
              </w:rPr>
              <w:t>9.7x</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11.4x</w:t>
            </w:r>
          </w:p>
        </w:tc>
        <w:tc>
          <w:tcPr>
            <w:tcW w:w="220" w:type="dxa"/>
            <w:vAlign w:val="bottom"/>
          </w:tcPr>
          <w:p>
            <w:pPr>
              <w:spacing w:after="0"/>
              <w:rPr>
                <w:sz w:val="24"/>
                <w:szCs w:val="2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10.1x</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7.5x</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 Offer</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40.8x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23.5x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17.4x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840" w:type="dxa"/>
            <w:vAlign w:val="bottom"/>
            <w:gridSpan w:val="4"/>
          </w:tcPr>
          <w:p>
            <w:pPr>
              <w:spacing w:after="0"/>
              <w:rPr>
                <w:sz w:val="20"/>
                <w:szCs w:val="20"/>
                <w:color w:val="auto"/>
              </w:rPr>
            </w:pPr>
            <w:r>
              <w:rPr>
                <w:rFonts w:ascii="Arial" w:cs="Arial" w:eastAsia="Arial" w:hAnsi="Arial"/>
                <w:sz w:val="18"/>
                <w:szCs w:val="18"/>
                <w:color w:val="auto"/>
              </w:rPr>
              <w:t>Smith Management Estimates: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46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35.9x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17.7x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Smith @ Offer</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47.9x</w:t>
            </w: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23.7x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17.0x</w:t>
            </w:r>
          </w:p>
        </w:tc>
        <w:tc>
          <w:tcPr>
            <w:tcW w:w="480" w:type="dxa"/>
            <w:vAlign w:val="bottom"/>
          </w:tcPr>
          <w:p>
            <w:pPr>
              <w:jc w:val="right"/>
              <w:spacing w:after="0"/>
              <w:rPr>
                <w:sz w:val="20"/>
                <w:szCs w:val="20"/>
                <w:color w:val="auto"/>
              </w:rPr>
            </w:pPr>
            <w:r>
              <w:rPr>
                <w:rFonts w:ascii="Arial" w:cs="Arial" w:eastAsia="Arial" w:hAnsi="Arial"/>
                <w:sz w:val="18"/>
                <w:szCs w:val="18"/>
                <w:color w:val="auto"/>
              </w:rPr>
              <w:t>12.3x</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14.4x</w:t>
            </w:r>
          </w:p>
        </w:tc>
        <w:tc>
          <w:tcPr>
            <w:tcW w:w="2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12.3x</w:t>
            </w:r>
          </w:p>
        </w:tc>
        <w:tc>
          <w:tcPr>
            <w:tcW w:w="420" w:type="dxa"/>
            <w:vAlign w:val="bottom"/>
          </w:tcPr>
          <w:p>
            <w:pPr>
              <w:jc w:val="right"/>
              <w:spacing w:after="0"/>
              <w:rPr>
                <w:sz w:val="20"/>
                <w:szCs w:val="20"/>
                <w:color w:val="auto"/>
              </w:rPr>
            </w:pPr>
            <w:r>
              <w:rPr>
                <w:rFonts w:ascii="Arial" w:cs="Arial" w:eastAsia="Arial" w:hAnsi="Arial"/>
                <w:sz w:val="18"/>
                <w:szCs w:val="18"/>
                <w:color w:val="auto"/>
              </w:rPr>
              <w:t>9.0x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(Net)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35.9x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17.7x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13.8x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11.4x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Smith @ Offer (Net)</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47.9x</w:t>
            </w:r>
          </w:p>
        </w:tc>
        <w:tc>
          <w:tcPr>
            <w:tcW w:w="2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23.7x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18.5x</w:t>
            </w:r>
          </w:p>
        </w:tc>
        <w:tc>
          <w:tcPr>
            <w:tcW w:w="480" w:type="dxa"/>
            <w:vAlign w:val="bottom"/>
          </w:tcPr>
          <w:p>
            <w:pPr>
              <w:jc w:val="right"/>
              <w:spacing w:after="0"/>
              <w:rPr>
                <w:sz w:val="20"/>
                <w:szCs w:val="20"/>
                <w:color w:val="auto"/>
              </w:rPr>
            </w:pPr>
            <w:r>
              <w:rPr>
                <w:rFonts w:ascii="Arial" w:cs="Arial" w:eastAsia="Arial" w:hAnsi="Arial"/>
                <w:sz w:val="18"/>
                <w:szCs w:val="18"/>
                <w:color w:val="auto"/>
              </w:rPr>
              <w:t>13.1x</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17.8x</w:t>
            </w:r>
          </w:p>
        </w:tc>
        <w:tc>
          <w:tcPr>
            <w:tcW w:w="22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14.7x</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10.5x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Transactions Analysis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UBS reviewed transaction values in the following fifteen selected transactions, comprising transactions in the prior twelve years (i) for which forward looking research analyst estimates were available at the time of the announcement of the transaction, (ii) involving target companies with product offerings not focused primarily on contract drilling and (iii) with transaction values in excess of $1 billion, with the sole exception of the NATCO Group Inc. acquisition by Cameron International Corporation, which was included despite having a transaction value below $1 billion because of its pertinence due to its having occurred within the previous twelve months: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Announcement Date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Acquiror</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Target</w:t>
            </w:r>
          </w:p>
        </w:tc>
      </w:tr>
      <w:tr>
        <w:trPr>
          <w:trHeight w:val="201"/>
        </w:trPr>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2280" w:type="dxa"/>
            <w:vAlign w:val="bottom"/>
          </w:tcPr>
          <w:p>
            <w:pPr>
              <w:ind w:left="60"/>
              <w:spacing w:after="0" w:line="201" w:lineRule="exact"/>
              <w:rPr>
                <w:sz w:val="20"/>
                <w:szCs w:val="20"/>
                <w:color w:val="auto"/>
              </w:rPr>
            </w:pPr>
            <w:r>
              <w:rPr>
                <w:rFonts w:ascii="Arial" w:cs="Arial" w:eastAsia="Arial" w:hAnsi="Arial"/>
                <w:sz w:val="18"/>
                <w:szCs w:val="18"/>
                <w:color w:val="auto"/>
              </w:rPr>
              <w:t>August 31, 2009</w:t>
            </w:r>
          </w:p>
        </w:tc>
        <w:tc>
          <w:tcPr>
            <w:tcW w:w="120" w:type="dxa"/>
            <w:vAlign w:val="bottom"/>
          </w:tcPr>
          <w:p>
            <w:pPr>
              <w:spacing w:after="0"/>
              <w:rPr>
                <w:sz w:val="17"/>
                <w:szCs w:val="17"/>
                <w:color w:val="auto"/>
              </w:rPr>
            </w:pPr>
          </w:p>
        </w:tc>
        <w:tc>
          <w:tcPr>
            <w:tcW w:w="24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2740" w:type="dxa"/>
            <w:vAlign w:val="bottom"/>
          </w:tcPr>
          <w:p>
            <w:pPr>
              <w:ind w:left="60"/>
              <w:spacing w:after="0" w:line="201" w:lineRule="exact"/>
              <w:rPr>
                <w:sz w:val="20"/>
                <w:szCs w:val="20"/>
                <w:color w:val="auto"/>
              </w:rPr>
            </w:pPr>
            <w:r>
              <w:rPr>
                <w:rFonts w:ascii="Arial" w:cs="Arial" w:eastAsia="Arial" w:hAnsi="Arial"/>
                <w:sz w:val="18"/>
                <w:szCs w:val="18"/>
                <w:color w:val="auto"/>
              </w:rPr>
              <w:t>Baker Hughes Incorporated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3980" w:type="dxa"/>
            <w:vAlign w:val="bottom"/>
          </w:tcPr>
          <w:p>
            <w:pPr>
              <w:ind w:left="60"/>
              <w:spacing w:after="0" w:line="201" w:lineRule="exact"/>
              <w:rPr>
                <w:sz w:val="20"/>
                <w:szCs w:val="20"/>
                <w:color w:val="auto"/>
              </w:rPr>
            </w:pPr>
            <w:r>
              <w:rPr>
                <w:rFonts w:ascii="Arial" w:cs="Arial" w:eastAsia="Arial" w:hAnsi="Arial"/>
                <w:sz w:val="18"/>
                <w:szCs w:val="18"/>
                <w:color w:val="auto"/>
              </w:rPr>
              <w:t>BJ Services Company</w:t>
            </w:r>
          </w:p>
        </w:tc>
      </w:tr>
      <w:tr>
        <w:trPr>
          <w:trHeight w:val="222"/>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 2009</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w w:val="95"/>
              </w:rPr>
              <w:t>Cameron International Corporation</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NATCO Group Inc.</w:t>
            </w:r>
          </w:p>
        </w:tc>
      </w:tr>
      <w:tr>
        <w:trPr>
          <w:trHeight w:val="223"/>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13, 2008</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Candover Investments plc</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Expro International Group Ltd.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2, 2008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Smith</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W-H Energy Services,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December 19, 2007</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First Reserve Corporation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Abbot Group Limited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December 17, 2007</w:t>
            </w:r>
          </w:p>
        </w:tc>
        <w:tc>
          <w:tcPr>
            <w:tcW w:w="12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  National Oilwell Varco,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Grant Prideco,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February 5, 2007</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Universal Compression,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Hanover Compressor Company</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September 5, 2006</w:t>
            </w:r>
          </w:p>
        </w:tc>
        <w:tc>
          <w:tcPr>
            <w:tcW w:w="12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w w:val="88"/>
              </w:rPr>
              <w:t>•  Compagnie Générale de Géophysique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Veritas DGC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6, 2005</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Weatherford International Ltd.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Precision Drilling Corporation</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August 12, 2004</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National-Oilwell,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Varco International Incorporated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July 3, 2001</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Technip</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Coflexip Stena Offshore Group S.A.</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19,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Schlumberger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Camco International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May 11,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Baker Hughes Incorporated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Western Atlas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March 4,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EVI,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Weatherford Enterra, Inc.</w:t>
            </w:r>
          </w:p>
        </w:tc>
      </w:tr>
      <w:tr>
        <w:trPr>
          <w:trHeight w:val="222"/>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February 26, 1998</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Halliburton Company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Dresser Industries, Inc.</w:t>
            </w:r>
          </w:p>
        </w:tc>
      </w:tr>
      <w:tr>
        <w:trPr>
          <w:trHeight w:val="365"/>
        </w:trPr>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80" w:type="dxa"/>
            <w:vAlign w:val="bottom"/>
          </w:tcPr>
          <w:p>
            <w:pPr>
              <w:jc w:val="right"/>
              <w:ind w:right="1212"/>
              <w:spacing w:after="0"/>
              <w:rPr>
                <w:sz w:val="20"/>
                <w:szCs w:val="20"/>
                <w:color w:val="auto"/>
              </w:rPr>
            </w:pPr>
            <w:r>
              <w:rPr>
                <w:rFonts w:ascii="Arial" w:cs="Arial" w:eastAsia="Arial" w:hAnsi="Arial"/>
                <w:sz w:val="18"/>
                <w:szCs w:val="18"/>
                <w:color w:val="auto"/>
                <w:w w:val="79"/>
              </w:rPr>
              <w:t>50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UBS reviewed, among other things, transaction values in the selected transactions, calculated as the purchase price paid for the target company’s equity, plus debt at book value, preferred stock at liquidation value and noncontrolling interests at book value, less cash and cash equivalents, as multiples of estimated EBITDA for the fiscal year ending after the then current fiscal year at the time of announcement (“FY+1”). Historical balance sheet data were based on the most recent publicly available information at the time of announcement of the relevant transaction. UBS also reviewed the purchase price paid for the target company’s equity in the selected transactions as multiples of, to the extent publicly available, FY+1 estimated cash flow and FY+1 estimated net income. Estimated financial data for the targets listed in the Selected Transactions Analysis were based on IBES consensus estimates as of the time of announcement of the applicable transaction. UBS then compared these multiples derived for the selected transactions with corresponding multiples implied for Smith based on the implied per share value of the merger consideration. Multiples for the selected transactions were based on publicly available information at the time of announcement of the relevant transaction. Estimated financial data for Smith were based on internal estimates of Smith’s management. This analysis indicated the following implied high, median, mean and low multiples for the selected transactions, as compared to corresponding multiples implied for Smith:</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3"/>
          </w:tcPr>
          <w:p>
            <w:pPr>
              <w:jc w:val="right"/>
              <w:ind w:right="2100"/>
              <w:spacing w:after="0"/>
              <w:rPr>
                <w:sz w:val="20"/>
                <w:szCs w:val="20"/>
                <w:color w:val="auto"/>
              </w:rPr>
            </w:pPr>
            <w:r>
              <w:rPr>
                <w:rFonts w:ascii="Arial" w:cs="Arial" w:eastAsia="Arial" w:hAnsi="Arial"/>
                <w:sz w:val="14"/>
                <w:szCs w:val="14"/>
                <w:b w:val="1"/>
                <w:bCs w:val="1"/>
                <w:color w:val="auto"/>
                <w:w w:val="93"/>
              </w:rPr>
              <w:t>Equity Value/</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Transaction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FY +1 Cash Flow</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FY +1 Net Income</w:t>
            </w:r>
          </w:p>
        </w:tc>
        <w:tc>
          <w:tcPr>
            <w:tcW w:w="9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FY +1 EBITDA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42.5x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Mean</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12.5x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25.8x</w:t>
            </w:r>
          </w:p>
        </w:tc>
        <w:tc>
          <w:tcPr>
            <w:tcW w:w="1100" w:type="dxa"/>
            <w:vAlign w:val="bottom"/>
          </w:tcPr>
          <w:p>
            <w:pPr>
              <w:jc w:val="right"/>
              <w:spacing w:after="0"/>
              <w:rPr>
                <w:sz w:val="20"/>
                <w:szCs w:val="20"/>
                <w:color w:val="auto"/>
              </w:rPr>
            </w:pPr>
            <w:r>
              <w:rPr>
                <w:rFonts w:ascii="Arial" w:cs="Arial" w:eastAsia="Arial" w:hAnsi="Arial"/>
                <w:sz w:val="18"/>
                <w:szCs w:val="18"/>
                <w:color w:val="auto"/>
              </w:rPr>
              <w:t>9.8x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Median</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23.6x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Low</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7.2x</w:t>
            </w:r>
          </w:p>
        </w:tc>
        <w:tc>
          <w:tcPr>
            <w:tcW w:w="900" w:type="dxa"/>
            <w:vAlign w:val="bottom"/>
          </w:tcPr>
          <w:p>
            <w:pPr>
              <w:spacing w:after="0"/>
              <w:rPr>
                <w:sz w:val="19"/>
                <w:szCs w:val="19"/>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13.4x</w:t>
            </w:r>
          </w:p>
        </w:tc>
        <w:tc>
          <w:tcPr>
            <w:tcW w:w="1100" w:type="dxa"/>
            <w:vAlign w:val="bottom"/>
          </w:tcPr>
          <w:p>
            <w:pPr>
              <w:jc w:val="right"/>
              <w:spacing w:after="0"/>
              <w:rPr>
                <w:sz w:val="20"/>
                <w:szCs w:val="20"/>
                <w:color w:val="auto"/>
              </w:rPr>
            </w:pPr>
            <w:r>
              <w:rPr>
                <w:rFonts w:ascii="Arial" w:cs="Arial" w:eastAsia="Arial" w:hAnsi="Arial"/>
                <w:sz w:val="18"/>
                <w:szCs w:val="18"/>
                <w:color w:val="auto"/>
              </w:rPr>
              <w:t>6.1x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4320" w:type="dxa"/>
            <w:vAlign w:val="bottom"/>
            <w:tcBorders>
              <w:bottom w:val="single" w:sz="8" w:color="CCEEFF"/>
            </w:tcBorders>
            <w:gridSpan w:val="2"/>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Smith</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13.0x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30.6x</w:t>
            </w:r>
          </w:p>
        </w:tc>
        <w:tc>
          <w:tcPr>
            <w:tcW w:w="1100" w:type="dxa"/>
            <w:vAlign w:val="bottom"/>
          </w:tcPr>
          <w:p>
            <w:pPr>
              <w:jc w:val="right"/>
              <w:spacing w:after="0"/>
              <w:rPr>
                <w:sz w:val="20"/>
                <w:szCs w:val="20"/>
                <w:color w:val="auto"/>
              </w:rPr>
            </w:pPr>
            <w:r>
              <w:rPr>
                <w:rFonts w:ascii="Arial" w:cs="Arial" w:eastAsia="Arial" w:hAnsi="Arial"/>
                <w:sz w:val="18"/>
                <w:szCs w:val="18"/>
                <w:color w:val="auto"/>
              </w:rPr>
              <w:t>10.1x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 Offer</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40.8x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320" w:type="dxa"/>
            <w:vAlign w:val="bottom"/>
            <w:gridSpan w:val="4"/>
          </w:tcPr>
          <w:p>
            <w:pPr>
              <w:spacing w:after="0"/>
              <w:rPr>
                <w:sz w:val="20"/>
                <w:szCs w:val="20"/>
                <w:color w:val="auto"/>
              </w:rPr>
            </w:pPr>
            <w:r>
              <w:rPr>
                <w:rFonts w:ascii="Arial" w:cs="Arial" w:eastAsia="Arial" w:hAnsi="Arial"/>
                <w:sz w:val="18"/>
                <w:szCs w:val="18"/>
                <w:color w:val="auto"/>
              </w:rPr>
              <w:t>Smith Management Estimates: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4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35.9x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Smith @ Offer</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17.0x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47.9x</w:t>
            </w:r>
          </w:p>
        </w:tc>
        <w:tc>
          <w:tcPr>
            <w:tcW w:w="1100" w:type="dxa"/>
            <w:vAlign w:val="bottom"/>
          </w:tcPr>
          <w:p>
            <w:pPr>
              <w:jc w:val="right"/>
              <w:spacing w:after="0"/>
              <w:rPr>
                <w:sz w:val="20"/>
                <w:szCs w:val="20"/>
                <w:color w:val="auto"/>
              </w:rPr>
            </w:pPr>
            <w:r>
              <w:rPr>
                <w:rFonts w:ascii="Arial" w:cs="Arial" w:eastAsia="Arial" w:hAnsi="Arial"/>
                <w:sz w:val="18"/>
                <w:szCs w:val="18"/>
                <w:color w:val="auto"/>
              </w:rPr>
              <w:t>12.3x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(Net)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35.9x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Smith @ Offer (Net)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18.5x</w:t>
            </w:r>
          </w:p>
        </w:tc>
        <w:tc>
          <w:tcPr>
            <w:tcW w:w="900" w:type="dxa"/>
            <w:vAlign w:val="bottom"/>
          </w:tcPr>
          <w:p>
            <w:pPr>
              <w:spacing w:after="0"/>
              <w:rPr>
                <w:sz w:val="19"/>
                <w:szCs w:val="19"/>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47.9x</w:t>
            </w:r>
          </w:p>
        </w:tc>
        <w:tc>
          <w:tcPr>
            <w:tcW w:w="1100" w:type="dxa"/>
            <w:vAlign w:val="bottom"/>
          </w:tcPr>
          <w:p>
            <w:pPr>
              <w:jc w:val="right"/>
              <w:spacing w:after="0"/>
              <w:rPr>
                <w:sz w:val="20"/>
                <w:szCs w:val="20"/>
                <w:color w:val="auto"/>
              </w:rPr>
            </w:pPr>
            <w:r>
              <w:rPr>
                <w:rFonts w:ascii="Arial" w:cs="Arial" w:eastAsia="Arial" w:hAnsi="Arial"/>
                <w:sz w:val="18"/>
                <w:szCs w:val="18"/>
                <w:color w:val="auto"/>
              </w:rPr>
              <w:t>14.7x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Analysis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UBS performed a discounted cash flow analysis of Smith using financial forecasts and estimates prepared by Smith’s management. UBS calculated a range of implied present values (as of December 31, 2009) of the standalone unlevered, after-tax free cash flows that Smith was forecasted to generate from 2010 through 2013 using discount rates ranging from 10.5% to 12.5%, based on an estimated range of Smith’s weighted average cost of capital. UBS also calculated a range of implied terminal values for Smith by applying a range of EBITDA terminal value multiples of 7.0x to 9.0x to Smith’s mid-cycle EBITDA, as estimated by Smith’s management that Smith’s board of directors directed UBS to use for purposes of its analysis. UBS selected the range of terminal value multiples following a review of Smith’s historical LTM EBITDA trading multiple over a period that included multiple oil price cycles. The implied terminal values were then discounted to present value using discount rates ranging from 10.5% to 12.5%. The discounted cash flow analysis resulted in a range of implied present values of approximately $27.50 to $37.50 per outstanding share of Smith common stock, as compared to the implied per share value of the merger consideration of $44.51.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Schlumberger Financial Analysis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Companies Analysis</w:t>
      </w:r>
    </w:p>
    <w:p>
      <w:pPr>
        <w:spacing w:after="0" w:line="90"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UBS compared selected financial and stock market data of Schlumberger with corresponding data of the selected companies referred to above under “Smith Financial Analyses—Selected Companies Analysis”; with the difference that Smith was included as a selected company instead of Schlumberger.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UBS reviewed, among other things, the enterprise values of the selected companies (based on closing stock prices on February 19, 2010, except for that of Smith, which was based on its unaffected closing price on February 18, 2010, the last trading day before various news outlets began reporting on a possible transaction involving Smith and Schlumberger) as multiples of LTM EBITDA, calendar year 2010 and calendar year 2011 estimated EBITDA. UBS also reviewed closing stock prices of the selected companies on the dates referred to above as a multiple of (i) calendar year 2010 and 2011 estimated EPS and</w:t>
      </w:r>
    </w:p>
    <w:p>
      <w:pPr>
        <w:spacing w:after="0" w:line="3" w:lineRule="exact"/>
        <w:rPr>
          <w:sz w:val="20"/>
          <w:szCs w:val="20"/>
          <w:color w:val="auto"/>
        </w:rPr>
      </w:pPr>
    </w:p>
    <w:p>
      <w:pPr>
        <w:ind w:right="120" w:firstLine="8"/>
        <w:spacing w:after="0" w:line="320" w:lineRule="auto"/>
        <w:tabs>
          <w:tab w:leader="none" w:pos="258"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calendar year 2010 and 2011 CFPS. UBS then compared these multiples derived for the selected companies with corresponding multiples implied for Schlumberger based on the closing price of Schlumberger common stock on February 18, 2010. </w:t>
      </w:r>
      <w:r>
        <w:rPr>
          <w:rFonts w:ascii="Arial" w:cs="Arial" w:eastAsia="Arial" w:hAnsi="Arial"/>
          <w:sz w:val="15"/>
          <w:szCs w:val="15"/>
          <w:b w:val="1"/>
          <w:bCs w:val="1"/>
          <w:color w:val="auto"/>
        </w:rPr>
        <w:t>Financial data for the selected companies and Schlumberger</w:t>
      </w:r>
      <w:r>
        <w:rPr>
          <w:rFonts w:ascii="Arial" w:cs="Arial" w:eastAsia="Arial" w:hAnsi="Arial"/>
          <w:sz w:val="15"/>
          <w:szCs w:val="15"/>
          <w:color w:val="auto"/>
        </w:rPr>
        <w:t xml:space="preserve"> </w:t>
      </w:r>
      <w:r>
        <w:rPr>
          <w:rFonts w:ascii="Arial" w:cs="Arial" w:eastAsia="Arial" w:hAnsi="Arial"/>
          <w:sz w:val="15"/>
          <w:szCs w:val="15"/>
          <w:b w:val="1"/>
          <w:bCs w:val="1"/>
          <w:color w:val="auto"/>
        </w:rPr>
        <w:t>were based on IBES consensus estimates, public filings and other publicly available information. This analysis indicated the following implied high, mean, median and low multiples for the selected companies, as compared to corresponding multiples implied for Schlumberger: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Price/EPS</w:t>
            </w:r>
          </w:p>
        </w:tc>
        <w:tc>
          <w:tcPr>
            <w:tcW w:w="1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Price/CFPS</w:t>
            </w:r>
          </w:p>
        </w:tc>
        <w:tc>
          <w:tcPr>
            <w:tcW w:w="46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EV/ EBITDA</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2010E</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2010E</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LTM</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2010E</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2011E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30.6x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17.6x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11.9x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10.1x</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7.6x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Mean</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22.1x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14.8x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11.6x</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9.2x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10.0x</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8.8x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7.0x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22.6x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14.9x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8.9x</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7.2x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Low</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14.0x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12.0x</w:t>
            </w:r>
          </w:p>
        </w:tc>
        <w:tc>
          <w:tcPr>
            <w:tcW w:w="460" w:type="dxa"/>
            <w:vAlign w:val="bottom"/>
          </w:tcPr>
          <w:p>
            <w:pPr>
              <w:jc w:val="right"/>
              <w:spacing w:after="0"/>
              <w:rPr>
                <w:sz w:val="20"/>
                <w:szCs w:val="20"/>
                <w:color w:val="auto"/>
              </w:rPr>
            </w:pPr>
            <w:r>
              <w:rPr>
                <w:rFonts w:ascii="Arial" w:cs="Arial" w:eastAsia="Arial" w:hAnsi="Arial"/>
                <w:sz w:val="18"/>
                <w:szCs w:val="18"/>
                <w:color w:val="auto"/>
              </w:rPr>
              <w:t>7.8x</w:t>
            </w:r>
          </w:p>
        </w:tc>
        <w:tc>
          <w:tcPr>
            <w:tcW w:w="2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5.9x</w:t>
            </w:r>
          </w:p>
        </w:tc>
        <w:tc>
          <w:tcPr>
            <w:tcW w:w="460" w:type="dxa"/>
            <w:vAlign w:val="bottom"/>
          </w:tcPr>
          <w:p>
            <w:pPr>
              <w:jc w:val="right"/>
              <w:spacing w:after="0"/>
              <w:rPr>
                <w:sz w:val="20"/>
                <w:szCs w:val="20"/>
                <w:color w:val="auto"/>
              </w:rPr>
            </w:pPr>
            <w:r>
              <w:rPr>
                <w:rFonts w:ascii="Arial" w:cs="Arial" w:eastAsia="Arial" w:hAnsi="Arial"/>
                <w:sz w:val="18"/>
                <w:szCs w:val="18"/>
                <w:color w:val="auto"/>
              </w:rPr>
              <w:t>6.0x</w:t>
            </w:r>
          </w:p>
        </w:tc>
        <w:tc>
          <w:tcPr>
            <w:tcW w:w="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6.8x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6.3x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49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22.6x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17.2x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13.7x</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11.4x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12.5x</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11.3x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9.1x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Contribution Analysis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UBS reviewed the respective estimated contributions to the merger on the combined company’s estimated pro forma EBITDA, cash flow, and net income for fiscal year 2010. Estimated financial data for Schlumberger were based on Schlumberger Street Estimates. Estimated financial data for Smith were based on internal estimates of Smith’s management.</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analysis indicated the following relative contributions of Smith and Schlumberger to the combined company’s pro forma estimated 2010 EBITDA, as compared to the enterprise values of each company, based on both the unaffected stock prices and on the implied per share value of the merger consideration: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Relative Contributions</w:t>
            </w:r>
          </w:p>
        </w:tc>
      </w:tr>
      <w:tr>
        <w:trPr>
          <w:trHeight w:val="190"/>
        </w:trPr>
        <w:tc>
          <w:tcPr>
            <w:tcW w:w="20" w:type="dxa"/>
            <w:vAlign w:val="bottom"/>
          </w:tcPr>
          <w:p>
            <w:pPr>
              <w:spacing w:after="0"/>
              <w:rPr>
                <w:sz w:val="16"/>
                <w:szCs w:val="16"/>
                <w:color w:val="auto"/>
              </w:rPr>
            </w:pPr>
          </w:p>
        </w:tc>
        <w:tc>
          <w:tcPr>
            <w:tcW w:w="1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2010E EBITDA</w:t>
            </w:r>
          </w:p>
        </w:tc>
        <w:tc>
          <w:tcPr>
            <w:tcW w:w="3060" w:type="dxa"/>
            <w:vAlign w:val="bottom"/>
            <w:tcBorders>
              <w:bottom w:val="single" w:sz="8" w:color="CCEEFF"/>
            </w:tcBorders>
            <w:shd w:val="clear" w:color="auto" w:fill="CCEEFF"/>
          </w:tcPr>
          <w:p>
            <w:pPr>
              <w:spacing w:after="0"/>
              <w:rPr>
                <w:sz w:val="16"/>
                <w:szCs w:val="16"/>
                <w:color w:val="auto"/>
              </w:rPr>
            </w:pPr>
          </w:p>
        </w:tc>
        <w:tc>
          <w:tcPr>
            <w:tcW w:w="56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Smith</w:t>
            </w:r>
          </w:p>
        </w:tc>
        <w:tc>
          <w:tcPr>
            <w:tcW w:w="72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7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Enterprise Value at Unaffected Prices</w:t>
            </w:r>
          </w:p>
        </w:tc>
        <w:tc>
          <w:tcPr>
            <w:tcW w:w="5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7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7200" w:type="dxa"/>
            <w:vAlign w:val="bottom"/>
            <w:gridSpan w:val="3"/>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Enterprise Value at Exchange Ratio</w:t>
            </w:r>
          </w:p>
        </w:tc>
        <w:tc>
          <w:tcPr>
            <w:tcW w:w="5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Smith</w:t>
            </w:r>
          </w:p>
        </w:tc>
        <w:tc>
          <w:tcPr>
            <w:tcW w:w="72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7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36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80" w:type="dxa"/>
            <w:vAlign w:val="bottom"/>
          </w:tcPr>
          <w:p>
            <w:pPr>
              <w:jc w:val="right"/>
              <w:ind w:right="4012"/>
              <w:spacing w:after="0"/>
              <w:rPr>
                <w:sz w:val="20"/>
                <w:szCs w:val="20"/>
                <w:color w:val="auto"/>
              </w:rPr>
            </w:pPr>
            <w:r>
              <w:rPr>
                <w:rFonts w:ascii="Arial" w:cs="Arial" w:eastAsia="Arial" w:hAnsi="Arial"/>
                <w:sz w:val="18"/>
                <w:szCs w:val="18"/>
                <w:color w:val="auto"/>
              </w:rPr>
              <w:t>52</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UBS also reviewed the respective estimated contributions of Smith and Schlumberger to the combined company’s pro forma estimated 2010 net income and cash flow, as compared to the equity values of each company, based on both the unaffected stock prices and on the exchange ratio. This analysis indicated the following relative contributions of Smith and Schlumberger: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Relative Contributions</w:t>
            </w:r>
          </w:p>
        </w:tc>
      </w:tr>
      <w:tr>
        <w:trPr>
          <w:trHeight w:val="190"/>
        </w:trPr>
        <w:tc>
          <w:tcPr>
            <w:tcW w:w="20" w:type="dxa"/>
            <w:vAlign w:val="bottom"/>
          </w:tcPr>
          <w:p>
            <w:pPr>
              <w:spacing w:after="0"/>
              <w:rPr>
                <w:sz w:val="16"/>
                <w:szCs w:val="16"/>
                <w:color w:val="auto"/>
              </w:rPr>
            </w:pPr>
          </w:p>
        </w:tc>
        <w:tc>
          <w:tcPr>
            <w:tcW w:w="13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2010E Net Income</w:t>
            </w:r>
          </w:p>
        </w:tc>
        <w:tc>
          <w:tcPr>
            <w:tcW w:w="85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2010E Cash Flow</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Ownership at Unaffected Prices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Pro Forma Ownership at Exchange Ratio</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2"/>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Miscellaneous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terms of UBS’ engagement, Smith agreed to pay UBS for its financial advisory services in connection with the merger an aggregate fee currently estimated to be approximately $[29.4] million, a portion of which was payable in connection with the delivery of UBS’ opinion and approximately $[26.9] million of which is contingent upon consummation of the merger. In addition, Smith agreed to reimburse UBS for its reasonable expenses, including fees, disbursements and other charges of counsel, and to indemnify UBS and related parties against liabilities, including liabilities under federal securities laws, relating to, or arising out of, its engagement. In the past, UBS and its affiliates have provided investment banking services to Smith unrelated to the proposed merger, for which UBS and its affiliates received compensation. Specifically, during the past two years UBS acted as co-manager in Smith’s offering of Smith common stock in 2009. In the ordinary course of business, UBS and its affiliates may hold or trade, for their own accounts and the accounts of their customers, securities of Smith and Schlumberger, and, accordingly, may at any time hold a long or short position in such securities. Smith selected UBS as its financial advisor in connection with the merger because UBS is an internationally recognized investment banking firm with substantial experience in similar transactions and because of UBS’ familiarity with Smith, Schlumberger and their respective businesses. UBS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Projections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Smith does not, as a matter of course, publicly disclose forecasts as to future performance, earnings or other results due to the unpredictability of the underlying assumptions and estimates. However, in connection with discussions concerning the merger, Smith provided Schlumberger and its financial advisors with certain non-public unaudited prospective financial information based on estimates by Smith management. These estimates were prepared with respect to prospective financial information in connection with due diligence, and were not prepared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or GAAP. A summary of this information is presented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While the financial forecasts were prepared in good faith, no assurance can be made regarding future events. The financial forecasts rely on a number of estimates and assumptions, including the following:</w:t>
      </w:r>
    </w:p>
    <w:p>
      <w:pPr>
        <w:spacing w:after="0" w:line="51"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Global rig counts were estimated to increase to 2,552 in 2010, 2,650 in 2011, 2,849 in 2012 and 3,032 in 2013;</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global market was assumed to recover modestly in 2010, with a more robust recovery thereafter, as reflected in global GDP growth estimated to be 1.8% in 2010, 3.6% in 2011, 4.2% in 2012 and 4.1% in 2013;</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Margins for earnings before income and taxes were assumed to recover steadily over the forecast period, returning to historical levels after 2012, and were specifically estimated to be 8.8% in 2010, 12.0% in 2011, 14.5% in 2012 and 16.5% in 2013;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Capital expenditures per revenue dollar and effective tax rate were assumed to remain fairly consistent over the forecast period.</w:t>
      </w:r>
    </w:p>
    <w:p>
      <w:pPr>
        <w:spacing w:after="0" w:line="171"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These and the other estimates and assumptions underlying the financial forecasts involve judgments with respect to, among other 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Smith and Schlumberger operate, and the risks and uncertainties described under “Risk Factors” and “Cautionary Statement Regarding Forward-Looking Statements,” all of which are difficult to predict and many of which are outside the control of Smith and Schlumberger and will be beyond the control of the combined company. There can be no assurance that the underlying assumptions will prove to be accurate or that the projected results will be realized, and actual results likely will differ, and may differ materially, from those reflected in the financial forecasts, whether or not the merger is completed. The inclusion in this proxy statement/prospectus of the unaudited prospective financial information below should not be regarded as an indication that Smith, Schlumberger, or their respective boards of directors considered, or now considers, these projections and forecasts to be a reliable predictor of future results. The financial forecasts are not fact and should not be relied upon as being necessarily indicative of future results, and readers of this proxy statement/prospectus are cautioned not to place undue reliance on this information. None of the financial forecasts reflects any impact of the merger.</w:t>
      </w:r>
    </w:p>
    <w:p>
      <w:pPr>
        <w:spacing w:after="0" w:line="11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All of the financial forecasts summarized in this section were prepared by the management of Smith. Deloitte &amp; Touche LLP (Smith’s independent registered public accounting firm) has not examined, compiled or otherwise performed any procedures with respect to the prospective financial information contained in these financial forecasts and, accordingly, Deloitte &amp; Touche LLP has not expressed any opinion or given any other form of assurance with respect thereto and they assume no responsibility for the prospective financial information. The Deloitte &amp; Touche LLP reports either incorporated by reference or included in this proxy statement/prospectus relate to the historical financial information of Smith. Such reports do not extend to the financial forecasts and should not be read to do so.</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By including in this proxy statement/prospectus a summary of certain financial forecasts, neither Smith nor any of its representatives has made or makes any representation to any person regarding the ultimate performance of Smith or Schlumberger compared to the information contained in the financial forecasts. The financial forecasts summarized in this section were prepared during the periods described above and have not been updated to reflect any changes since February 2010 or the actual 2009 results of operation of Smith, as set forth herein under “Selected Historical Financial Data of Smith.” Neither Smith, Schlumberger, nor, after completion of the merger, the combined company undertakes any obligation, except as required by law, to update or otherwise revise the financial forecasts or financial information to reflect circumstances existing since their preparation or to reflect the occurrence of unanticipated events, even in the event that any or all of the underlying assumptions are shown to be in error, or to reflect changes in general economic or industry conditions.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summary of the financial forecasts is not included in this proxy statement/prospectus in order to induce any stockholder to vote in favor of the merger proposal or any of the other proposals to be voted on at the Smith annual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select unaudited prospective financial data for the fiscal years ending 2010 through 2013 prepared by Smith’s management.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116"/>
              <w:spacing w:after="0"/>
              <w:rPr>
                <w:sz w:val="20"/>
                <w:szCs w:val="20"/>
                <w:color w:val="auto"/>
              </w:rPr>
            </w:pPr>
            <w:r>
              <w:rPr>
                <w:rFonts w:ascii="Arial" w:cs="Arial" w:eastAsia="Arial" w:hAnsi="Arial"/>
                <w:sz w:val="14"/>
                <w:szCs w:val="14"/>
                <w:b w:val="1"/>
                <w:bCs w:val="1"/>
                <w:color w:val="auto"/>
                <w:w w:val="87"/>
              </w:rPr>
              <w:t>Fiscal Year Ended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2010E</w:t>
            </w:r>
          </w:p>
        </w:tc>
        <w:tc>
          <w:tcPr>
            <w:tcW w:w="440" w:type="dxa"/>
            <w:vAlign w:val="bottom"/>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2011E</w:t>
            </w:r>
          </w:p>
        </w:tc>
        <w:tc>
          <w:tcPr>
            <w:tcW w:w="44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2013E</w:t>
            </w:r>
          </w:p>
        </w:tc>
        <w:tc>
          <w:tcPr>
            <w:tcW w:w="20" w:type="dxa"/>
            <w:vAlign w:val="bottom"/>
          </w:tcPr>
          <w:p>
            <w:pPr>
              <w:spacing w:after="0"/>
              <w:rPr>
                <w:sz w:val="12"/>
                <w:szCs w:val="12"/>
                <w:color w:val="auto"/>
              </w:rPr>
            </w:pPr>
          </w:p>
        </w:tc>
      </w:tr>
      <w:tr>
        <w:trPr>
          <w:trHeight w:val="142"/>
        </w:trPr>
        <w:tc>
          <w:tcPr>
            <w:tcW w:w="7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EBITDA (gross) (1)(2)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$ 1,982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$ 2,432</w:t>
            </w:r>
          </w:p>
        </w:tc>
        <w:tc>
          <w:tcPr>
            <w:tcW w:w="20" w:type="dxa"/>
            <w:vAlign w:val="bottom"/>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EBITDA (net) (1)(3)</w:t>
            </w:r>
          </w:p>
        </w:tc>
        <w:tc>
          <w:tcPr>
            <w:tcW w:w="500" w:type="dxa"/>
            <w:vAlign w:val="bottom"/>
          </w:tcPr>
          <w:p>
            <w:pPr>
              <w:jc w:val="right"/>
              <w:spacing w:after="0"/>
              <w:rPr>
                <w:sz w:val="20"/>
                <w:szCs w:val="20"/>
                <w:color w:val="auto"/>
              </w:rPr>
            </w:pPr>
            <w:r>
              <w:rPr>
                <w:rFonts w:ascii="Arial" w:cs="Arial" w:eastAsia="Arial" w:hAnsi="Arial"/>
                <w:sz w:val="18"/>
                <w:szCs w:val="18"/>
                <w:color w:val="auto"/>
              </w:rPr>
              <w:t>843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1,562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8,599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9,673</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10,976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12,313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53"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Earnings before interest, income taxes, depreciation and amortization (“EBITDA”) is a non-GAAP financial measure and should not be considered as an alternative to operating income or net income as a measure of operating performance or cash flows or as a measure of liquidity. EBITDA does not include the impact of any (i) synergies or (ii) costs related to the merger.</w:t>
      </w: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EBITDA associated with noncontrolling interests.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Excludes EBITDA associated with noncontrolling interests.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Smith’s Directors and Officers in the Merger</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considering the recommendation of the Smith board of directors that you vote to adopt the merger agreement, you should be aware that some of Smith’s executive officers and directors have financial interests in the merger that are different from, or in addition to, those of Smith’s stockholders generally. The independent members of Smith’s board of directors were aware of and considered these interests, among other matters, in evaluating and negotiating the merger agreement and the merger, and in recommending to the stockholders that the merger agreement be adopted. References in this section to Smith’s executive officers are to the following individuals: Malcolm W. Anderson, Richard E. Chandler, Jr., Bryan L. Dudman, John J. Kennedy, Norman A. Mckay, Peter J. Pintar, William Restrepo, Christopher I.S. Rivers, Doug Rock (who resigned as an employee of Smith effective May 12, 2010), Brian E. Taylor, Lee A. Turner, Geraldine D. Wilde and John Yearwood.</w:t>
      </w:r>
    </w:p>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For purposes of all of the Smith agreements and plans described below, completion of the merger will constitute a change of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Smith.</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Equity Compensation Awards</w:t>
      </w:r>
      <w:r>
        <w:rPr>
          <w:rFonts w:ascii="Arial" w:cs="Arial" w:eastAsia="Arial" w:hAnsi="Arial"/>
          <w:sz w:val="16"/>
          <w:szCs w:val="16"/>
          <w:color w:val="auto"/>
        </w:rPr>
        <w:t>. The terms of Smith’s equity compensation plans and the applicable award agreements provide that, for awards granted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date of the merger agreement, on the day prior to a change of control, all restrictions and conditions on any outstanding restricted stock units lapse, and all performance-based awards become fully vested and deemed earned in full at the specified 100% target amount. Based on Smith equity compensation holdings as of May 26, 2010, and assuming a closing date of November 15, 2010, (1) the number of time-based restricted stock units in respect of Smith common stock held by each of Messrs. Rock, Yearwood, Restrepo, Rivers, Mckay and Dudman, the seven other Smith executive officers (as a group), and the six Smith non-employee directors (as a group), that would vest in connection with completion of the merger is 0, 0, 23,385, 12,453, 74,122, 12,453, 44,093 and 39,671, respectively, and (2) the number of performance-based restricted stock units in respect of Smith common stock held by each of Messrs. Rock, Yearwood, Restrepo, Rivers, Mckay, and Dudman, the seven other Smith executive officers (as a group), and the six Smith non-employee directors (as a group), that would vest in connection with completion of the merger is 0, 265,204, 27,989, 93,705, 61,555, 99,191, 161,738 and 0, respectively. In connection with Mr. Rock’s retirement on May 12, 2010 as an employee of Smith, the vesting of 24,324 restricted stock units held by him accelerated.</w:t>
      </w:r>
    </w:p>
    <w:p>
      <w:pPr>
        <w:spacing w:after="0" w:line="12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merger agreement provides that, upon completion of the merger, (i) each then-outstanding Smith stock option will be converted into a Schlumberger stock option and (ii) each then-outstanding Smith restricted stock unit and performance-based restricted stock unit granted prior to the date of the merger agreement will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cancelled and converted into the right to receive the merger consideration. With respect to performance-based restricted stock unit awards, the total number of shares of Smith common stock subject to the award will be calculated based on the deemed attainment of performance goals at 100% of the target performance level. The treatment of outstanding Smith stock options and the cash settlement of other equity awards in the merger, including treatment of awards granted subsequent to the date of the merger agreement, are discussed in greater detail under “The Merger—Treatment of Equity Awards.”</w:t>
      </w:r>
    </w:p>
    <w:p>
      <w:pPr>
        <w:spacing w:after="0" w:line="11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i w:val="1"/>
          <w:iCs w:val="1"/>
          <w:color w:val="auto"/>
        </w:rPr>
        <w:t>Change of Control Employment Agreements</w:t>
      </w:r>
      <w:r>
        <w:rPr>
          <w:rFonts w:ascii="Arial" w:cs="Arial" w:eastAsia="Arial" w:hAnsi="Arial"/>
          <w:sz w:val="18"/>
          <w:szCs w:val="18"/>
          <w:color w:val="auto"/>
        </w:rPr>
        <w:t>. Smith is party to change of control employment agreements with each of Messrs. Yearwood, Anderson,</w:t>
      </w:r>
      <w:r>
        <w:rPr>
          <w:rFonts w:ascii="Arial" w:cs="Arial" w:eastAsia="Arial" w:hAnsi="Arial"/>
          <w:sz w:val="18"/>
          <w:szCs w:val="18"/>
          <w:i w:val="1"/>
          <w:iCs w:val="1"/>
          <w:color w:val="auto"/>
        </w:rPr>
        <w:t xml:space="preserve"> </w:t>
      </w:r>
      <w:r>
        <w:rPr>
          <w:rFonts w:ascii="Arial" w:cs="Arial" w:eastAsia="Arial" w:hAnsi="Arial"/>
          <w:sz w:val="18"/>
          <w:szCs w:val="18"/>
          <w:color w:val="auto"/>
        </w:rPr>
        <w:t>Chandler, Kennedy, Restrepo, Mckay, Dudman, Pintar and Rivers. The agreements provide for change of control severance benefits in the event of certain qualifying terminations of employment in connection with or following a change of control.</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 agreements, if Smith terminates the applicable executive’s employment without cause (as defined in the agreements) or the executive terminates employment for good reason (as defined in the agreements and summarized below) at any time during the three-year period commencing upon a change of control or within the 12-month period prior to a change of control but in anticipation thereof, the executive will be eligible to receive the following payments and benefits:</w:t>
      </w:r>
    </w:p>
    <w:p>
      <w:pPr>
        <w:spacing w:after="0" w:line="62" w:lineRule="exact"/>
        <w:rPr>
          <w:sz w:val="20"/>
          <w:szCs w:val="20"/>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lump sum cash payment equal to:</w:t>
      </w:r>
    </w:p>
    <w:p>
      <w:pPr>
        <w:spacing w:after="0" w:line="90" w:lineRule="exact"/>
        <w:rPr>
          <w:rFonts w:ascii="Arial" w:cs="Arial" w:eastAsia="Arial" w:hAnsi="Arial"/>
          <w:sz w:val="18"/>
          <w:szCs w:val="18"/>
          <w:color w:val="auto"/>
        </w:rPr>
      </w:pPr>
    </w:p>
    <w:p>
      <w:pPr>
        <w:ind w:left="900" w:right="20" w:hanging="217"/>
        <w:spacing w:after="0" w:line="294"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sum of (1) the executive’s annual base salary through the termination date (to the extent not already paid), (2) an annual bonus amount equal to the product of (a) the higher of (x) the highest annual bonus paid to the executive in the last three full fiscal years prior to the date of change of control and (y) the annual bonus paid for the most recently completed fiscal year during the post-change of control employment period (the “Highest Annual Bonus”) and (b) a fraction, the numerator of which is the number of days in the applicable fiscal year through the termination date, and the denominator of which is 365, and (3) any accrued and unpaid vacation pay;</w:t>
      </w:r>
    </w:p>
    <w:p>
      <w:pPr>
        <w:spacing w:after="0" w:line="34" w:lineRule="exact"/>
        <w:rPr>
          <w:rFonts w:ascii="Arial" w:cs="Arial" w:eastAsia="Arial" w:hAnsi="Arial"/>
          <w:sz w:val="16"/>
          <w:szCs w:val="16"/>
          <w:color w:val="auto"/>
        </w:rPr>
      </w:pPr>
    </w:p>
    <w:p>
      <w:pPr>
        <w:jc w:val="both"/>
        <w:ind w:left="900" w:right="200" w:hanging="217"/>
        <w:spacing w:after="0" w:line="306"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 amount equal to the product of (1) the “Termination Multiple” (three times for a termination during the first year following a change of control, two times for a termination during the second year following a change of control and one times for a termination during the third year following a change of control), and (2) the sum of (x) the executive’s annual base salary and (y) the Highest Annual Bonus; and</w:t>
      </w:r>
    </w:p>
    <w:p>
      <w:pPr>
        <w:spacing w:after="0" w:line="25" w:lineRule="exact"/>
        <w:rPr>
          <w:rFonts w:ascii="Arial" w:cs="Arial" w:eastAsia="Arial" w:hAnsi="Arial"/>
          <w:sz w:val="16"/>
          <w:szCs w:val="16"/>
          <w:color w:val="auto"/>
        </w:rPr>
      </w:pPr>
    </w:p>
    <w:p>
      <w:pPr>
        <w:ind w:left="900" w:right="200" w:hanging="217"/>
        <w:spacing w:after="0" w:line="259"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payment equal to the excess of (1) the actuarial equivalent of the Supplemental Executive Retirement Plan (“SERP”) benefit that the executive would have received had the executive’s employment continued for a number of years after the termination date equal to the Termination Multiple over (2) the actuarial equivalent of the executive’s actual SERP benefit;</w:t>
      </w:r>
    </w:p>
    <w:p>
      <w:pPr>
        <w:spacing w:after="0" w:line="59"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continued coverage under Smith healthcare and life insurance plans for a number of years equal to the Termination Multiple or such longer period as may be provided by the terms of the appropriate Smith plan;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outplacement benefits.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purposes of the change of control employment agreements, “good reason” is defined generally to include (1) certain diminutions in position, authority, duties, responsibilities, compensation, benefits, (2) certain relocations or (3) any failure by Smith to have a successor assume the agreements. Additionally, a termination by the executive for any reason during the 30-day period immediately following the first anniversary of the change of control will constitute termination for good reason for purposes of the agreements.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Retention Program</w:t>
      </w:r>
      <w:r>
        <w:rPr>
          <w:rFonts w:ascii="Arial" w:cs="Arial" w:eastAsia="Arial" w:hAnsi="Arial"/>
          <w:sz w:val="16"/>
          <w:szCs w:val="16"/>
          <w:color w:val="auto"/>
        </w:rPr>
        <w:t>. Under the terms of the merger agreement and subsequent agreements between Smith and Schlumberger, Smith is permitted to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a retention program with a retention pool in an aggregate amount up to $74.3 million. On [—], 2010, Smith allocated a portion of this aggregate amount to persons who are executive officers of Smith or who are party to change of control employment agreements. These allocations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total $[—] million in the aggregate if the merger is consummated in 2010 and $[—] million in the aggregate if the merger is consummated in 2011. See “The Merger—Certain Additional Agreements—Employee Matters.” The individual allocations to executive officers are reflected in the table set forth in “—Summary of Estimated Value of Equity Awards, Retention Payments and Severance Benefits.” The allocated amounts will be payable at the closing if the applicable employee is employed by Smith or its subsidiaries at such time. In addition, Smith recently allocated approximately $18 million in retention payments to certain employees who are not executive officers, and may make additional allocations.</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Summary of Estimated Value of Equity Awards, Retention Payments and Severance Benefits</w:t>
      </w:r>
      <w:r>
        <w:rPr>
          <w:rFonts w:ascii="Arial" w:cs="Arial" w:eastAsia="Arial" w:hAnsi="Arial"/>
          <w:sz w:val="18"/>
          <w:szCs w:val="18"/>
          <w:color w:val="auto"/>
        </w:rPr>
        <w:t>. The chart below sets forth the number of outstanding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that will vest upon consummation of the merger for Smith’s executive officers and directors, as well as the estimated aggregate value of such awards. The chart also includes the amount of cash retention payments, the estimated amount of cash severance payments and the estimated value of other severance benefits that the executive officers would receive. Except with respect to the column titled “Cash Retention Payments Assuming Consummation of Merger in 2011,” the chart assumes that the merger is completed on November 15, 2010 and each executive officer experiences a severance-qualifying termination immediately thereafter.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Cash Retention</w:t>
            </w:r>
          </w:p>
        </w:tc>
        <w:tc>
          <w:tcPr>
            <w:tcW w:w="120" w:type="dxa"/>
            <w:vAlign w:val="bottom"/>
          </w:tcPr>
          <w:p>
            <w:pPr>
              <w:spacing w:after="0"/>
              <w:rPr>
                <w:sz w:val="14"/>
                <w:szCs w:val="1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85"/>
              </w:rPr>
              <w:t>Cash Retention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Estimated</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3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Estimated Value of</w:t>
            </w:r>
          </w:p>
        </w:tc>
        <w:tc>
          <w:tcPr>
            <w:tcW w:w="16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Payments Assuming</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Payments Assuming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Cash</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Value of Other</w:t>
            </w:r>
          </w:p>
        </w:tc>
      </w:tr>
      <w:tr>
        <w:trPr>
          <w:trHeight w:val="149"/>
        </w:trPr>
        <w:tc>
          <w:tcPr>
            <w:tcW w:w="3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40" w:type="dxa"/>
            <w:vAlign w:val="bottom"/>
          </w:tcPr>
          <w:p>
            <w:pPr>
              <w:spacing w:after="0"/>
              <w:rPr>
                <w:sz w:val="12"/>
                <w:szCs w:val="12"/>
                <w:color w:val="auto"/>
              </w:rPr>
            </w:pPr>
          </w:p>
        </w:tc>
        <w:tc>
          <w:tcPr>
            <w:tcW w:w="15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16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Consummation of</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Consummation of</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Severance</w:t>
            </w: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Severance</w:t>
            </w:r>
          </w:p>
        </w:tc>
      </w:tr>
      <w:tr>
        <w:trPr>
          <w:trHeight w:val="161"/>
        </w:trPr>
        <w:tc>
          <w:tcPr>
            <w:tcW w:w="3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Stock Units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Units(1)</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Merger in 2010</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Merger in 2011</w:t>
            </w:r>
          </w:p>
        </w:tc>
        <w:tc>
          <w:tcPr>
            <w:tcW w:w="5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Payments(2)</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5"/>
              </w:rPr>
              <w:t>Benefits(3)</w:t>
            </w:r>
          </w:p>
        </w:tc>
        <w:tc>
          <w:tcPr>
            <w:tcW w:w="20" w:type="dxa"/>
            <w:vAlign w:val="bottom"/>
          </w:tcPr>
          <w:p>
            <w:pPr>
              <w:spacing w:after="0"/>
              <w:rPr>
                <w:sz w:val="14"/>
                <w:szCs w:val="14"/>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Doug Rock</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John Yearwood</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265,204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10,853,540</w:t>
            </w:r>
          </w:p>
        </w:tc>
        <w:tc>
          <w:tcPr>
            <w:tcW w:w="10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4,221,765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William Restrepo</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2,102,494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1,615,283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Christopher I.S. Rivers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106,158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4,344,543</w:t>
            </w:r>
          </w:p>
        </w:tc>
        <w:tc>
          <w:tcPr>
            <w:tcW w:w="10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3,889,741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Norman A. Mckay</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135,677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5,552,615</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2,955,763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Bryan L. Dudman</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111,644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4,569,059</w:t>
            </w:r>
          </w:p>
        </w:tc>
        <w:tc>
          <w:tcPr>
            <w:tcW w:w="10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4,254,165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executive officers, as a group</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205,831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8,423,685</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11,889,503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409,543</w:t>
            </w:r>
          </w:p>
        </w:tc>
        <w:tc>
          <w:tcPr>
            <w:tcW w:w="20" w:type="dxa"/>
            <w:vAlign w:val="bottom"/>
          </w:tcPr>
          <w:p>
            <w:pPr>
              <w:spacing w:after="0"/>
              <w:rPr>
                <w:sz w:val="18"/>
                <w:szCs w:val="18"/>
                <w:color w:val="auto"/>
              </w:rPr>
            </w:pPr>
          </w:p>
        </w:tc>
      </w:tr>
      <w:tr>
        <w:trPr>
          <w:trHeight w:val="208"/>
        </w:trPr>
        <w:tc>
          <w:tcPr>
            <w:tcW w:w="3160" w:type="dxa"/>
            <w:vAlign w:val="bottom"/>
          </w:tcPr>
          <w:p>
            <w:pPr>
              <w:spacing w:after="0"/>
              <w:rPr>
                <w:sz w:val="20"/>
                <w:szCs w:val="20"/>
                <w:color w:val="auto"/>
              </w:rPr>
            </w:pPr>
            <w:r>
              <w:rPr>
                <w:rFonts w:ascii="Arial" w:cs="Arial" w:eastAsia="Arial" w:hAnsi="Arial"/>
                <w:sz w:val="18"/>
                <w:szCs w:val="18"/>
                <w:color w:val="auto"/>
              </w:rPr>
              <w:t>Other non-employee directors, as a</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160" w:type="dxa"/>
            <w:vAlign w:val="bottom"/>
          </w:tcPr>
          <w:p>
            <w:pPr>
              <w:ind w:left="220"/>
              <w:spacing w:after="0"/>
              <w:rPr>
                <w:sz w:val="20"/>
                <w:szCs w:val="20"/>
                <w:color w:val="auto"/>
              </w:rPr>
            </w:pPr>
            <w:r>
              <w:rPr>
                <w:rFonts w:ascii="Arial" w:cs="Arial" w:eastAsia="Arial" w:hAnsi="Arial"/>
                <w:sz w:val="18"/>
                <w:szCs w:val="18"/>
                <w:color w:val="auto"/>
              </w:rPr>
              <w:t>group</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39,671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1,623,546</w:t>
            </w:r>
          </w:p>
        </w:tc>
        <w:tc>
          <w:tcPr>
            <w:tcW w:w="10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the closing price of Schlumberger common stock as of May 26,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Cash severance payments include prorated annual bonus, lump-sum cash severance payment, and the SERP equalization payment.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severance benefits include welfare benefit continuation and outplacement benefits.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Employment Agreement with Doug Rock</w:t>
      </w:r>
      <w:r>
        <w:rPr>
          <w:rFonts w:ascii="Arial" w:cs="Arial" w:eastAsia="Arial" w:hAnsi="Arial"/>
          <w:sz w:val="16"/>
          <w:szCs w:val="16"/>
          <w:color w:val="auto"/>
        </w:rPr>
        <w:t>. Effective January 1, 2009, Smith entered into an employment agreement with Mr. Rock, which superseded a prior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and a prior change of control agreement and provides that Mr. Rock will serve as a Special Executive Advisor to the chief executive officer of Smith. The 2009 employment agreement provided for the payment of certain severance benefits in the event of termination of Mr. Rock’s employment by Smith without cause (as defined in his agreement) or upon a change of control (in which case his employment terminates automatically). However, because Mr. Rock resigned from employment on May 12, 2010, Mr. Rock will not receive any change of control related benefits in connection with this transaction.</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Deferred Compensation Plans</w:t>
      </w:r>
      <w:r>
        <w:rPr>
          <w:rFonts w:ascii="Arial" w:cs="Arial" w:eastAsia="Arial" w:hAnsi="Arial"/>
          <w:sz w:val="16"/>
          <w:szCs w:val="16"/>
          <w:color w:val="auto"/>
        </w:rPr>
        <w:t>. Smith currently maintains the Post-2004 Supplemental Executive Retirement Plan (the “Post-2004 SERP”), the</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Executive Retirement Plan (the “SERP”) and non-qualified deferred compensation plans for, the benefit of officers and certain other eligible Smith employees. Under the terms of the plan, upon the date of an employee’s separation from service, his or her account balance generally becomes distributable in the form of payment as elected by the participant. If such separation from service occurs within the 12-month period following a change of control, all distributions are automatically made in a lump sum within 30 days of the separation from service. The SERP and Post-2004 SERP benefits are paid from a rabbi trust. Upon the occurrence of a change of control, these trusts become irrevocable and must be fully funded.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Relationship of Smith’s Directors and Officers with Schlumberger</w:t>
      </w:r>
      <w:r>
        <w:rPr>
          <w:rFonts w:ascii="Arial" w:cs="Arial" w:eastAsia="Arial" w:hAnsi="Arial"/>
          <w:sz w:val="16"/>
          <w:szCs w:val="16"/>
          <w:color w:val="auto"/>
        </w:rPr>
        <w:t>. There are no agreements or arrangements between Schlumberger and any of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Smith or any of the executive officers of Smith who were involved in the merger negotiations regarding continued employment or service following the merger. Mr. Yearwood owned shares of Schlumberger common stock with an approximate market value of $2.29 million as of June 11,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Relevant state law may, under certain circumstances, give stockholders of a corporation appraisal or dissenters’ rights in connection with a proposed merger. However, Smith stockholders will not have such rights in connection with the merger.</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Section 262 of the Delaware General Corporation Law, appraisal rights are not available for shares of stock if (1) such shares were, at the record date fixed to determine the stockholders entitled to receive notice of and to vote on the agreement of merger, either (a) listed on a national securities exchange, such as the NYSE, or (b) held of record by more than 2,000 holders, and (2) the holders of such shares will receive shares of stock of another corporation that are listed on a national securities exchange. Because Smith common stock will be listed on the NYSE on the applicable record date and will, upon the completion of the merger, be converted into the right to receive Schlumberger common stock, which will also be listed on the NYSE, Smith stockholders will not have appraisal rights in connection with the merger. The foregoing discussion is not a complete statement of law pertaining to appraisal rights under Delaware law and is qualified in its entirety by reference to Delaware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Schlumberger Stock and Delisting and Deregistration of Smith Stock</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Schlumberger will apply to have the shares of its common stock to be issued in the merger approved for listing on the NYSE, where Schlumberger common stock is currently traded. If the merger is completed, Smith shares will no longer be listed on the NYSE, and will be deregistered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Shares of Schlumberger Common Stock Received in the Merger</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Shares of Schlumberger common stock issued in the merger will not be subject to any restrictions on transfer arising under the Securities Act or the Exchange Act, except for shares of Schlumberger common stock issued to any Smith stockholder who may be deemed to be an “affiliate” of Schlumberger after the completion of the merger. This proxy statement/prospectus does not cover resales of Schlumberger common stock received by any person upon the completion of the merger, and no person is authorized to make any use of this proxy statement/prospectus in connection with any resale.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merger will be accounted for as an acquisition of a business. Schlumberger will record net tangible and identifiable intangible assets acquired and liabilities assumed from Smith at their respective fair values at the date of the completion of the merger. Any excess of the purchase price, which will equal the market value at the date of the completion of the merger, of the Schlumberger common stock issued as consideration for the merger over the net fair value of such assets and liabilities will be recorded as goodwill.</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financial condition and results of operations of Schlumberger after completion of the merger will reflect Smith’s balances and results after completion of the transaction but will not be restated retroactively to reflect the historical financial condition or results of operations of Smith. The earnings of Schlumberger following the completion of the merger will reflect acquisition accounting adjustments, including the effect of changes in the carrying value for assets and liabilities on depreciation and amortization expense. Goodwill will not be amortized but will be tested for impairment at least annually, and all assets including goodwill will be tested for impairment when certain indicators are present. If, in the future, Schlumberger determines that tangible or intangible assets (including goodwill) are impaired, Schlumberger would record an impairment charge at that time.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discussion of the material U.S. federal income tax consequences to U.S. holders and non-U.S. holders (each as defined below) of Smith common stock (1) of the merger and (2) related to the ownership and disposition of Schlumberger common stock received in the merger. This discussion is based on the Internal Revenue Code of 1986, as amended, which is referred to as the Code, existing and proposed Treasury regulations promulgated thereunder, judicial decisions, published rulings, administrative pronouncements and all other applicable authorities, all as in effect on the date of this proxy statement/prospectus and all of which are subject to change, possibly with retroactive effect. Any such change could affect the accuracy and conclusions set forth in this document. This discussion does not address any aspects of state, local or non-U.S. laws or federal laws other than those pertaining to U.S. federal income taxation, is not a complete analysis or description of all of the possible tax consequences of the merger or of the ownership or disposition of shares of Schlumberger common stock and does not address all tax considerations that may be relevant to a holder in light of the holder’s particular circumstances. In addition, this discussion does not address the tax consequences of the ownership and disposition of Schlumberger common stock arising under the unearned income Medicare contribution tax pursuant to the Health Care and Education Reconciliation Act of 2010. In particular, this discussion addresses only holders that hold their shares of Smith common stock and will hold their shares of Schlumberger common stock as capital assets within the meaning of Section 1221 of the Code (generally, property held for investment) and does not address all aspects of U.S. federal income taxation that may be relevant to holders subject to special treatment under U.S. federal income tax law, including, for example, the following:</w:t>
      </w:r>
    </w:p>
    <w:p>
      <w:pPr>
        <w:spacing w:after="0" w:line="40" w:lineRule="exact"/>
        <w:rPr>
          <w:sz w:val="20"/>
          <w:szCs w:val="20"/>
          <w:color w:val="auto"/>
        </w:rPr>
      </w:pPr>
    </w:p>
    <w:p>
      <w:pPr>
        <w:ind w:left="660" w:right="80" w:hanging="20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holder of Smith shares who, at any time within the five-year period ending on the date of the merger has owned, actually and/or constructively, 5% or more of the stock of Smith;</w:t>
      </w:r>
    </w:p>
    <w:p>
      <w:pPr>
        <w:spacing w:after="0" w:line="50"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person who, immediately after the merger, owns, actually and/or constructively, at least 5% of either the total voting power or the total value of the stock of Schlumberger or who, at any time after the merger, owns, actually and/or constructively, 10% or more of the total combined voting power of all classes of stock entitled to vote of Schlumberger;</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person holding shares as part of a “straddle,” “hedge,” “constructive sale,” “integrated transaction,” or “conversion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person holding shares through a partnership or other pass-through entity;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U.S. expatriate;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person who is liable for the alternative minimum tax;</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broker-dealer or trader in securities or currencies;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U.S. holder whose “functional currency” is not the U.S. dollar;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trader in securities who has elected the mark-to-market method of accounting for its securities; and</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holder who received Smith common stock through the exercise of employee stock options, through a tax qualified retirement plan, or otherwise as compensation.</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purposes of this discussion, a “U.S. holder” is any beneficial owner of Smith common stock or, after the completion of the merger, Schlumberger common stock that, for U.S. federal income tax purposes, is:</w:t>
      </w:r>
    </w:p>
    <w:p>
      <w:pPr>
        <w:spacing w:after="0" w:line="51"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 individual citizen or resident alien of the United States;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organized under the laws of the United States or any state thereof or the District of Columbia;</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 “non-U.S. holder” of Smith common stock or, after the completion of the merger, Schlumberger common stock, is a holder, other than an entity or arrangement treated as a partnership for U.S. federal income tax purposes, that is not a U.S. holder. For purposes of this discussion, “holder” or “shareholder” means either a U.S. holder or a non-U.S. holder or both, as the context may require.</w:t>
      </w:r>
    </w:p>
    <w:p>
      <w:pPr>
        <w:spacing w:after="0" w:line="14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If a partnership (including any entity or arrangement treated as a partnership for U.S. federal income tax purposes) is a beneficial owner of Smith common stock or Schlumberger common stock, the tax treatment of a partner in that partnership generally will depend on the status of the partner and the activities of the partnership. Holders of Smith common stock or Schlumberger common stock that are partnerships or partners in these partnerships should consult their tax advisors regarding the U.S. federal income tax consequences to them of the merger and the ownership and disposition of Schlumberger common stock.</w:t>
      </w:r>
    </w:p>
    <w:p>
      <w:pPr>
        <w:spacing w:after="0" w:line="9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ALL HOLDERS OF SMITH COMMON STOCK ARE ENCOURAGED TO CONSULT A TAX ADVISOR REGARDING THE PARTICULAR FEDERAL, STATE, LOCAL AND NON-U.S. TAX CONSEQUENCES TO THEM OF THE MERGER AND THE OWNERSHIP AND DISPOSITION OF SCHLUMBERGER COMMON STOCK RECEIVED IN THE MERGER.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Conditions to Closing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It is a condition to the completion of the merger that Schlumberger receive a written opinion from its counsel, Baker Botts L.L.P., and that Smith receive a written opinion from its counsel, Wachtell, Lipton, Rosen &amp; Katz, in form and substance reasonably satisfactory to Schlumberger and Smith, respectively, dated as of the date of completion of the merger, to the effect that (1) the merger will be treated as a reorganization within the meaning of Section 368(a) of the Code and (2) each transfer of Smith stock to Schlumberger by a stockholder of Smith pursuant to the merger (other than a stockholder of Smith that is a “five percent transferee shareholder” of Schlumberger, as defined in Treasury regulations promulgated under Section 367(a) of the Code) will not be subject to Section 367(a)(1) of the Code.</w:t>
      </w:r>
    </w:p>
    <w:p>
      <w:pPr>
        <w:spacing w:after="0" w:line="12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opinions of counsel will be based on representations and assumptions set forth or referred to in the opinions. If any such representation or assumption is inaccurate, the tax consequences of the merger to holders of Smith common stock could differ materially from those described below. An opinion of counsel represents counsel’s best legal judgment and is not binding on the United States Internal Revenue Service, which is referred to as the IRS, or any court.</w:t>
      </w:r>
    </w:p>
    <w:p>
      <w:pPr>
        <w:spacing w:after="0" w:line="8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No ruling will be requested from the IRS on any aspect of the merger. Accordingly, there can be no assurance that the IRS will not disagree with or successfully challenge any of the conclusions described in the following discussion.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Merger</w:t>
      </w:r>
    </w:p>
    <w:p>
      <w:pPr>
        <w:spacing w:after="0" w:line="9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following is a discussion of the material U.S. federal income tax consequences of the merger to U.S. holders and non-U.S. holders of Smith common stock. Assuming that (1) the merger will be treated as a reorganization within the meaning of Section 368(a) of the Code, and (2) the transfer of Smith stock to</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Schlumberger by a stockholder of Smith pursuant to the merger will not be subject to Section 367(a)(1) of the Code, the material U.S. federal income tax consequences of the merger to such holder of Smith common stock are, in general, as follows.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general, a U.S. holder will not recognize gain or loss upon the exchange of shares of Smith common stock for shares of Schlumberger common stock in the merger, except with respect to cash received in lieu of a fractional share of Schlumberger common stock, as discussed below. The aggregate basis of the shares of Schlumberger common stock received in exchange for shares of Smith common stock in the merger (including any fractional share of Schlumberger common stock deemed received and exchanged for cash) will be equal to the basis of the shares of Smith common stock exchanged. The holding period of the shares of Schlumberger common stock received in exchange for shares of Smith common stock in the merger (including any fractional share of Schlumberger common stock deemed received and exchanged for cash) will include the holding period of the shares of Smith common stock exchanged. Shareholders who hold shares of Smith common stock with differing bases or holding periods should consult their tax advisors as to the determination of the bases and holding periods of the shares of Schlumberger common stock received in the merger.</w:t>
      </w:r>
    </w:p>
    <w:p>
      <w:pPr>
        <w:spacing w:after="0" w:line="11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 U.S. holder who receives cash in lieu of a fractional share of Schlumberger common stock generally will recognize capital gain or loss in an amount equal to the difference between the cash received and the tax basis allocated to such fractional share of Schlumberger common stock. Such capital gain or loss will be long-term capital gain or loss if, as of the date of the merger, the U.S. holder’s holding period for the fractional share of Schlumberger common stock (including the holding period for the Smith common stock surrendered therefor) exceeds one year.</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A U.S. holder who is a “five percent transferee shareholder” of Schlumberger, as defined in Treasury regulations promulgated under Section 367(a) of the Code (i.e., a U.S. holder that owns, actually and/or constructively, at least 5% of the total voting power or the total value of the stock of Schlumberger immediately after the merger), will qualify for non-recognition of gain, as described above, only if the U.S. holder files with the IRS a “gain recognition agreement,” as defined in such Treasury regulations. Other considerations not here described may apply to such a holder. Any such U.S. holder should consult his tax advisor concerning the decision to file a gain recognition agreement, the procedures to be followed in connection with that filing, and other applicable considerations.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Non-U.S. Holders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general, a non-U.S. holder will not recognize gain or loss upon the exchange of shares of Smith common stock for shares of Schlumberger common stock in the merger, except with respect to cash received in lieu of a fractional share of Schlumberger common stock. The amount of a non-U.S. holder’s gain or loss from the receipt of cash in lieu of a fractional share of Schlumberger common stock will be determined in the same manner as that of a U.S. holder. However, a non-U.S. holder generally will not be subject to U.S. federal income tax on any such gain unless (1) the gain is effectively connected with a U.S. trade or business of the non-U.S. holder (and, if an income tax treaty applies, is attributable to a U.S. permanent establishment), or (2) the holder is an individual who has been present in the United States for 183 days or more during the taxable year of the disposition and certain other conditions are satisfied.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Payments of cash made to a U.S. holder or non-U.S. holder of shares of Smith common stock in connection with the merger, under certain circumstances, may be subject to information reporting and backup withholding (currently, at a rate of 28%), unless such holder provides proof of an applicable exemption or furnishes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taxpayer identification number, and otherwise complies with all applicable requirements of the backup withholding rules. Any amounts withheld under the backup withholding rules are not additional tax and may be allowed as a refund or credit against the holder’s U.S. federal income tax liability, provided the required information is furnished to the IRS in a timely manner.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Ownership and Disposition of Shares of Schlumberger Common Stock Received in the Merger</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is a discussion of the material U.S. federal income tax consequences of the ownership and disposition by U.S. holders and non-U.S. holders of Schlumberger common stock received in the merger.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Subject to the discussion below relating to the potential application of the passive foreign investment company, or “PFIC,” rules, distributions, if any, made with respect to shares of Schlumberger common stock will constitute dividends for U.S. federal income tax purposes to the extent of Schlumberger’s current or accumulated earnings and profits as determined for U.S. federal income tax purposes. The gross amount of dividends that a U.S. holder receives generally will be subject to U.S. federal income taxation as dividend income and will not be eligible for the dividends-received deduction generally allowed to U.S. corporations. Subject to exceptions for short-term or hedged positions and certain other exceptions, dividends received before January 1, 2011 by U.S. holders who are individuals and certain other non-corporate U.S. holders generally will be subject to U.S. federal income taxation at a maximum rate of 15% if the dividends are “qualified dividends.” Dividends paid by Schlumberger on the Schlumberger common stock will be treated as qualified dividends as long as the Schlumberger common stock is listed on the New York Stock Exchange and Schlumberger was not, at any relevant time prior to the year in which the dividend is paid, and is not in the year in which the dividend is paid, a PFIC. As described below, Schlumberger believes that it has not been a PFIC in any prior year, will not be a PFIC for the taxable year in which the merger occurs, and will not become a PFIC in the future. U.S. holders of Schlumberger common stock should consult their own tax advisors regarding the availability to them of the reduced dividend tax rate in light of their particular circumstances.</w:t>
      </w:r>
    </w:p>
    <w:p>
      <w:pPr>
        <w:spacing w:after="0" w:line="127"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To the extent that a distribution exceeds Schlumberger’s current or accumulated earnings and profits as determined for U.S. federal income tax purposes, such distribution will be treated as a nontaxable return of capital to the extent of the U.S. holder’s tax basis in the shares (with a corresponding reduction in such tax basis), and thereafter will be treated as capital gain. Such capital gain will be long-term capital gain if the U.S. holder’s holding period for the Schlumberger common stock exceeds one year. Shareholders who hold shares of Smith common stock with differing bases or holding periods should consult their tax advisors as to the application of these rules to shares of Schlumberger common stock received in the merger.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Other Disposition of Schlumberger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 below relating to the potential application of the PFIC rules, upon a sale or other disposition of Schlumberger common stock,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holders generally will recognize capital gain or loss in an amount equal to the difference, if any, between the amount realized on the disposition and the U.S.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holder’s tax basis. Such capital gain or loss will be long-term capital gain or loss if the U.S. holder’s holding period for the Schlumberger shares exceeds one year.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Long-term capital gain recognized by U.S. holders who are individuals and certain other non-corporate U.S. holders is generally eligible for reduced rates of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taxation. There are limitations on the deductibility of capital losses.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Considerations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general, a foreign corporation, such as Schlumberger, will be classified as a PFIC for any taxable year in which either (1) 75% or more of its gross income is passive income (such as, for example, dividends, interest,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rents, royalties or gains from the disposition of investment assets) or (2) at least 50% of the average value of its assets consists of assets that produce, or that are held for the production of, passive income. For purposes of applying the tests in the preceding sentence, the foreign corporation is deemed to own its proportionate share of the assets of and to receive directly its proportionate share of the income of any other corporation in which the foreign corporation owns, directly or indirectly, at least 25% by value of the stock.</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Classification of a foreign corporation as a PFIC can have various adverse consequences to the shareholders of the corporation who are “United States persons,” as defined in the Code. These include taxation of gain on a sale or other disposition of the stock of the corporation and taxation of distributions (including distributions that would otherwise be treated as “qualified dividends”) at the maximum ordinary income rates and the imposition of an interest charge on such gain and distributions.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Schlumberger believes that it has not been a PFIC in any prior taxable year, will not be a PFIC in the taxable year in which the merger occurs, and will not become a PFIC in the future. Because the tests for determining PFIC status are applied annually, and it is difficult to accurately predict future income and assets relevant to this determination, there can be no assurance that Schlumberger will not become a PFIC. U.S. holders of Schlumberger shares should consult their own tax advisors about the PFIC rules, including the availability of certain shareholder elections.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general, a non-U.S. holder of Schlumberger common stock will not be subject to U.S. federal income or, subject to the discussion below under the heading “Information Reporting and Backup Withholding,” withholding tax on any dividends received on Schlumberger common stock or any gain recognized on a sale or other disposition of Schlumberger common stock (including, any distribution to the extent it exceeds the adjusted basis in the non-U.S. holder’s shares of Schlumberger common stock) unless:</w:t>
      </w:r>
    </w:p>
    <w:p>
      <w:pPr>
        <w:spacing w:after="0" w:line="62" w:lineRule="exact"/>
        <w:rPr>
          <w:sz w:val="20"/>
          <w:szCs w:val="20"/>
          <w:color w:val="auto"/>
        </w:rPr>
      </w:pPr>
    </w:p>
    <w:p>
      <w:pPr>
        <w:ind w:left="900" w:right="26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dividend or gain is effectively connected with the conduct by the holder of a trade or business within the United States (and, if an income tax treaty applies, is attributable to a U.S. permanent establishment); or</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case of gain only, the non-U.S. holder is present in the United States for 183 days or more in the taxable year of disposition and certain other conditions are satisfied.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Dividends paid with respect to shares of Schlumberger common stock and proceeds from a sale or other disposition of shares of Schlumberger common stock received in the United States or through certain U.S.-related financial intermediaries may be subject to information reporting and backup withholding (currently, at a rate of 28%) unless such holder provides proof of an applicable exemption or furnishes its taxpayer identification number, and otherwise complies with all applicable requirements of the backup withholding rules.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amounts withheld under the backup withholding rules are not additional tax and may be allowed as a refund or a credit against the holder’s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liability, provided the required information is furnished to the IRS in a timely manner.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Antitrust Approvals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merger is subject to review by the Antitrust Division of the U.S. Department of Justice, which is referred to as the Antitrust Division, under the HSR Act. Under the HSR Act, Schlumberger and Smith are required to make premerger notification filings and to await the expiration or early termination of the statutory waiting period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any extension of the waiting period) prior to completing the merger. On March 3, 2010, Schlumberger and Smith each filed a Premerger Notification and Report Form with the Antitrust Division and the Federal Trade Commission, which is referred to as the FTC. By agreement between the two agencies, the Antitrust Division is conducting the review. Prior to the expiration of the initial 30-day waiting period, on April 2, 2010, Schlumberger and Smith each received a request for additional information and documentary material, often referred to as a “second request,” from the Antitrust Division. Issuance of the second request extends the statutory waiting period until 30 days after such time as each of Schlumberger and Smith has certified substantial compliance with the second request, unless the Antitrust Division provides written notice that the transaction may close prior to that time. As of June 17, 2010, neither Schlumberger nor Smith had certified substantial compliance with the second request.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market presence to require filings. As of the date of this proxy statement/ prospectus, the parties have made certain antitrust filings in the European Commission pursuant to the EC Merger Regulation, and in other jurisdictions.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Please see “The Merger Agreement—Certain Additional Agreements— Filings” on page [—] for more information about the detriment limit. If the merger has not occurred on or before the termination date due to the failure to obtain regulatory clearances, or if an order, decree or ruling permanently prohibits the merger, the merger agreement may be terminated (subject in some circumstance to payment of a termination fee, as described in “The Merger Agreement—Termination, Amendment and Waiver” on page [—]).</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can be no assurance that the merger will not be challenged on antitrust or competition grounds or, if a challenge is made, what the outcome would be. The Antitrust Division, the FTC, any U.S. state and other applicable U.S. or non-U.S. regulatory bodies may challenge the merger on antitrust or competition grounds at any time, including after the expiration or termination of the waiting period under the HSR Act or other applicable process, as they may deem necessary or desirable or in the public interest. Accordingly, at any time before or after the completion of the merger, any such party could take action under the antitrust laws, including, without limitation, by seeking to enjoin the effective time of the merger or permitting completion subject to regulatory concessions or conditions. Private parties may also seek to take legal action under antitrust or competition laws under certain circumstances.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Regulatory Procedures</w:t>
      </w:r>
    </w:p>
    <w:p>
      <w:pPr>
        <w:spacing w:after="0" w:line="9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The merger may be subject to certain regulatory requirements of other municipal, state and federal, domestic or foreign, governmental agencies and authorities, including those relating to the offer and sale of securities. Schlumberger and Smith are currently working to evaluate and comply in all material respects with these requirements, as appropriate, and do not currently anticipate that they will hinder, delay or restrict completion of the merger.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Subsequent to the announcement of the merger, five putative class action lawsuits were commenced on behalf of stockholders of Smith against Smith and its directors, and in certain cases against Schlumberger and one of its affiliates, challenging the merger. Four of the lawsuits were filed in the District Court of Harris County, Texas, and have been consolidated into a single action in the 164th District Court of Harris County, Texas (the “Texas Action”), and one lawsuit is pending in the Delaware Court of Chancery (the “Delaware Action,” and collectively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the Texas Action, the “Actions”). The parties in the Texas Action and Delaware Action have agreed to an expedited discovery schedule and to the coordination of pleadings and discovery in advance of any preliminary injunction hearing, which will be heard only in the Texas Action. On April 19, 2010, the court in the Delaware Action approved the parties’ agreement concerning the coordination of the Texas and Delaware Actions and agreed to otherwise stay the Delaware proceedings through any preliminary injunction hearing in Texas. Plaintiffs in the Texas and Delaware Actions have served a consolidated amended petition for breach of fiduciary duty and a verified amended class action complaint, respectively. The amended pleadings are substantively similar and allege that Smith’s directors breached their fiduciary duties by, among other things, causing Smith to enter into the merger agreement at an allegedly inadequate and unfair price, agreeing to transaction terms that improperly inhibit alternative transactions and failing to provide material information to Smith’s stockholders in the proxy statement filed in connection with the merger. Specifically, the pleadings allege that the proxy statement omits material information relating to, among other things: the analyses performed by, and the information relied upon by, UBS; any strategic alternatives to the merger considered by UBS; UBS’s involvement in the negotiations between Smith and Schlumberger; the fee to be paid to UBS in connection with the merger; and any negotiations or plans concerning the employment of Smith management after consummation of the merger. The pleadings also allege that Smith and Schlumberger aided and abetted the directors’ breaches of fiduciary duties. The pleadings seek, among other things, an injunction barring defendants from consummating the proposed transaction, declaratory relief and attorneys’ fees.</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May 28, 2010, a purported Smith stockholder filed an individual lawsuit in the United States District Court for the Southern District of Texas, Houston Division, against Smith and its directors, alleging that Smith had disseminated a false and materially misleading proxy statement in connection with the merger in violation of Sections 14(a) and 20(a) of the Securities Exchange Act of 1934 and the rules promulgated thereunder. The lawsuit alleges that the proxy statement omits and/or misrepresents material information relating to, among other things: negotiations, if any, with other potential acquirers of Smith; any “market check” conducted by Smith in connection with the merger; any strategic alternatives considered by Smith’s directors in connection with the merger; whether the merger consideration includes any compensation for the synergies to be achieved in the merger; the financial information and forecasts provided by Smith’s directors to UBS in connection with its fairness opinion; the discounted cash flow, comparable transaction and selected companies analyses performed by UBS; and business ties between any of Smith’s directors and Schlumberger. The complaint seeks, among other things, injunctive relief, compensatory damages and reasonable costs and expenses incurred in the action, including counsel fees and expert fees.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and Schlumberger believe that the lawsuits in which they are named are without merit and intend to defend the lawsuits vigorously.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following summary describes the material provisions of the merger agreement. The provisions of the merger agreement are complicated and not easily summarized. This summary may not contain all of the information about the merger agreement that is important to you. The merger agreement is attached to this proxy statement/prospectus as Annex A and is incorporated by reference into this proxy statement/prospectus, and you are encouraged to read it carefully in its entirety for a more complete understanding of the merger agreement.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Representations, Warranties and Covenants in the Merger Agreement Are Not Intended to Function or Be Relied on as Public Disclosures</w:t>
      </w:r>
    </w:p>
    <w:p>
      <w:pPr>
        <w:spacing w:after="0" w:line="119"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reviewing the merger agreement, please remember that it is included to provide you with information regarding its terms and is not intended to provide any other factual information about Schlumberger or Smith. The merger agreement contains representations and warranties by each of the parties to the merger agreement. These representations and warranties have been made solely for the benefit of the other parties to the merger agreement and:</w:t>
      </w:r>
    </w:p>
    <w:p>
      <w:pPr>
        <w:spacing w:after="0" w:line="26" w:lineRule="exact"/>
        <w:rPr>
          <w:sz w:val="20"/>
          <w:szCs w:val="20"/>
          <w:color w:val="auto"/>
        </w:rPr>
      </w:pPr>
    </w:p>
    <w:p>
      <w:pPr>
        <w:ind w:left="660" w:hanging="206"/>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may be intended not as statements of fact, but rather as a way of allocating the risk to one of the parties if those statements prove to be inaccurate,</w:t>
      </w:r>
    </w:p>
    <w:p>
      <w:pPr>
        <w:spacing w:after="0" w:line="113" w:lineRule="exact"/>
        <w:rPr>
          <w:rFonts w:ascii="Arial" w:cs="Arial" w:eastAsia="Arial" w:hAnsi="Arial"/>
          <w:sz w:val="16"/>
          <w:szCs w:val="16"/>
          <w:color w:val="auto"/>
        </w:rPr>
      </w:pPr>
    </w:p>
    <w:p>
      <w:pPr>
        <w:ind w:left="660" w:right="700" w:hanging="206"/>
        <w:spacing w:after="0" w:line="26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have been qualified by certain disclosures that were made to the other party in connection with the negotiation of the merger agreement, which disclosures are not reflected in the merger agreement,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to you or other investors.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or incorporated by reference into this proxy statement/prospectus.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foregoing reasons, the representations, warranties and covenants or any descriptions of those provisions should not be read alone or relied upon as characterizations of the actual state of facts or condition of Schlumberger, Smith or any of their respective subsidiaries or affiliates. Instead, such provisions or descriptions should be read only in conjunction with the other information provided elsewhere in this document or incorporated by reference into this proxy statement/prospectus.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merger agreement contemplates a merger whereby Merger Sub will be merged with and into Smith, with Smith continuing as the surviving corporation. Upon completion of the merger, Smith will be a wholly owned subsidiary of Schlumberger and Smith common stock will no longer be publicly traded. Upon effectiveness of the merger, each Smith stockholder will have the right to receive the merger consideration as described below under “—Merger Consideration.”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Closing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merger will become effective on the date a certificate of merger is filed with the Delaware Secretary of State, or at such later time as Schlumberger and Smith designate in the certificate of merger. The merger agreement provides that, unless agreed otherwise, the closing of the merger will take place on the first business day or, if Schlumberger so elects, on the third business day, after all the conditions to the closing of the merger are fulfilled or waived in accordance with the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merger agreement provides that at the effective time of the merger, Smith stockholders will receive, for each share of Smith common stock that they own, 0.6966 shares of Schlumberger common stock and the cash payable in lieu of any fractional shares as described under “—Fractional Shares.” In this discussion, the number of shares of Schlumberger common stock to be received for each share of Smith common stock is referred to as the “exchange ratio” and the Schlumberger common stock issuable based on the exchange ratio and the cash payable in lieu of any fractional shares is referred to as the “merger consideration.”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 fractional shares of Schlumberger common stock will be issued to any holder of Smith common stock upon completion of the merger. For each fractional share that would otherwise be issued, Schlumberger will pay cash (without interest) in an amount equal to the fractional share multiplied by the closing price for a share of Schlumberger common stock on the NYSE Composite Transactions Tape on the business day immediately preceding the closing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 Awards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the effective time of the merger, all outstanding options to purchase shares of Smith common stock will be converted into options to purchase shares of Schlumberger common stock with the duration and terms of such converted options to remain the same as the original Smith option. The number of shares of Schlumberger common stock subject to each option will be determined by multiplying the number of shares of Smith common stock subject to the original Smith option by the exchange ratio, rounded down to the nearest whole share. The option exercise price per share of Schlumberger common stock will be equal to the option exercise price per share of Smith common stock under the original Smith option divided by the exchange ratio rounded up to the nearest whole cent. All converted Schlumberger options, other than those issued in respect of Smith options awarded after February 21, 2010, will be fully vested and exercisable.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effective time of the merger, each outstanding award of restricted stock units granted by Smith under any of its plans on or prior to February 21, 2010, will be converted into the right to receive the merger consideration based on the total number of shares of Smith common stock subject to the outstanding award. To the extent the outstanding award is for performance-based restricted stock units, the number of shares subject to the outstanding award will be calculated based on the deemed attainment of performance goals at 100% of the target performance level. Any award of restricted stock units made by Smith after February 21, 2010 will be converted into an award of Schlumberger restricted stock units in an amount equal to the product of the number of shares of Smith stock subject to the original Smith award and the exchange ratio, with any fractional units rounded to the nearest whole unit.</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Equity awards granted in the ordinary course of business after February 21, 2010 may provide for accelerated vesting on a severance-qualifying termination following the effective time of the merger, but no accelerated vesting will occur for such awards made to 10 executives party to change-in-control agreements unless the executive remains employed until May 31, 2011. Upon a severance-qualifying termination of such an executive following May 31, 2011, an award held by the executive may provide for accelerated vesting with respect to the installment next scheduled to vest following such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Stock Transfer Books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conversion of Smith common stock into the right to receive the merger consideration will occur automatically at the effective time of the merger. Schlumberger will deposit with a commercial bank or trust company, as the exchange agent for the merger, the number of shares of Schlumberger common stock to be issued pursuant to the merger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Promptly after the effective time of the merger, Schlumberger will cause the exchange agent to send to each holder of record of Smith common stock at the effective time of the merger a letter of transmittal and instructions for effecting the exchange of Smith common stock for the merger consideration the holder is entitled to receive under the merger agreement. Upon surrender of the certificates or book-entry shares for cancellation along with the executed letter of transmittal and other documents, a Smith stockholder will receive some or all of the following: (1) one or more shares of Schlumberger common stock; (2) cash in lieu of fractional shares of Schlumberger common stock; and (3) any unpaid dividends and distributions declared and paid in respect of Schlumberger common stock after completion of the merger.</w:t>
      </w:r>
    </w:p>
    <w:p>
      <w:pPr>
        <w:spacing w:after="0" w:line="14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Six months after the effective time of the merger, the exchange agent will return any shares of Schlumberger common stock remaining in the exchange fund and any cash that remains unclaimed. Holders of Smith common stock who have not exchanged their certificates representing such stock prior to that time may thereafter look only to Schlumberger to exchange their stock certificates or to pay amounts to which they are entitled pursuant to the merger agreement. None of Schlumberger, Smith, Merger Sub, the surviving corporation or the exchange agent will be liable to any holder of Smith common stock certificates for any merger consideration delivered to a public official pursuant to applicable abandoned property, escheat or similar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Taxes</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Schlumberger, the surviving corporation and the exchange agent will be entitled to deduct and withhold from consideration payable to any Smith stockholder the amounts that may be required to be withheld under any applicable tax law. Amounts withheld and paid over to a governmental entity will be treated for all purposes of the merger as having been paid to the stockholders from whom they were withheld.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merger agreement contains representations and warranties made by each of the parties regarding aspects of their respective businesses, financial condition and structure, as well as other facts pertinent to the merger. Smith, on the one hand, and Schlumberger and Merger Sub, on the other hand, have made representations and warranties in the merger agreement with respect to the following subject matters:</w:t>
      </w:r>
    </w:p>
    <w:p>
      <w:pPr>
        <w:spacing w:after="0" w:line="26" w:lineRule="exact"/>
        <w:rPr>
          <w:sz w:val="20"/>
          <w:szCs w:val="20"/>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existence, good standing and qualification to conduct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requisite power and authorization to enter into and carry out the obligations of the merger agreement and the enforceability of the merger agreement;</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absence of any conflict or violation of organizational documents, third party agreements or laws as a result of the merger or the merger agreement;</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filings and reports with the SEC and financial information;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absence of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absence of a material adverse effect or, with respect to Smith, other specified changes or events;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internal accounting controls and disclosure controls and procedures;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absence of decrees or injunctions;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ownership of the other party’s capital stock;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compliance with export controls;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compliance with Foreign Corrupt Practices Act and other anticorruption and antibribery laws;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tax treatment of the merger.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Smith has made additional representations and warranties to Schlumberger in the merger agreement with respect to the following subject matters:</w:t>
      </w:r>
    </w:p>
    <w:p>
      <w:pPr>
        <w:spacing w:after="0" w:line="113" w:lineRule="exact"/>
        <w:rPr>
          <w:sz w:val="20"/>
          <w:szCs w:val="20"/>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title to properties and absence of liens;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fees payable to brokers, finders or investment banks in connection with the merger;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required stockholder approval in connection with the merger;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inapplicability of Smith’s stockholder rights agreement;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inapplicability of anti-takeover laws or certain provisions in Smith’s certificate of incorporation.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Schlumberger and Merger Sub have made additional representations and warranties to Smith in the merger agreement with respect to the following subject matters:</w:t>
      </w:r>
    </w:p>
    <w:p>
      <w:pPr>
        <w:spacing w:after="0" w:line="51" w:lineRule="exact"/>
        <w:rPr>
          <w:sz w:val="20"/>
          <w:szCs w:val="20"/>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accuracy of information provided for inclusion in this proxy statement/prospectus;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Schlumberger stockholder approval required in connection with the merger;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status of Merger Sub.</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Certain representations and warranties of Schlumberger and Smith are qualified as to materiality or as to “material adverse effect,” which when used with respect to Schlumberger or Smith means, as the case may be, a material adverse effect on or material adverse change in the business, assets, liabilities, financial condition or results of operations of such party and its subsidiaries, taken as a whole, other than any effect or change relating to or resulting from:</w:t>
      </w:r>
    </w:p>
    <w:p>
      <w:pPr>
        <w:spacing w:after="0" w:line="26"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or conditions affecting the economy or financial markets in general;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or conditions in the industries in which the party operates;</w:t>
      </w:r>
    </w:p>
    <w:p>
      <w:pPr>
        <w:spacing w:after="0" w:line="90" w:lineRule="exact"/>
        <w:rPr>
          <w:rFonts w:ascii="Arial" w:cs="Arial" w:eastAsia="Arial" w:hAnsi="Arial"/>
          <w:sz w:val="18"/>
          <w:szCs w:val="18"/>
          <w:color w:val="auto"/>
        </w:rPr>
      </w:pPr>
    </w:p>
    <w:p>
      <w:pPr>
        <w:ind w:left="660" w:right="460" w:hanging="206"/>
        <w:spacing w:after="0" w:line="259"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announcement or the existence of, or compliance with, or taking any action required or permitted by the merger agreement or the transactions contemplated by the merger agreement or any stockholder litigation against Smith and/or its directors or officers relating to the transactions contemplated by the merger agreement;</w:t>
      </w:r>
    </w:p>
    <w:p>
      <w:pPr>
        <w:spacing w:after="0" w:line="59"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taking any action by such party at the written request of Schlumberger or Merger Sub, in the case of Smith, or of Smith, in the case of Schlumberger or Merger Sub;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weather-related or other force majeure event or outbreak or escalation of hostilities or acts of war or terrorism.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Effective Time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Schlumberger otherwise consents in writing (which consent may not be unreasonably withheld, conditioned or delayed), or as contemplated by the merger agreement or required by law, Smith has agreed that, prior to the effective time of the merger, it will:</w:t>
      </w:r>
    </w:p>
    <w:p>
      <w:pPr>
        <w:spacing w:after="0" w:line="51"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conduct its business in the ordinary course;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use reasonable best efforts to preserve its business organization intact;</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maintain existing relationships and goodwill with governmental entities, customers, suppliers, distributors, creditors, lessors, employees and business associates;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keep available the services of present employees and agents.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merger agreement places specific restrictions on the ability of Smith and its subsidiaries to, among other things:</w:t>
      </w:r>
    </w:p>
    <w:p>
      <w:pPr>
        <w:spacing w:after="0" w:line="90" w:lineRule="exact"/>
        <w:rPr>
          <w:sz w:val="20"/>
          <w:szCs w:val="20"/>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 or Smith’s stockholder rights agreement;</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merge or consolidate Smith or any of its subsidiaries with any other person, except transactions among wholly owned subsidiaries of Smith that are not obligors or guarantors of third-party indebtedness or in connection with a permitted acquisition;</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issue, sell or pledge any shares of capital stock, options, warrants, convertible securities or any other equity interest, except pursuant to stock options and current employee benefit plans;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to the extent required under a benefit plan existing on February 21, 2010 or as required by law:</w:t>
      </w:r>
    </w:p>
    <w:p>
      <w:pPr>
        <w:spacing w:after="0" w:line="90" w:lineRule="exact"/>
        <w:rPr>
          <w:rFonts w:ascii="Arial" w:cs="Arial" w:eastAsia="Arial" w:hAnsi="Arial"/>
          <w:sz w:val="18"/>
          <w:szCs w:val="18"/>
          <w:color w:val="auto"/>
        </w:rPr>
      </w:pPr>
    </w:p>
    <w:p>
      <w:pPr>
        <w:ind w:left="900" w:right="20" w:hanging="217"/>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increase the compensation or fringe benefits of any directors, executive officers or employees, except in the ordinary course of business to employees who are not party to change of control agreements (this limitation does not apply to ordinary course operation of the annual bonus and equity award program);</w:t>
      </w:r>
    </w:p>
    <w:p>
      <w:pPr>
        <w:spacing w:after="0" w:line="59" w:lineRule="exact"/>
        <w:rPr>
          <w:rFonts w:ascii="Arial" w:cs="Arial" w:eastAsia="Arial" w:hAnsi="Arial"/>
          <w:sz w:val="18"/>
          <w:szCs w:val="18"/>
          <w:color w:val="auto"/>
        </w:rPr>
      </w:pPr>
    </w:p>
    <w:p>
      <w:pPr>
        <w:ind w:left="900" w:right="180" w:hanging="217"/>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grant any severance or termination pay, other than nominal severance to terminated employees and except in ordinary course of business consistent with past practice;</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make new equity awards to any director, officer or employee, except in the ordinary course of business consistent with past practice;</w:t>
      </w:r>
    </w:p>
    <w:p>
      <w:pPr>
        <w:spacing w:after="0" w:line="113" w:lineRule="exact"/>
        <w:rPr>
          <w:rFonts w:ascii="Arial" w:cs="Arial" w:eastAsia="Arial" w:hAnsi="Arial"/>
          <w:sz w:val="16"/>
          <w:szCs w:val="16"/>
          <w:color w:val="auto"/>
        </w:rPr>
      </w:pPr>
    </w:p>
    <w:p>
      <w:pPr>
        <w:ind w:left="900" w:right="100" w:hanging="217"/>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enter into or amend any employment, consulting, change-in-control or severance agreement with any director, executive officer or employee, except as contemplated by the merger agreement or in the ordinary course of business (except with respect to employees party to a change-in-control agreement or their direct reports);</w:t>
      </w:r>
    </w:p>
    <w:p>
      <w:pPr>
        <w:spacing w:after="0" w:line="59" w:lineRule="exact"/>
        <w:rPr>
          <w:rFonts w:ascii="Arial" w:cs="Arial" w:eastAsia="Arial" w:hAnsi="Arial"/>
          <w:sz w:val="18"/>
          <w:szCs w:val="18"/>
          <w:color w:val="auto"/>
        </w:rPr>
      </w:pPr>
    </w:p>
    <w:p>
      <w:pPr>
        <w:ind w:left="900" w:hanging="217"/>
        <w:spacing w:after="0"/>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establish or materially amend any benefit plan, except as contemplated by the merger agreement;</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make any contribution to a benefit plan, except as required by law or in the ordinary course of business consistent with past practice;</w:t>
      </w:r>
    </w:p>
    <w:p>
      <w:pPr>
        <w:spacing w:after="0" w:line="113" w:lineRule="exact"/>
        <w:rPr>
          <w:rFonts w:ascii="Arial" w:cs="Arial" w:eastAsia="Arial" w:hAnsi="Arial"/>
          <w:sz w:val="16"/>
          <w:szCs w:val="16"/>
          <w:color w:val="auto"/>
        </w:rPr>
      </w:pPr>
    </w:p>
    <w:p>
      <w:pPr>
        <w:ind w:left="900" w:right="140" w:hanging="217"/>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make payments on performance-based awards in excess of the performance actually achieved, or amend or waive performance or vesting criteria or accelerate vesting, except as required under the applicable plan or contemplated by the merger agreement;</w:t>
      </w:r>
    </w:p>
    <w:p>
      <w:pPr>
        <w:spacing w:after="0" w:line="50" w:lineRule="exact"/>
        <w:rPr>
          <w:rFonts w:ascii="Arial" w:cs="Arial" w:eastAsia="Arial" w:hAnsi="Arial"/>
          <w:sz w:val="18"/>
          <w:szCs w:val="18"/>
          <w:color w:val="auto"/>
        </w:rPr>
      </w:pPr>
    </w:p>
    <w:p>
      <w:pPr>
        <w:ind w:left="900" w:right="40" w:hanging="217"/>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terminate any employee with a change-in-control agreement, other than for cause, or take any actions with respect to salary, compensation, benefits or other terms and conditions of employment that would result in the employee having “good reason” to terminate employment and collect severance payments and benefits pursuant to the employee’s change-in-control agreement; or</w:t>
      </w:r>
    </w:p>
    <w:p>
      <w:pPr>
        <w:spacing w:after="0" w:line="59" w:lineRule="exact"/>
        <w:rPr>
          <w:rFonts w:ascii="Arial" w:cs="Arial" w:eastAsia="Arial" w:hAnsi="Arial"/>
          <w:sz w:val="18"/>
          <w:szCs w:val="18"/>
          <w:color w:val="auto"/>
        </w:rPr>
      </w:pPr>
    </w:p>
    <w:p>
      <w:pPr>
        <w:ind w:left="900" w:hanging="217"/>
        <w:spacing w:after="0"/>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execute or amend a collective bargaining agreement expect in the ordinary course of business;</w:t>
      </w:r>
    </w:p>
    <w:p>
      <w:pPr>
        <w:spacing w:after="0" w:line="90" w:lineRule="exact"/>
        <w:rPr>
          <w:rFonts w:ascii="Arial" w:cs="Arial" w:eastAsia="Arial" w:hAnsi="Arial"/>
          <w:sz w:val="18"/>
          <w:szCs w:val="18"/>
          <w:color w:val="auto"/>
        </w:rPr>
      </w:pPr>
    </w:p>
    <w:p>
      <w:pPr>
        <w:jc w:val="both"/>
        <w:ind w:left="660" w:right="60" w:hanging="206"/>
        <w:spacing w:after="0" w:line="259"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declare or pay any dividend or other distributions, except for certain intercompany distributions, pro rata dividends from the M-I SWACO joint venture, regular quarterly dividends on shares of Smith common stock not exceeding $0.12 per share per quarter, required dividends or dividends paid by certain Smith subsidiaries;</w:t>
      </w:r>
    </w:p>
    <w:p>
      <w:pPr>
        <w:spacing w:after="0" w:line="59"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redeem or purchase any of Smith’s or its subsidiaries’ stock, except for transactions pursuant to benefit plans and cashless exercises thereunder, and intercompany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332"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sell, encumber or dispose of any assets or properties having a value in excess of $10 million for one asset, and $50 million in the aggregate in 2010 and $25 million in the aggregate in 2011, except for sales of surplus or obsolete equipment, inventory sales and intercompany transactions;</w:t>
      </w:r>
    </w:p>
    <w:p>
      <w:pPr>
        <w:spacing w:after="0" w:line="4"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acquire any business, entity or division (1) for consideration in excess of $30 million for one acquisition or $100 million in the aggregate in 2010 and $30 million in the aggregate in 2011, or (2) where an antitrust or competition filing is required;</w:t>
      </w:r>
    </w:p>
    <w:p>
      <w:pPr>
        <w:spacing w:after="0" w:line="50" w:lineRule="exact"/>
        <w:rPr>
          <w:rFonts w:ascii="Arial" w:cs="Arial" w:eastAsia="Arial" w:hAnsi="Arial"/>
          <w:sz w:val="18"/>
          <w:szCs w:val="18"/>
          <w:color w:val="auto"/>
        </w:rPr>
      </w:pPr>
    </w:p>
    <w:p>
      <w:pPr>
        <w:ind w:left="660" w:right="76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 joint venture, partnership or similar arrangement or make a loan or other investment in any other person in excess of $20 million individually, or $50 million in the aggregate in 2010 and $15 million in the aggregate in 2011;</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sell, transfer, license or modify any rights to any material intellectual property, or distribute, license or co-promote products or services;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accounting policies or procedures, except as required by changes in GAAP or applicable law;</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as required by applicable law, take specified actions with respect to tax matters if any such action would have an adverse effect on Smith and its subsidiaries that is material;</w:t>
      </w:r>
    </w:p>
    <w:p>
      <w:pPr>
        <w:spacing w:after="0" w:line="5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settle or waive any claim, litigation or controversy for amounts in excess of $5 million individually, or $25 million in the aggregate in 2010 and $12.5 million in the aggregate in 2011;</w:t>
      </w:r>
    </w:p>
    <w:p>
      <w:pPr>
        <w:spacing w:after="0" w:line="5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incur any indebtedness except (1) for borrowings under Smith’s existing credit facilities, (2) other debt not in excess of $50 million in the aggregate in 2010 and $25 million in the aggregate in 2011 and (3) intercompany debt in the ordinary course of business;</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repurchase or repay any debt, except in the ordinary course of business, for mortgage indebtedness in accordance with its terms and for intercompany debt in the ordinary course of business;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mortgage or encumber any material asset or property;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make any unbudgeted capital expenditures exceeding $25 million in the aggregate in 2010 and $12.5 million in the aggregate in 2011;</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materially amend or terminate material contracts, except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renew or extend any agreements restricting the ability to compete in any line of business or geographic area;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adjust, reclassify, combine, split or subdivide, or redeem, purchase or otherwise acquire, directly or indirectly, any of Smith’s capital stock or purchase any of Schlumberger’s capital stock;</w:t>
      </w:r>
    </w:p>
    <w:p>
      <w:pPr>
        <w:spacing w:after="0" w:line="50" w:lineRule="exact"/>
        <w:rPr>
          <w:rFonts w:ascii="Arial" w:cs="Arial" w:eastAsia="Arial" w:hAnsi="Arial"/>
          <w:sz w:val="18"/>
          <w:szCs w:val="18"/>
          <w:color w:val="auto"/>
        </w:rPr>
      </w:pPr>
    </w:p>
    <w:p>
      <w:pPr>
        <w:ind w:left="660" w:right="160" w:hanging="206"/>
        <w:spacing w:after="0" w:line="306"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release any person from, waive any right under, fail to enforce any provision of, or grant any consent or make any election under, any confidentiality, “standstill” or similar agreement or take any action to exempt any person other than Merger Sub and its affiliates from the restrictions on “business combinations” contained in the Delaware General Corporation Law or the effects set forth in Smith’s shareholder rights plan;</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certain conditions to the merger or prevent, materially delay or materially impede the merger;</w:t>
      </w:r>
    </w:p>
    <w:p>
      <w:pPr>
        <w:spacing w:after="0" w:line="50"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Smith otherwise consents in writing (which consent may not be unreasonably withheld, conditioned or delayed), or as contemplated by the merger agreement or required by law, prior to the effective time of the merger, the merger agreement places specific restrictions on the ability of Schlumberger, its subsidiaries and Merger Sub to, among other things:</w:t>
      </w:r>
    </w:p>
    <w:p>
      <w:pPr>
        <w:spacing w:after="0" w:line="59" w:lineRule="exact"/>
        <w:rPr>
          <w:sz w:val="20"/>
          <w:szCs w:val="20"/>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acquire any equity or assets where an antitrust filing would be required and would reasonably be expected to prevent or materially delay the acquisition of Smith;</w:t>
      </w:r>
    </w:p>
    <w:p>
      <w:pPr>
        <w:spacing w:after="0" w:line="50" w:lineRule="exact"/>
        <w:rPr>
          <w:rFonts w:ascii="Arial" w:cs="Arial" w:eastAsia="Arial" w:hAnsi="Arial"/>
          <w:sz w:val="18"/>
          <w:szCs w:val="18"/>
          <w:color w:val="auto"/>
        </w:rPr>
      </w:pPr>
    </w:p>
    <w:p>
      <w:pPr>
        <w:ind w:left="660" w:hanging="206"/>
        <w:spacing w:after="0" w:line="306"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adjust, reclassify, split, combine, subdivide or redeem any shares of Schlumberger capital stock or adopt or implement a plan of complete or partial liquidation, dissolution, restructuring, recapitalization or other reorganization, except as would not disproportionately adversely affect a holder of Smith common stock relative to a holder of Schlumberger common stock or delay or impede the merger;</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declare or pay any dividend or other distribution except for quarterly dividends with declaration, record and payment dates reasonably consistent with Schlumberger’s past practice; or</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any condition to the transaction, or prevent, materially delay or materially impede the merger;</w:t>
      </w:r>
    </w:p>
    <w:p>
      <w:pPr>
        <w:spacing w:after="0" w:line="50"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Agreements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Stockholders Meeting. </w:t>
      </w:r>
      <w:r>
        <w:rPr>
          <w:rFonts w:ascii="Arial" w:cs="Arial" w:eastAsia="Arial" w:hAnsi="Arial"/>
          <w:sz w:val="18"/>
          <w:szCs w:val="18"/>
          <w:color w:val="auto"/>
        </w:rPr>
        <w:t>Unless the merger agreement is earlier terminated, the Smith board of directors must submit the merger agreement for approval at</w:t>
      </w:r>
      <w:r>
        <w:rPr>
          <w:rFonts w:ascii="Arial" w:cs="Arial" w:eastAsia="Arial" w:hAnsi="Arial"/>
          <w:sz w:val="18"/>
          <w:szCs w:val="18"/>
          <w:i w:val="1"/>
          <w:iCs w:val="1"/>
          <w:color w:val="auto"/>
        </w:rPr>
        <w:t xml:space="preserve"> </w:t>
      </w:r>
      <w:r>
        <w:rPr>
          <w:rFonts w:ascii="Arial" w:cs="Arial" w:eastAsia="Arial" w:hAnsi="Arial"/>
          <w:sz w:val="18"/>
          <w:szCs w:val="18"/>
          <w:color w:val="auto"/>
        </w:rPr>
        <w:t>the Smith stockholders meeting, even if it changes its recommendation with regard to the merger agreement.</w:t>
      </w:r>
    </w:p>
    <w:p>
      <w:pPr>
        <w:spacing w:after="0" w:line="132"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i w:val="1"/>
          <w:iCs w:val="1"/>
          <w:color w:val="auto"/>
        </w:rPr>
        <w:t xml:space="preserve">No Solicitation; Recommendation. </w:t>
      </w:r>
      <w:r>
        <w:rPr>
          <w:rFonts w:ascii="Arial" w:cs="Arial" w:eastAsia="Arial" w:hAnsi="Arial"/>
          <w:sz w:val="16"/>
          <w:szCs w:val="16"/>
          <w:color w:val="auto"/>
        </w:rPr>
        <w:t>Smith and its subsidiaries will not, and Smith and its subsidiaries will direct their respective officers,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investment bankers, consultants, attorneys, accountants, advisors, agents and other representatives not to, directly or indirectly:</w:t>
      </w:r>
    </w:p>
    <w:p>
      <w:pPr>
        <w:spacing w:after="0" w:line="4" w:lineRule="exact"/>
        <w:rPr>
          <w:sz w:val="20"/>
          <w:szCs w:val="20"/>
          <w:color w:val="auto"/>
        </w:rPr>
      </w:pPr>
    </w:p>
    <w:p>
      <w:pPr>
        <w:ind w:left="660" w:right="22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solicit, initiate, knowingly encourage or knowingly facilitate any inquiry or the making, submission or announcement of any acquisition proposal (as defined below);</w:t>
      </w:r>
    </w:p>
    <w:p>
      <w:pPr>
        <w:spacing w:after="0" w:line="5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participate, engage in or continue discussions or negotiations with, or furnish any non-public information relating to Smith or any of its subsidiaries or afford access to the properties, books or records of Smith or any of its subsidiaries to, any person that has made an acquisition proposal or to any person considering an acquisition proposal;</w:t>
      </w:r>
    </w:p>
    <w:p>
      <w:pPr>
        <w:spacing w:after="0" w:line="59"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approve or recommend, or propose to approve or recommend, or enter into any letter of intent, agreement in principle, merger agreement or other agreement relating to an acquisition proposal;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propose publicly or agree to do anything described in the preceding three bullets.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Smith receives an acquisition proposal, or any request for nonpublic information relating to Smith or for access to its properties, books or records by any person that has made or, to the knowledge of Smith, would reasonably be expected to make, an acquisition proposal, Smith will promptly (and in no event later than 24 hours after receipt of any acquisition proposal or request) notify Schlumberger of the identity of the person making the request and of its material terms and keep Schlumberger informed of the status and material terms of the acquisition proposal or request. From the date of the merger agreement until the date of this proxy statement/prospectus, Smith has not received any acquisition proposal or request for nonpublic information by a person that would reasonably be expected to make an acquisition proposal.</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term “acquisition proposal” means any bona fide written offer or proposal for, or any bona fide written indication of interest in, any (1) direct or indirect acquisition or purchase of any business or assets of Smith or any of its subsidiaries that, individually or in the aggregate, constitutes 20% or more of the net revenues, net income or assets of Smith and its subsidiaries, taken as a whole, (2) direct or indirect acquisition or purchase of 20% or more of any class of equity securities of Smith, (3) tender offer or exchange offer that, if consummated, would result in any person beneficially owning 20% or more of any class of equity securities of Smith, (4) merger, consolidation, business combination, joint venture, partnership, recapitalization, liquidation, dissolution or similar transaction involving Smith or any of its subsidiaries whose business constitutes 20% or more of the net revenue, net income or assets of Smith and its subsidiaries, taken as a whole, or (5) the declaration or payment of an extraordinary dividend (whether in cash or in property) by Smith, other than the transactions contemplated by the merger agreement.</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obtaining stockholder approval of the merger, however, Smith or its representatives may (1) furnish information and access, but only in response to a written request, to any person making an acquisition proposal that was not solicited, initiated, knowingly encouraged or knowingly facilitated by Smith or any of its subsidiaries, affiliates or representatives on or after February 21, 2010 and (2) participate in discussions and negotiate with such person concerning an unsolicited acquisition proposal, in each case if:</w:t>
      </w:r>
    </w:p>
    <w:p>
      <w:pPr>
        <w:spacing w:after="0" w:line="62" w:lineRule="exact"/>
        <w:rPr>
          <w:sz w:val="20"/>
          <w:szCs w:val="20"/>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Smith has not materially breached the non-solicitation provisions of the merger agreement with respect to the acquisition proposal;</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Smith board of directors concludes in good faith (after receipt of advice of a financial advisor of nationally recognized reputation) that such proposal is reasonably likely to result in a superior proposal (as defined below); and</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Smith receives from such person an executed confidentiality agreement the material provisions of which are materially no less favorable to Smith and no less restrictive to such person as those contained in the confidentiality agreement between Smith and Schlumberger.</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the Smith board of directors may not effect a recommendation change (as defined below) unless the change occurs before stockholder approval of the merger and only if:</w:t>
      </w:r>
    </w:p>
    <w:p>
      <w:pPr>
        <w:spacing w:after="0" w:line="51" w:lineRule="exact"/>
        <w:rPr>
          <w:sz w:val="20"/>
          <w:szCs w:val="20"/>
          <w:color w:val="auto"/>
        </w:rPr>
      </w:pPr>
    </w:p>
    <w:p>
      <w:pPr>
        <w:ind w:left="660" w:right="26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Smith board of directors determines in good faith (after consultation with its outside legal counsel) that failure to make a recommendation change would be inconsistent with the directors’ fiduciary duties to Smith stockholders under applicable law;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before taking any such action, Smith gives Schlumberger three business days written notice.</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term “superior proposal” means any bona fide written acquisition proposal for or in respect of at least a majority of the outstanding shares of Smith common stock or all or substantially all of Smith’s and its subsidiaries’ assets (1) on terms that the Smith board of directors determines in its good faith judgment (after consultation with a financial advisor of nationally recognized reputation) are more favorable to Smith and its stockholders than the merger and (2) that constitutes a transaction that is reasonably likely to be consummated on the terms so proposed, taking into account all legal, financial, regulatory and other aspects of such proposal.</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“recommendation change” would occur if the Smith board of directors fails to make, withdraws, modifies or qualifies, or proposes publicly to withhold, withdraw, modify or qualify, in any manner adverse to Schlumberger or its affiliates, the merger or approval of the merger agreement, or approves, endorses, or recommends, or publicly proposes to approve, endorse or recommend, an acquisition proposal.</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Coordination of Dividends. </w:t>
      </w:r>
      <w:r>
        <w:rPr>
          <w:rFonts w:ascii="Arial" w:cs="Arial" w:eastAsia="Arial" w:hAnsi="Arial"/>
          <w:sz w:val="18"/>
          <w:szCs w:val="18"/>
          <w:color w:val="auto"/>
        </w:rPr>
        <w:t>Smith will coordinate with Schlumberger to designate the record dates for Smith’s quarterly dividends to coincide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dates for Schlumberger’s quarterly dividends.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Rights Agreement. </w:t>
      </w:r>
      <w:r>
        <w:rPr>
          <w:rFonts w:ascii="Arial" w:cs="Arial" w:eastAsia="Arial" w:hAnsi="Arial"/>
          <w:sz w:val="18"/>
          <w:szCs w:val="18"/>
          <w:color w:val="auto"/>
        </w:rPr>
        <w:t>Prior to the effective time of the merger, the Smith board of directors will take any action necessary to prevent the merger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agreement from causing the rights granted under Smith’s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stockholder rights agreement from becoming exercisable. Smith may extend the expiration of its stockholder rights agreement, or replace the plan prior to its expiration, and will do so upon Schlumberger’s request. On June 8, 2010, Smith amended its stockholder rights agreement at Schlumberger’s request to extend the expiration date of the rights to May 31, 2011.</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After the effective time of the merger, Schlumberger and the surviving corporation will (1) indemnify each director, officer or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Smith or its subsidiaries against all expenses and liability reasonably incurred as a result of such person’s service to Smith or its subsidiaries, to the fullest extent permitted by law, and (2) advance expenses incurred to the same extent.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the effective time of the merger, Smith may purchase a tail directors’ and officers’ liability insurance policy for at least six years after the effective time of the merger. If Smith does not purchase such a policy, then for a period of six years after the effective time of the merger, the surviving corporation will maintain directors’ and officers’ liability insurance policies with terms substantially no less advantageous to the indemnified parties than Smith’s existing policies. The surviving corporation will not be required to spend more than 300% of what Smith currently spends to maintain current insurance coverage.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Each of Schlumberger and Smith has agreed to:</w:t>
      </w:r>
    </w:p>
    <w:p>
      <w:pPr>
        <w:spacing w:after="0" w:line="90" w:lineRule="exact"/>
        <w:rPr>
          <w:sz w:val="20"/>
          <w:szCs w:val="20"/>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its respective required filings under the HSR Act, the EC Merger Regulation and any other competition laws;</w:t>
      </w:r>
    </w:p>
    <w:p>
      <w:pPr>
        <w:spacing w:after="0" w:line="90" w:lineRule="exact"/>
        <w:rPr>
          <w:rFonts w:ascii="Arial" w:cs="Arial" w:eastAsia="Arial" w:hAnsi="Arial"/>
          <w:sz w:val="18"/>
          <w:szCs w:val="18"/>
          <w:color w:val="auto"/>
        </w:rPr>
      </w:pPr>
    </w:p>
    <w:p>
      <w:pPr>
        <w:ind w:left="660" w:right="160" w:hanging="206"/>
        <w:spacing w:after="0" w:line="332"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use its reasonable best efforts to cooperate with the other party to determine which filings, consents, approvals, permits and authorizations are required to be made or obtained from any governmental entity prior to the effective time of the merger, and to timely make such filings;</w:t>
      </w:r>
    </w:p>
    <w:p>
      <w:pPr>
        <w:spacing w:after="0" w:line="4" w:lineRule="exact"/>
        <w:rPr>
          <w:rFonts w:ascii="Arial" w:cs="Arial" w:eastAsia="Arial" w:hAnsi="Arial"/>
          <w:sz w:val="16"/>
          <w:szCs w:val="16"/>
          <w:color w:val="auto"/>
        </w:rPr>
      </w:pPr>
    </w:p>
    <w:p>
      <w:pPr>
        <w:ind w:left="660" w:right="40" w:hanging="206"/>
        <w:spacing w:after="0" w:line="259"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notify the other party of any communication concerning the merger agreement or the merger from any governmental entity and to consult with and permit the other party to review in advance any proposed communication concerning the merger agreement or the merger to any governmental entity;</w:t>
      </w:r>
    </w:p>
    <w:p>
      <w:pPr>
        <w:spacing w:after="0" w:line="59"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 agree to participate in any meeting or substantive discussion with any governmental entity related to any filings or investigation concerning the merger agreement or the merger unless it consults with the other party in advance and, unless prohibited by the governmental entity, invites the other party to attend;</w:t>
      </w:r>
    </w:p>
    <w:p>
      <w:pPr>
        <w:spacing w:after="0" w:line="59" w:lineRule="exact"/>
        <w:rPr>
          <w:rFonts w:ascii="Arial" w:cs="Arial" w:eastAsia="Arial" w:hAnsi="Arial"/>
          <w:sz w:val="18"/>
          <w:szCs w:val="18"/>
          <w:color w:val="auto"/>
        </w:rPr>
      </w:pPr>
    </w:p>
    <w:p>
      <w:pPr>
        <w:ind w:left="660" w:right="96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furnish to the other party draft copies prior to submission of all correspondence, filings and communications that it intends to submit to any governmental entity;</w:t>
      </w:r>
    </w:p>
    <w:p>
      <w:pPr>
        <w:spacing w:after="0" w:line="5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furnish to the other party such necessary information and reasonable assistance as such other party may reasonably request in connection with its preparation of necessary filings, registrations or submissions of information to any governmental entity;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deliver to the other party’s outside counsel complete copies of all documents furnished to any governmental entity as part of any filing.</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parties have also agreed that Schlumberger will be entitled to direct the antitrust defense of the transaction contemplated by the merger agreement or litigation by or negotiations with any governmental entity.</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In calculating revenue of Schlumberger or Smith for purposes of the detriment limit, the lower of Schlumberger’s or Smith’s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revenues from the overlapping assets, business or product line will be used, regardless of which overlapping assets, business or product line Schlumberger actually divests or holds separate. If the merger has not occurred on or before the termination date due to the failure to obtain regulatory clearances, or if an order, decree or ruling permanently prohibits the merger, the merger agreement may be terminated (subject in some circumstances to payment of a termination fee). Please see “The Merger Agreement—Termination, Amendment and Waiver” for more information on the termination date and termination fee.</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Employee Matters. </w:t>
      </w:r>
      <w:r>
        <w:rPr>
          <w:rFonts w:ascii="Arial" w:cs="Arial" w:eastAsia="Arial" w:hAnsi="Arial"/>
          <w:sz w:val="18"/>
          <w:szCs w:val="18"/>
          <w:color w:val="auto"/>
        </w:rPr>
        <w:t>After the effective time of the merger, Schlumberger and its subsidiaries will honor all Smith benefit plans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in accordance with their terms as in effect immediately prior to the effective time of the merger. For a period of one year after the effective time of the merger, Schlumberger will provide to each current and former employee of Smith and its subsidiaries:</w:t>
      </w:r>
    </w:p>
    <w:p>
      <w:pPr>
        <w:spacing w:after="0" w:line="59" w:lineRule="exact"/>
        <w:rPr>
          <w:sz w:val="20"/>
          <w:szCs w:val="20"/>
          <w:color w:val="auto"/>
        </w:rPr>
      </w:pPr>
    </w:p>
    <w:p>
      <w:pPr>
        <w:ind w:left="660" w:hanging="206"/>
        <w:spacing w:after="0" w:line="259"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compensation and benefits that are no less favorable, in the aggregate, than the compensation and benefits provided to each such employee immediately prior to the effective time of the merger, excluding for purposes of comparison any equity-based compensation (so long as Schlumberger provides equity compensation substantially comparable to similarly situated employees of Schlumberger);</w:t>
      </w:r>
    </w:p>
    <w:p>
      <w:pPr>
        <w:spacing w:after="0" w:line="59"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severance benefits to terminated employees in accordance with the applicable severance plans and arrangements of Smith in effect immediately prior to the effective time of the merger with full service credit for years of service with Smith and its subsidiaries; and</w:t>
      </w:r>
    </w:p>
    <w:p>
      <w:pPr>
        <w:spacing w:after="0" w:line="50" w:lineRule="exact"/>
        <w:rPr>
          <w:rFonts w:ascii="Arial" w:cs="Arial" w:eastAsia="Arial" w:hAnsi="Arial"/>
          <w:sz w:val="18"/>
          <w:szCs w:val="18"/>
          <w:color w:val="auto"/>
        </w:rPr>
      </w:pPr>
    </w:p>
    <w:p>
      <w:pPr>
        <w:ind w:left="660" w:right="20" w:hanging="206"/>
        <w:spacing w:after="0" w:line="332"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for those Smith employees who are eligible for retiree welfare benefits immediately prior to the effective time of the merger, retiree welfare benefits that are no less favorable than those provided pursuant to the arrangements of Smith in effect immediately prior to the effective time of the merger.</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vesting, eligibility to participate and benefit accrual (other than for purposes of benefit accrual under any defined benefit pension plan, severance plan or eligibility under a retiree welfare plan sponsored by Schlumberger or its subsidiaries) under the employee benefit plans of Schlumberger, Smith employees will be credited with their years of service with Smith prior to the effective time of the merger to the same extent the Smith employee was entitled to such credited service prior to the effective time of the merger under the corresponding Smith plans. Following the first anniversary of the effective time of the merger, Smith employees will be treated as new hires as of the effective time of the merger in any retiree medical arrangement made available to them by Schlumberger. Over the four-year period commencing on the first anniversary of the effective time of the merger, the severance benefits of Smith employees will transition to the Schlumberger severance plan. Specifically, between the first and third anniversary of the effective time of the merger, Smith employees will be eligible for severance based on the sum of the amounts payable under the Smith severance plan (with respect to service prior to the effective time of the merger) and the Schlumberger severance plan (with respect to service on or after the effective the of the merger). From and after the third anniversary of the effective time of the merger, Smith employees will be transitioned over a two-year period to severance based on full past service credit under a Schlumberger severance plan, with full past service credit in place as of the fifth anniversary of the effective time of the merger.</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Smith employees will be eligible to participate in the surviving corporation’s medical, dental, pharmaceutical and/or vision plans without any waiting period or pre-existing condition exclusions, except to the extent such waiting period or exclusion applied in the applicable Smith plan. Smith employees will receive credit for amounts paid under the Smith medical plans in the year in which the merger occurs for satisfying deductibles, coinsurance and maximum out of pocket requirements under the surviving corporation’s plans.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period prior to the effective date of the merger, Smith may set and pay performance-based short-term incentive bonuses in the ordinary course of business consistent with past practice. If a short-term incentive bonus participant incurs a severance-qualifying termination prior to the end of the performance period, such participant shall receive a pro-rata bonus to be paid at the same time the bonus for the performance period is generally paid.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Schlumberger agreed to consider in good faith, and to consult with Smith in good faith in respect of, design alternatives with respect to equitable treatment under (x) the retiree medical programs of Schlumberger of Smith employees who have turned 40 prior to the effective time of the merger, and (y) the defined benefit pension plans of Schlumberger of Smith employees who were previously employed by Schlumberger participated in such plans.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and Smith acknowledge that a change in control will occur for purposes of Smith’s benefit plans at the time of the merger.</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the merger agreement, Smith may establish a retention program with a retention pool of up to $50 million for Smith employees who are not executive officers. The parties have since agreed to increase the maximum size of this pool to approximately $58.3 million. Retention bonuses will be allocated by Smith’s CEO in consultation with Schlumberger’s CEO. Half of each employee’s award generally will be payable at the effective time of the merger, and half will be payable on the first anniversary of such date. Forfeited retention awards may be reallocated to other employees. In addition, Smith may establish a retention program for Smith executive officers or employees with change of control agreements with a retention pool of up to $16 million. Any such retention bonuses will be allocated by Smith’s lead independent director in consultation with Schlumberger’s CEO. All amounts payable under the executive officer pool will be payable at the effective time of the merger.</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Reorganization. </w:t>
      </w:r>
      <w:r>
        <w:rPr>
          <w:rFonts w:ascii="Arial" w:cs="Arial" w:eastAsia="Arial" w:hAnsi="Arial"/>
          <w:sz w:val="18"/>
          <w:szCs w:val="18"/>
          <w:color w:val="auto"/>
        </w:rPr>
        <w:t>Schlumberger and Smith have agreed not to take any action that would (1) prevent the merger from qualifying as a reorganization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368(a) of the Internal Revenue Code or (2) cause the stockholders to recognize gain pursuant to Section 367(a) of the Internal Revenue Code.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Reasonable Best Efforts</w:t>
      </w:r>
      <w:r>
        <w:rPr>
          <w:rFonts w:ascii="Arial" w:cs="Arial" w:eastAsia="Arial" w:hAnsi="Arial"/>
          <w:sz w:val="18"/>
          <w:szCs w:val="18"/>
          <w:color w:val="auto"/>
        </w:rPr>
        <w:t>. Schlumberger and Smith have agreed to use their reasonable best efforts to take all actions and to assist and cooperate to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 the merger, including the obtaining of authorizations, clearances, consents and approvals from governmental entities or third parties, the defending of lawsuits challenging the merger, the delivery of officer’s certificates to tax counsel to support any tax opinion, and the execution and delivery of additional instruments necessary to consummate the merger.</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will use its reasonable best efforts to cause the shares of Schlumberger common stock to be issued in the merger and to</w:t>
      </w:r>
      <w:r>
        <w:rPr>
          <w:rFonts w:ascii="Arial" w:cs="Arial" w:eastAsia="Arial" w:hAnsi="Arial"/>
          <w:sz w:val="18"/>
          <w:szCs w:val="18"/>
          <w:i w:val="1"/>
          <w:iCs w:val="1"/>
          <w:color w:val="auto"/>
        </w:rPr>
        <w:t xml:space="preserve"> </w:t>
      </w:r>
      <w:r>
        <w:rPr>
          <w:rFonts w:ascii="Arial" w:cs="Arial" w:eastAsia="Arial" w:hAnsi="Arial"/>
          <w:sz w:val="18"/>
          <w:szCs w:val="18"/>
          <w:color w:val="auto"/>
        </w:rPr>
        <w:t>be reserved for issuance upon exercise of options on Smith common stock to be approved for listing on the NYSE, subject to official notice of issuance, prior to the effective time of the merger.</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Inspection</w:t>
      </w:r>
      <w:r>
        <w:rPr>
          <w:rFonts w:ascii="Arial" w:cs="Arial" w:eastAsia="Arial" w:hAnsi="Arial"/>
          <w:sz w:val="18"/>
          <w:szCs w:val="18"/>
          <w:color w:val="auto"/>
        </w:rPr>
        <w:t>. Until the effective time of the merger, each party to the transaction has agreed to allow designated officers, attorneys, accountants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of the other party access to the records and files, correspondence, audits and properties, as well as to all information relating to commitments, contracts, titles and financial position, or otherwise pertaining to its business and affairs.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Publicity</w:t>
      </w:r>
      <w:r>
        <w:rPr>
          <w:rFonts w:ascii="Arial" w:cs="Arial" w:eastAsia="Arial" w:hAnsi="Arial"/>
          <w:sz w:val="16"/>
          <w:szCs w:val="16"/>
          <w:color w:val="auto"/>
        </w:rPr>
        <w:t>. Schlumberger and Smith have agreed to consult with each other before issuing any press release or public statement with respect to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neither Schlumberger nor Smith will issue any press release or otherwise make any public statement or disclosure concerning the other party or the other party’s business, financial condition or results of operations without the consent of the other party.</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Stockholder Litigation</w:t>
      </w:r>
      <w:r>
        <w:rPr>
          <w:rFonts w:ascii="Arial" w:cs="Arial" w:eastAsia="Arial" w:hAnsi="Arial"/>
          <w:sz w:val="18"/>
          <w:szCs w:val="18"/>
          <w:color w:val="auto"/>
        </w:rPr>
        <w:t>. Smith has agreed to give Schlumberger the opportunity to participate in the defense or settlement of any stockholder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Smith and/or its directors or officers relating to the transactions contemplated by the merger agreement. Smith has further agreed that it will not settle or offer to settle any litigation against Smith or any of its directors or officers by any stockholder of Smith relating to the merger without the prior written consent of Schlumberger (not to be unreasonably withheld, conditioned or delayed).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respective obligations of each party to effect the merger will be subject to the fulfillment of the following conditions on or prior to the closing date:</w:t>
      </w:r>
    </w:p>
    <w:p>
      <w:pPr>
        <w:spacing w:after="0" w:line="113" w:lineRule="exact"/>
        <w:rPr>
          <w:sz w:val="20"/>
          <w:szCs w:val="20"/>
          <w:color w:val="auto"/>
        </w:rPr>
      </w:pPr>
    </w:p>
    <w:p>
      <w:pPr>
        <w:ind w:left="660" w:hanging="20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adoption of the merger agreement by Smith’s stockholders;</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 the termination or expiration of any waiting period under the HSR Act and (2) the issuance by the European Commission of a decision under the EC Merger Regulation declaring the merger compatible with the common market;</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expiration, lapse or termination of all applicable waiting or other time periods under antitrust laws in other specified jurisdictions, except as would not reasonably be expected to have a material adverse effect;</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proxy statement/prospectus is a part, and the absence of any stop order or proceeding seeking a stop order relating to such effectiveness;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Additional Conditions to the Obligations of Smith</w:t>
      </w:r>
      <w:r>
        <w:rPr>
          <w:rFonts w:ascii="Arial" w:cs="Arial" w:eastAsia="Arial" w:hAnsi="Arial"/>
          <w:sz w:val="18"/>
          <w:szCs w:val="18"/>
          <w:color w:val="auto"/>
        </w:rPr>
        <w:t>. Unless waived by Smith, the obligation of Smith to effect the merger is subject to the satisfaction on or</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closing date of the following additional conditions:</w:t>
      </w:r>
    </w:p>
    <w:p>
      <w:pPr>
        <w:spacing w:after="0" w:line="51" w:lineRule="exact"/>
        <w:rPr>
          <w:sz w:val="20"/>
          <w:szCs w:val="20"/>
          <w:color w:val="auto"/>
        </w:rPr>
      </w:pPr>
    </w:p>
    <w:p>
      <w:pPr>
        <w:ind w:left="660" w:right="6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performance in all material respects by each of Schlumberger and Merger Sub of its respective covenants and agreements required to be performed by it under the merger agreement at or prior to the closing date;</w:t>
      </w:r>
    </w:p>
    <w:p>
      <w:pPr>
        <w:spacing w:after="0" w:line="5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representations and warranties of Schlumberger and Merger Sub contained in the merger agreement that are qualified as to a material adverse effect being true and correct as of the date of the merger agreement and as of the closing date;</w:t>
      </w:r>
    </w:p>
    <w:p>
      <w:pPr>
        <w:spacing w:after="0" w:line="50" w:lineRule="exact"/>
        <w:rPr>
          <w:rFonts w:ascii="Arial" w:cs="Arial" w:eastAsia="Arial" w:hAnsi="Arial"/>
          <w:sz w:val="18"/>
          <w:szCs w:val="18"/>
          <w:color w:val="auto"/>
        </w:rPr>
      </w:pPr>
    </w:p>
    <w:p>
      <w:pPr>
        <w:jc w:val="both"/>
        <w:ind w:left="660" w:right="160" w:hanging="206"/>
        <w:spacing w:after="0" w:line="306"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other representations and warranties of Schlumberger and Merger Sub contained in the merger agreement that are not qualified as to a material adverse effect being true and correct as of the date of the merger agreement and as of the closing date, except where the failure of any such representations and warranties to be so true and correct would not, individually or in the aggregate, have a material adverse effect;</w:t>
      </w:r>
    </w:p>
    <w:p>
      <w:pPr>
        <w:spacing w:after="0" w:line="25"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receipt by Smith of a certificate signed on behalf of Schlumberger by an executive officer to the effect that the conditions specified in the preceding three bullets have been satisfied; and</w:t>
      </w:r>
    </w:p>
    <w:p>
      <w:pPr>
        <w:spacing w:after="0" w:line="50" w:lineRule="exact"/>
        <w:rPr>
          <w:rFonts w:ascii="Arial" w:cs="Arial" w:eastAsia="Arial" w:hAnsi="Arial"/>
          <w:sz w:val="18"/>
          <w:szCs w:val="18"/>
          <w:color w:val="auto"/>
        </w:rPr>
      </w:pPr>
    </w:p>
    <w:p>
      <w:pPr>
        <w:ind w:left="660" w:right="20" w:hanging="206"/>
        <w:spacing w:after="0" w:line="305" w:lineRule="auto"/>
        <w:tabs>
          <w:tab w:leader="none" w:pos="6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receipt of an opinion by Smith from its counsel, in form and substance reasonably satisfactory to Smith, dated as of the closing date, to the effect that for federal income tax purposes (1) the merger will be treated as a reorganization within the meaning of Section 368(a) of the Internal Revenue Code and</w:t>
      </w:r>
    </w:p>
    <w:p>
      <w:pPr>
        <w:ind w:left="660" w:right="20"/>
        <w:spacing w:after="0" w:line="261" w:lineRule="auto"/>
        <w:rPr>
          <w:rFonts w:ascii="Arial" w:cs="Arial" w:eastAsia="Arial" w:hAnsi="Arial"/>
          <w:sz w:val="15"/>
          <w:szCs w:val="15"/>
          <w:color w:val="auto"/>
        </w:rPr>
      </w:pPr>
      <w:r>
        <w:rPr>
          <w:rFonts w:ascii="Arial" w:cs="Arial" w:eastAsia="Arial" w:hAnsi="Arial"/>
          <w:sz w:val="18"/>
          <w:szCs w:val="18"/>
          <w:color w:val="auto"/>
        </w:rPr>
        <w:t>(2) each transfer of Smith stock to Schlumberger by a stockholder of Smith pursuant to the merger (other than certain 5% shareholders of Schlumberger) will not be subject to Section 367(a)(1) of the Internal Revenue Code.</w:t>
      </w:r>
    </w:p>
    <w:p>
      <w:pPr>
        <w:spacing w:after="0" w:line="13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Additional Conditions to the Obligations of Schlumberger. </w:t>
      </w:r>
      <w:r>
        <w:rPr>
          <w:rFonts w:ascii="Arial" w:cs="Arial" w:eastAsia="Arial" w:hAnsi="Arial"/>
          <w:sz w:val="18"/>
          <w:szCs w:val="18"/>
          <w:color w:val="auto"/>
        </w:rPr>
        <w:t>Unless waived by Schlumberger, the obligations of Schlumberger and Merger Sub to effect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are subject to the satisfaction on or prior to the closing date of the following additional conditions:</w:t>
      </w:r>
    </w:p>
    <w:p>
      <w:pPr>
        <w:spacing w:after="0" w:line="51" w:lineRule="exact"/>
        <w:rPr>
          <w:sz w:val="20"/>
          <w:szCs w:val="20"/>
          <w:color w:val="auto"/>
        </w:rPr>
      </w:pPr>
    </w:p>
    <w:p>
      <w:pPr>
        <w:ind w:left="660" w:right="320" w:hanging="206"/>
        <w:spacing w:after="0" w:line="2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performance in all material respects by Smith of all of its covenants and agreements required to be performed by it under the merger agreement at or prior to the closing date;</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certain representations and warranties of Smith contained in the merger agreement that are qualified as to a material adverse effect being true and correct as of the date of the merger agreement and as of the closing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60" w:hanging="206"/>
        <w:spacing w:after="0" w:line="306"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other representations and warranties of Smith contained in the merger agreement that are not qualified as to a material adverse effect being true and correct as of the date of the merger agreement and as of the closing date, except where the failure of any such representations and warranties to be so true and correct would not, individually or in the aggregate, have a material adverse effect;</w:t>
      </w:r>
    </w:p>
    <w:p>
      <w:pPr>
        <w:spacing w:after="0" w:line="25" w:lineRule="exact"/>
        <w:rPr>
          <w:rFonts w:ascii="Arial" w:cs="Arial" w:eastAsia="Arial" w:hAnsi="Arial"/>
          <w:sz w:val="16"/>
          <w:szCs w:val="16"/>
          <w:color w:val="auto"/>
        </w:rPr>
      </w:pPr>
    </w:p>
    <w:p>
      <w:pPr>
        <w:ind w:left="660" w:right="340" w:hanging="206"/>
        <w:spacing w:after="0" w:line="268"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receipt by Schlumberger of a certificate signed on behalf of Smith by an executive officer to the effect that the conditions specified in the preceding three bullets have been satisfied; and</w:t>
      </w:r>
    </w:p>
    <w:p>
      <w:pPr>
        <w:spacing w:after="0" w:line="50" w:lineRule="exact"/>
        <w:rPr>
          <w:rFonts w:ascii="Arial" w:cs="Arial" w:eastAsia="Arial" w:hAnsi="Arial"/>
          <w:sz w:val="18"/>
          <w:szCs w:val="18"/>
          <w:color w:val="auto"/>
        </w:rPr>
      </w:pPr>
    </w:p>
    <w:p>
      <w:pPr>
        <w:ind w:left="660" w:right="40" w:hanging="206"/>
        <w:spacing w:after="0" w:line="298"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receipt of an opinion by Schlumberger from its counsel, in form and substance reasonably satisfactory to Schlumberger, dated as of the closing date, to the effect that for federal income tax purposes (1) the merger will be treated as a reorganization within the meaning of Section 368(a) of the Internal Revenue Code and (2) each transfer of Smith stock to Schlumberger by a stockholder of Smith pursuant to the merger (other than certain 5% shareholders of Schlumberger) will not be subject to Section 367(a)(1) of the Internal Revenue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Amendment and Waiver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merger agreement may be terminated at any time prior to the effective time of the merger, notwithstanding the adoption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Smith’s stockholders:</w:t>
      </w:r>
    </w:p>
    <w:p>
      <w:pPr>
        <w:spacing w:after="0" w:line="51" w:lineRule="exact"/>
        <w:rPr>
          <w:sz w:val="20"/>
          <w:szCs w:val="20"/>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mutual written agreement of Schlumberger and Smith;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either Schlumberger or Smith if:</w:t>
      </w:r>
    </w:p>
    <w:p>
      <w:pPr>
        <w:spacing w:after="0" w:line="90" w:lineRule="exact"/>
        <w:rPr>
          <w:rFonts w:ascii="Arial" w:cs="Arial" w:eastAsia="Arial" w:hAnsi="Arial"/>
          <w:sz w:val="18"/>
          <w:szCs w:val="18"/>
          <w:color w:val="auto"/>
        </w:rPr>
      </w:pPr>
    </w:p>
    <w:p>
      <w:pPr>
        <w:ind w:left="900" w:right="80" w:hanging="217"/>
        <w:spacing w:after="0" w:line="256"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merger has not occurred on or before the “termination date,” February 21, 2011, which termination date may, if certain other conditions are satisfied and at the option of either Schlumberger or Smith, be extended to a date not later than May 31, 2011; however, neither party may terminate the merger agreement under this provision if that party’s breach of any provision of the merger agreement has been the cause of, or resulted in, the failure of the merger to occur on or before the termination date;</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Smith stockholders do not adopt the merger agreement at the annual meeting or any adjournment or postponement of the annual meeting; or</w:t>
      </w:r>
    </w:p>
    <w:p>
      <w:pPr>
        <w:spacing w:after="0" w:line="113" w:lineRule="exact"/>
        <w:rPr>
          <w:rFonts w:ascii="Arial" w:cs="Arial" w:eastAsia="Arial" w:hAnsi="Arial"/>
          <w:sz w:val="16"/>
          <w:szCs w:val="16"/>
          <w:color w:val="auto"/>
        </w:rPr>
      </w:pPr>
    </w:p>
    <w:p>
      <w:pPr>
        <w:ind w:left="900" w:right="280" w:hanging="217"/>
        <w:spacing w:after="0" w:line="268"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Smith if:</w:t>
      </w:r>
    </w:p>
    <w:p>
      <w:pPr>
        <w:spacing w:after="0" w:line="90" w:lineRule="exact"/>
        <w:rPr>
          <w:rFonts w:ascii="Arial" w:cs="Arial" w:eastAsia="Arial" w:hAnsi="Arial"/>
          <w:sz w:val="18"/>
          <w:szCs w:val="18"/>
          <w:color w:val="auto"/>
        </w:rPr>
      </w:pPr>
    </w:p>
    <w:p>
      <w:pPr>
        <w:jc w:val="both"/>
        <w:ind w:left="900" w:right="20" w:hanging="217"/>
        <w:spacing w:after="0" w:line="259"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Schlumberger is in breach of the merger agreement such that the conditions set forth in the merger agreement would not be satisfied and such breach is not curable prior to the termination date; provided, that Smith will have no right to terminate the merger agreement under this provision if Smith is then similarly in breach of the merger agreement; or</w:t>
      </w:r>
    </w:p>
    <w:p>
      <w:pPr>
        <w:spacing w:after="0" w:line="59" w:lineRule="exact"/>
        <w:rPr>
          <w:rFonts w:ascii="Arial" w:cs="Arial" w:eastAsia="Arial" w:hAnsi="Arial"/>
          <w:sz w:val="18"/>
          <w:szCs w:val="18"/>
          <w:color w:val="auto"/>
        </w:rPr>
      </w:pPr>
    </w:p>
    <w:p>
      <w:pPr>
        <w:ind w:left="900" w:hanging="217"/>
        <w:spacing w:after="0" w:line="256"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Smith has received an acquisition proposal that Smith’s board of directors determines in good faith to be a superior proposal and reasonably likely to be consummated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or</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90" w:lineRule="exact"/>
        <w:rPr>
          <w:rFonts w:ascii="Arial" w:cs="Arial" w:eastAsia="Arial" w:hAnsi="Arial"/>
          <w:sz w:val="18"/>
          <w:szCs w:val="18"/>
          <w:color w:val="auto"/>
        </w:rPr>
      </w:pPr>
    </w:p>
    <w:p>
      <w:pPr>
        <w:ind w:left="900" w:right="160" w:hanging="217"/>
        <w:spacing w:after="0" w:line="259"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Smith is in breach of the merger agreement such that the conditions set forth in the merger agreement would not be satisfied and such breach is not curable prior to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that Schlumberger will have no right to terminate the merger agreement under this provision if Schlumberger is then similarly in breach of the merger agreement; or</w:t>
      </w:r>
    </w:p>
    <w:p>
      <w:pPr>
        <w:spacing w:after="0" w:line="59" w:lineRule="exact"/>
        <w:rPr>
          <w:rFonts w:ascii="Arial" w:cs="Arial" w:eastAsia="Arial" w:hAnsi="Arial"/>
          <w:sz w:val="18"/>
          <w:szCs w:val="18"/>
          <w:color w:val="auto"/>
        </w:rPr>
      </w:pPr>
    </w:p>
    <w:p>
      <w:pPr>
        <w:ind w:left="900" w:hanging="217"/>
        <w:spacing w:after="0" w:line="268"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Smith board of directors fails to recommend the merger to Smith stockholders or withdraws, modifies or qualifies (or publicly proposes to do any of the foregoing) its recommendation.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merger agreement provides for the payment of termination fees by one party to the other if the agreement is terminated in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will be obligated to pay Schlumberger a $340 million termination fee (net of any expense reimbursement as described below) if:</w:t>
      </w:r>
    </w:p>
    <w:p>
      <w:pPr>
        <w:spacing w:after="0" w:line="90" w:lineRule="exact"/>
        <w:rPr>
          <w:sz w:val="20"/>
          <w:szCs w:val="20"/>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Smith’s stockholder approval is not obtained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13" w:lineRule="exact"/>
        <w:rPr>
          <w:rFonts w:ascii="Arial" w:cs="Arial" w:eastAsia="Arial" w:hAnsi="Arial"/>
          <w:sz w:val="16"/>
          <w:szCs w:val="16"/>
          <w:color w:val="auto"/>
        </w:rPr>
      </w:pPr>
    </w:p>
    <w:p>
      <w:pPr>
        <w:ind w:left="900" w:hanging="217"/>
        <w:spacing w:after="0"/>
        <w:tabs>
          <w:tab w:leader="none" w:pos="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within one year after the date of termination, Smith enters into a definitive agreement with respect to, or consummates, an acquisition proposal;</w:t>
      </w:r>
    </w:p>
    <w:p>
      <w:pPr>
        <w:spacing w:after="0" w:line="113" w:lineRule="exact"/>
        <w:rPr>
          <w:rFonts w:ascii="Arial" w:cs="Arial" w:eastAsia="Arial" w:hAnsi="Arial"/>
          <w:sz w:val="16"/>
          <w:szCs w:val="16"/>
          <w:color w:val="auto"/>
        </w:rPr>
      </w:pPr>
    </w:p>
    <w:p>
      <w:pPr>
        <w:ind w:left="660" w:right="520" w:hanging="206"/>
        <w:spacing w:after="0" w:line="268"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Smith terminates the merger agreement prior to obtaining the approval of Smith’s stockholders in order to enter into an agreement providing for a superior proposal; or</w:t>
      </w:r>
    </w:p>
    <w:p>
      <w:pPr>
        <w:spacing w:after="0" w:line="5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Smith board of directors fails to recommend its approval of the merger or withdraws, modifies or qualifies (or publicly proposes to do any of the foregoing) its recommendation.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Schlumberger will be obligated to pay Smith a $615 million termination fee if the merger agreement is terminated by Smith or Schlumberger as a result of an order, decree, ruling or other action prohibiting the merger under certain antitrust or competition laws or because the merger has not been consummated on or before the termination date, and all other conditions to the merger (except for those that, by their nature, cannot be satisfied until closing) have been satisfied or waived as of the date of such termination.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merger agreement provides that all expenses incurred by the parties will be borne by the party that has incurred such expenses; however, Smith will be required to reimburse Schlumberger for its expenses of up to $10 million if:</w:t>
      </w:r>
    </w:p>
    <w:p>
      <w:pPr>
        <w:spacing w:after="0" w:line="51" w:lineRule="exact"/>
        <w:rPr>
          <w:sz w:val="20"/>
          <w:szCs w:val="20"/>
          <w:color w:val="auto"/>
        </w:rPr>
      </w:pPr>
    </w:p>
    <w:p>
      <w:pPr>
        <w:ind w:left="660" w:right="20" w:hanging="206"/>
        <w:spacing w:after="0" w:line="268"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agreement is terminated because Smith’s stockholders do not adopt the merger agreement at the annual meeting or any adjournment or postponement of the annual meeting, and no termination fee is yet payable by Smith,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merger agreement is terminated by Schlumberger because Smith has willfully and materially breached the agreement.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 merger agreement is terminated by Smith because Schlumberger has willfully and materially breached the merger agreement, then Schlumberger will reimburse Smith for its expenses of up to $10 million.</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in writing at any time by action of the parties’ respective boards of directors. However, if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has been approved by Smith’s stockholders, then no amendment can be made that by law requires the further approval of stockholders without receipt of such further approval.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At any time prior to the effective time of the merger, each of Schlumberger and Smith may:</w:t>
      </w:r>
    </w:p>
    <w:p>
      <w:pPr>
        <w:spacing w:after="0" w:line="90" w:lineRule="exact"/>
        <w:rPr>
          <w:sz w:val="20"/>
          <w:szCs w:val="20"/>
          <w:color w:val="auto"/>
        </w:rPr>
      </w:pPr>
    </w:p>
    <w:p>
      <w:pPr>
        <w:ind w:left="660" w:hanging="20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extend the time for the performance of any obligations of the other party;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waive compliance with any agreement or condition for the benefit of that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unaudited pro forma condensed combined statements of income for the three months ended March 31, 2010 and for the year ended December 31, 2009 combines the historical consolidated statements of income of Schlumberger and Smith, giving effect to the merger as if it had occurred on January 1, 2009. The unaudited pro forma condensed combined balance sheet as of March 31, 2010 combines the historical consolidated balance sheets of Schlumberger and Smith, giving effect to the merger as if it had occurred on March 31, 2010. The historical consolidated financial information has been adjusted in the unaudited pro forma condensed combined financial statements to give effect to pro forma events that are (1) directly attributable to the merger, (2) factually supportable, and (3) with respect to the statement of income, expected to have a continuing impact on the combined results. The unaudited pro forma condensed combined financial information should be read in conjunction with the accompanying notes to the unaudited pro forma condensed combined financial statements. In addition, the unaudited pro forma condensed combined financial information was based on and should be read in conjunction with the:</w:t>
      </w:r>
    </w:p>
    <w:p>
      <w:pPr>
        <w:spacing w:after="0" w:line="37" w:lineRule="exact"/>
        <w:rPr>
          <w:sz w:val="20"/>
          <w:szCs w:val="20"/>
          <w:color w:val="auto"/>
        </w:rPr>
      </w:pPr>
    </w:p>
    <w:p>
      <w:pPr>
        <w:ind w:left="900" w:right="820" w:hanging="325"/>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year ended December 31, 2009 and the related notes included in Schlumberger’s Annual Report on Form 10-K for the year ended December 31, 2009, which is incorporated by reference into this proxy statement/prospectus;</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Separate historical financial statements of Smith as of and for the year ended December 31, 2009 and the related notes included in Smith’s Annual Report on Form 10-K for the year ended December 31, 2009, which is incorporated by reference into this proxy statement/prospectus;</w:t>
      </w:r>
    </w:p>
    <w:p>
      <w:pPr>
        <w:spacing w:after="0" w:line="4" w:lineRule="exact"/>
        <w:rPr>
          <w:rFonts w:ascii="Arial" w:cs="Arial" w:eastAsia="Arial" w:hAnsi="Arial"/>
          <w:sz w:val="16"/>
          <w:szCs w:val="16"/>
          <w:color w:val="auto"/>
        </w:rPr>
      </w:pPr>
    </w:p>
    <w:p>
      <w:pPr>
        <w:ind w:left="900" w:right="480" w:hanging="325"/>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three months ended March 31, 2010 and the related notes included in Schlumberger’s Quarterly Report on Form 10-Q for the period ended March 31, 2010, which is incorporated by reference in this proxy statement/prospectus; and</w:t>
      </w:r>
    </w:p>
    <w:p>
      <w:pPr>
        <w:spacing w:after="0" w:line="59" w:lineRule="exact"/>
        <w:rPr>
          <w:rFonts w:ascii="Arial" w:cs="Arial" w:eastAsia="Arial" w:hAnsi="Arial"/>
          <w:sz w:val="18"/>
          <w:szCs w:val="18"/>
          <w:color w:val="auto"/>
        </w:rPr>
      </w:pPr>
    </w:p>
    <w:p>
      <w:pPr>
        <w:ind w:left="900" w:right="460" w:hanging="325"/>
        <w:spacing w:after="0" w:line="370" w:lineRule="auto"/>
        <w:tabs>
          <w:tab w:leader="none" w:pos="9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Separate historical financial statements of Smith as of and for the three months ended March 31, 2010 and the related notes included in Smith’s Quarterly Report on Form 10-Q for the period ended March 31, 2010, which is incorporated by reference in this proxy statement/prospectus.</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w:t>
      </w:r>
    </w:p>
    <w:p>
      <w:pPr>
        <w:spacing w:after="0" w:line="14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unaudited pro forma condensed combined financial information has been prepared using the acquisition method of accounting under U.S. generally accepted accounting principles, and the regulations of the SEC. All material transactions between Schlumberger and Smith during the periods presented in the unaudited pro forma condensed combined financial statement have been eliminated. Schlumberger has been treated as the acquirer in the merger for accounting purposes.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this unaudited pro forma condensed combined financial information. Differences between these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reflect any cost savings, operating synergies or revenue enhancements that the combined company may achieve as a result of the merger, the costs to integrate the operations of Schlumberger and Smith, or the costs necessary to achieve these cost savings, operating synergies and revenue enhancements.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As of March 31,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r>
      <w:tr>
        <w:trPr>
          <w:trHeight w:val="161"/>
        </w:trPr>
        <w:tc>
          <w:tcPr>
            <w:tcW w:w="5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4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Smith</w:t>
            </w:r>
          </w:p>
        </w:tc>
        <w:tc>
          <w:tcPr>
            <w:tcW w:w="22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r>
      <w:tr>
        <w:trPr>
          <w:trHeight w:val="210"/>
        </w:trPr>
        <w:tc>
          <w:tcPr>
            <w:tcW w:w="5340" w:type="dxa"/>
            <w:vAlign w:val="bottom"/>
            <w:shd w:val="clear" w:color="auto" w:fill="CCEEFF"/>
          </w:tcPr>
          <w:p>
            <w:pPr>
              <w:ind w:left="3020"/>
              <w:spacing w:after="0"/>
              <w:rPr>
                <w:sz w:val="20"/>
                <w:szCs w:val="20"/>
                <w:color w:val="auto"/>
              </w:rPr>
            </w:pPr>
            <w:r>
              <w:rPr>
                <w:rFonts w:ascii="Arial" w:cs="Arial" w:eastAsia="Arial" w:hAnsi="Arial"/>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18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548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5,972</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1,918</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   (50)</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(A)</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7,840</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1,824</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290</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Deferred taxes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8"/>
                <w:szCs w:val="18"/>
                <w:color w:val="auto"/>
              </w:rPr>
            </w:pPr>
          </w:p>
        </w:tc>
      </w:tr>
      <w:tr>
        <w:trPr>
          <w:trHeight w:val="221"/>
        </w:trPr>
        <w:tc>
          <w:tcPr>
            <w:tcW w:w="5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13,065</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4,506</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17,811</w:t>
            </w:r>
          </w:p>
        </w:tc>
      </w:tr>
      <w:tr>
        <w:trPr>
          <w:trHeight w:val="110"/>
        </w:trPr>
        <w:tc>
          <w:tcPr>
            <w:tcW w:w="53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 Investments, held to maturity</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Investments in Affiliated Companies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87</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(1,446)</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(C)</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Assets, net</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1,922</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11,617</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Multiclient Seismic Data</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3,075</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(3,075)</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11,108</w:t>
            </w:r>
          </w:p>
        </w:tc>
      </w:tr>
      <w:tr>
        <w:trPr>
          <w:trHeight w:val="216"/>
        </w:trPr>
        <w:tc>
          <w:tcPr>
            <w:tcW w:w="5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5,711</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(F)</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593</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(593)</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(G)</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w:t>
            </w:r>
          </w:p>
        </w:tc>
      </w:tr>
      <w:tr>
        <w:trPr>
          <w:trHeight w:val="222"/>
        </w:trPr>
        <w:tc>
          <w:tcPr>
            <w:tcW w:w="5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5,625</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(H)</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2"/>
        </w:trPr>
        <w:tc>
          <w:tcPr>
            <w:tcW w:w="5840" w:type="dxa"/>
            <w:vAlign w:val="bottom"/>
          </w:tcPr>
          <w:p>
            <w:pPr>
              <w:ind w:left="440"/>
              <w:spacing w:after="0" w:line="202" w:lineRule="exact"/>
              <w:rPr>
                <w:sz w:val="20"/>
                <w:szCs w:val="20"/>
                <w:color w:val="auto"/>
              </w:rPr>
            </w:pPr>
            <w:r>
              <w:rPr>
                <w:rFonts w:ascii="Arial" w:cs="Arial" w:eastAsia="Arial" w:hAnsi="Arial"/>
                <w:sz w:val="18"/>
                <w:szCs w:val="18"/>
                <w:color w:val="auto"/>
              </w:rPr>
              <w:t>Deferred Taxes</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32,883</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10,403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6,612</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EQUITY</w:t>
            </w: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4,705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989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5840" w:type="dxa"/>
            <w:vAlign w:val="bottom"/>
            <w:vMerge w:val="restart"/>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Dividend payable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Convertible debentures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440"/>
              <w:spacing w:after="0"/>
              <w:rPr>
                <w:sz w:val="20"/>
                <w:szCs w:val="20"/>
                <w:color w:val="auto"/>
              </w:rPr>
            </w:pPr>
            <w:r>
              <w:rPr>
                <w:rFonts w:ascii="Arial" w:cs="Arial" w:eastAsia="Arial" w:hAnsi="Arial"/>
                <w:sz w:val="18"/>
                <w:szCs w:val="18"/>
                <w:color w:val="auto"/>
              </w:rPr>
              <w:t>Short-term borrowings and current portion of long-term debt</w:t>
            </w:r>
          </w:p>
        </w:tc>
        <w:tc>
          <w:tcPr>
            <w:tcW w:w="1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584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Postretirement Benefits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2,010</w:t>
            </w:r>
          </w:p>
        </w:tc>
        <w:tc>
          <w:tcPr>
            <w:tcW w:w="0" w:type="dxa"/>
            <w:vAlign w:val="bottom"/>
          </w:tcPr>
          <w:p>
            <w:pPr>
              <w:spacing w:after="0"/>
              <w:rPr>
                <w:sz w:val="1"/>
                <w:szCs w:val="1"/>
                <w:color w:val="auto"/>
              </w:rPr>
            </w:pPr>
          </w:p>
        </w:tc>
      </w:tr>
      <w:tr>
        <w:trPr>
          <w:trHeight w:val="222"/>
        </w:trPr>
        <w:tc>
          <w:tcPr>
            <w:tcW w:w="5840" w:type="dxa"/>
            <w:vAlign w:val="bottom"/>
            <w:vMerge w:val="restart"/>
          </w:tcPr>
          <w:p>
            <w:pPr>
              <w:ind w:left="44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24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7"/>
        </w:trPr>
        <w:tc>
          <w:tcPr>
            <w:tcW w:w="58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3,570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2,111</w:t>
            </w:r>
          </w:p>
        </w:tc>
        <w:tc>
          <w:tcPr>
            <w:tcW w:w="0" w:type="dxa"/>
            <w:vAlign w:val="bottom"/>
          </w:tcPr>
          <w:p>
            <w:pPr>
              <w:spacing w:after="0"/>
              <w:rPr>
                <w:sz w:val="1"/>
                <w:szCs w:val="1"/>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Equity</w:t>
            </w:r>
          </w:p>
        </w:tc>
        <w:tc>
          <w:tcPr>
            <w:tcW w:w="1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(2,987)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9,902</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Treasury stock</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(5,221)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2,907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(2,907)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1,355</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income/(loss)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-3582670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-3274060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-2433320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-2090420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-1541780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-1233170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8"/>
          <w:szCs w:val="8"/>
          <w:color w:val="auto"/>
        </w:rPr>
        <w:t>(J)</w:t>
      </w: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color w:val="auto"/>
        </w:rPr>
        <w:t>(K)</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(L)</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(O)</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(I)</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(M)</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(M)</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8"/>
          <w:szCs w:val="18"/>
          <w:color w:val="auto"/>
        </w:rPr>
        <w:t>301</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032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$ 49,898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42545</wp:posOffset>
            </wp:positionV>
            <wp:extent cx="4032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8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5,724</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955</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280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032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8,379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5,691</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1,623</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2,265</w:t>
      </w:r>
    </w:p>
    <w:p>
      <w:pPr>
        <w:spacing w:after="0" w:line="200" w:lineRule="exact"/>
        <w:rPr>
          <w:sz w:val="20"/>
          <w:szCs w:val="20"/>
          <w:color w:val="auto"/>
        </w:rPr>
      </w:pP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4032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19,025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4032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14,743</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(5,221)</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23,715</w:t>
      </w:r>
    </w:p>
    <w:p>
      <w:pPr>
        <w:spacing w:after="0" w:line="200" w:lineRule="exact"/>
        <w:rPr>
          <w:sz w:val="20"/>
          <w:szCs w:val="20"/>
          <w:color w:val="auto"/>
        </w:rPr>
      </w:pPr>
    </w:p>
    <w:p>
      <w:pPr>
        <w:spacing w:after="0" w:line="23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(2,609)</w:t>
      </w:r>
    </w:p>
    <w:p>
      <w:pPr>
        <w:spacing w:after="0" w:line="232" w:lineRule="exact"/>
        <w:rPr>
          <w:sz w:val="20"/>
          <w:szCs w:val="20"/>
          <w:color w:val="auto"/>
        </w:rPr>
      </w:pPr>
    </w:p>
    <w:p>
      <w:pPr>
        <w:sectPr>
          <w:pgSz w:w="11900" w:h="16838" w:orient="portrait"/>
          <w:cols w:equalWidth="0" w:num="3">
            <w:col w:w="9840" w:space="360"/>
            <w:col w:w="160" w:space="320"/>
            <w:col w:w="7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7000" w:type="dxa"/>
            <w:vAlign w:val="bottom"/>
          </w:tcPr>
          <w:p>
            <w:pPr>
              <w:ind w:left="440"/>
              <w:spacing w:after="0"/>
              <w:rPr>
                <w:sz w:val="20"/>
                <w:szCs w:val="20"/>
                <w:color w:val="auto"/>
              </w:rPr>
            </w:pPr>
            <w:r>
              <w:rPr>
                <w:rFonts w:ascii="Arial" w:cs="Arial" w:eastAsia="Arial" w:hAnsi="Arial"/>
                <w:sz w:val="18"/>
                <w:szCs w:val="18"/>
                <w:color w:val="auto"/>
              </w:rPr>
              <w:t>Schlumberger/Smith stockholders’ equity</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30,628</w:t>
            </w:r>
          </w:p>
        </w:tc>
        <w:tc>
          <w:tcPr>
            <w:tcW w:w="100" w:type="dxa"/>
            <w:vAlign w:val="bottom"/>
          </w:tcPr>
          <w:p>
            <w:pPr>
              <w:spacing w:after="0"/>
              <w:rPr>
                <w:sz w:val="19"/>
                <w:szCs w:val="19"/>
                <w:color w:val="auto"/>
              </w:rPr>
            </w:pPr>
          </w:p>
        </w:tc>
      </w:tr>
      <w:tr>
        <w:trPr>
          <w:trHeight w:val="217"/>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(1,283)</w:t>
            </w:r>
          </w:p>
        </w:tc>
        <w:tc>
          <w:tcPr>
            <w:tcW w:w="6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30"/>
        </w:trPr>
        <w:tc>
          <w:tcPr>
            <w:tcW w:w="70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30,873</w:t>
            </w:r>
          </w:p>
        </w:tc>
        <w:tc>
          <w:tcPr>
            <w:tcW w:w="100" w:type="dxa"/>
            <w:vAlign w:val="bottom"/>
          </w:tcPr>
          <w:p>
            <w:pPr>
              <w:spacing w:after="0"/>
              <w:rPr>
                <w:sz w:val="20"/>
                <w:szCs w:val="20"/>
                <w:color w:val="auto"/>
              </w:rPr>
            </w:pPr>
          </w:p>
        </w:tc>
      </w:tr>
      <w:tr>
        <w:trPr>
          <w:trHeight w:val="216"/>
        </w:trPr>
        <w:tc>
          <w:tcPr>
            <w:tcW w:w="7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10,403</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$ 6,612</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$ 49,898</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ectPr>
          <w:pgSz w:w="11900" w:h="16838" w:orient="portrait"/>
          <w:cols w:equalWidth="0" w:num="1">
            <w:col w:w="11420"/>
          </w:cols>
          <w:pgMar w:left="240" w:top="459" w:right="239" w:bottom="1440" w:gutter="0" w:footer="0" w:header="0"/>
          <w:type w:val="continuous"/>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Reclassifications </w:t>
            </w:r>
            <w:r>
              <w:rPr>
                <w:rFonts w:ascii="Arial" w:cs="Arial" w:eastAsia="Arial" w:hAnsi="Arial"/>
                <w:sz w:val="22"/>
                <w:szCs w:val="22"/>
                <w:b w:val="1"/>
                <w:bCs w:val="1"/>
                <w:color w:val="auto"/>
                <w:vertAlign w:val="superscript"/>
              </w:rPr>
              <w:t>(AA)</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Schlumberger</w:t>
            </w: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Smith</w:t>
            </w:r>
          </w:p>
        </w:tc>
        <w:tc>
          <w:tcPr>
            <w:tcW w:w="32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(55)</w:t>
            </w:r>
            <w:r>
              <w:rPr>
                <w:rFonts w:ascii="Arial" w:cs="Arial" w:eastAsia="Arial" w:hAnsi="Arial"/>
                <w:sz w:val="11"/>
                <w:szCs w:val="11"/>
                <w:color w:val="auto"/>
              </w:rPr>
              <w:t>(BB)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(30)</w:t>
            </w:r>
            <w:r>
              <w:rPr>
                <w:rFonts w:ascii="Arial" w:cs="Arial" w:eastAsia="Arial" w:hAnsi="Arial"/>
                <w:sz w:val="11"/>
                <w:szCs w:val="11"/>
                <w:color w:val="auto"/>
              </w:rPr>
              <w:t>(CC)</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(55)</w:t>
            </w:r>
            <w:r>
              <w:rPr>
                <w:rFonts w:ascii="Arial" w:cs="Arial" w:eastAsia="Arial" w:hAnsi="Arial"/>
                <w:sz w:val="22"/>
                <w:szCs w:val="22"/>
                <w:color w:val="auto"/>
                <w:vertAlign w:val="superscript"/>
              </w:rPr>
              <w:t>(BB)</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6,261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w:t>
            </w:r>
            <w:r>
              <w:rPr>
                <w:rFonts w:ascii="Arial" w:cs="Arial" w:eastAsia="Arial" w:hAnsi="Arial"/>
                <w:sz w:val="11"/>
                <w:szCs w:val="11"/>
                <w:color w:val="auto"/>
              </w:rPr>
              <w:t>(DD)</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 xml:space="preserve">60 </w:t>
            </w:r>
            <w:r>
              <w:rPr>
                <w:rFonts w:ascii="Arial" w:cs="Arial" w:eastAsia="Arial" w:hAnsi="Arial"/>
                <w:sz w:val="11"/>
                <w:szCs w:val="11"/>
                <w:color w:val="auto"/>
              </w:rPr>
              <w:t>(EE)</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1"/>
                <w:szCs w:val="11"/>
                <w:color w:val="auto"/>
              </w:rPr>
              <w:t>(FF)</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Research &amp; engineering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(466)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 &amp; integration</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w:t>
            </w:r>
            <w:r>
              <w:rPr>
                <w:rFonts w:ascii="Arial" w:cs="Arial" w:eastAsia="Arial" w:hAnsi="Arial"/>
                <w:sz w:val="11"/>
                <w:szCs w:val="11"/>
                <w:color w:val="auto"/>
              </w:rPr>
              <w:t>(GG)</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(11)</w:t>
            </w:r>
            <w:r>
              <w:rPr>
                <w:rFonts w:ascii="Arial" w:cs="Arial" w:eastAsia="Arial" w:hAnsi="Arial"/>
                <w:sz w:val="11"/>
                <w:szCs w:val="11"/>
                <w:color w:val="auto"/>
              </w:rPr>
              <w:t>(HH)</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3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(CC)</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w:t>
            </w:r>
            <w:r>
              <w:rPr>
                <w:rFonts w:ascii="Arial" w:cs="Arial" w:eastAsia="Arial" w:hAnsi="Arial"/>
                <w:sz w:val="11"/>
                <w:szCs w:val="11"/>
                <w:color w:val="auto"/>
              </w:rPr>
              <w:t>(II)</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Income attributable to noncontrolling interests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1"/>
                <w:szCs w:val="11"/>
                <w:color w:val="auto"/>
              </w:rPr>
              <w:t>(CC)</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20" w:type="dxa"/>
            <w:vAlign w:val="bottom"/>
            <w:gridSpan w:val="2"/>
          </w:tcPr>
          <w:p>
            <w:pPr>
              <w:spacing w:after="0"/>
              <w:rPr>
                <w:sz w:val="20"/>
                <w:szCs w:val="20"/>
                <w:color w:val="auto"/>
              </w:rPr>
            </w:pPr>
            <w:r>
              <w:rPr>
                <w:rFonts w:ascii="Arial" w:cs="Arial" w:eastAsia="Arial" w:hAnsi="Arial"/>
                <w:sz w:val="18"/>
                <w:szCs w:val="18"/>
                <w:color w:val="auto"/>
                <w:w w:val="99"/>
              </w:rPr>
              <w:t>Income from Continuing Operations Attributable to</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Schlumberger/Smith</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672</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from continuing operations per share</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attributable to Schlumberger/Smith:</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2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2"/>
              </w:rPr>
              <w:t>1,371</w:t>
            </w:r>
            <w:r>
              <w:rPr>
                <w:rFonts w:ascii="Arial" w:cs="Arial" w:eastAsia="Arial" w:hAnsi="Arial"/>
                <w:sz w:val="13"/>
                <w:szCs w:val="13"/>
                <w:color w:val="auto"/>
                <w:w w:val="92"/>
              </w:rPr>
              <w:t>(JJ)</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Assuming dilution</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w w:val="92"/>
              </w:rPr>
              <w:t>1,391</w:t>
            </w:r>
            <w:r>
              <w:rPr>
                <w:rFonts w:ascii="Arial" w:cs="Arial" w:eastAsia="Arial" w:hAnsi="Arial"/>
                <w:sz w:val="13"/>
                <w:szCs w:val="13"/>
                <w:color w:val="auto"/>
                <w:w w:val="92"/>
              </w:rPr>
              <w:t>(JJ)</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 the year ended December 31, 2009</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Reclassifications </w:t>
            </w:r>
            <w:r>
              <w:rPr>
                <w:rFonts w:ascii="Arial" w:cs="Arial" w:eastAsia="Arial" w:hAnsi="Arial"/>
                <w:sz w:val="22"/>
                <w:szCs w:val="22"/>
                <w:b w:val="1"/>
                <w:bCs w:val="1"/>
                <w:color w:val="auto"/>
                <w:vertAlign w:val="superscript"/>
              </w:rPr>
              <w:t>(AA)</w:t>
            </w:r>
          </w:p>
        </w:tc>
        <w:tc>
          <w:tcPr>
            <w:tcW w:w="16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4"/>
              </w:rPr>
              <w:t>Pro Forma</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Smith</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8,218</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(209)</w:t>
            </w:r>
            <w:r>
              <w:rPr>
                <w:rFonts w:ascii="Arial" w:cs="Arial" w:eastAsia="Arial" w:hAnsi="Arial"/>
                <w:sz w:val="11"/>
                <w:szCs w:val="11"/>
                <w:color w:val="auto"/>
              </w:rPr>
              <w:t>(BB)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30,711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(131)</w:t>
            </w:r>
            <w:r>
              <w:rPr>
                <w:rFonts w:ascii="Arial" w:cs="Arial" w:eastAsia="Arial" w:hAnsi="Arial"/>
                <w:sz w:val="11"/>
                <w:szCs w:val="11"/>
                <w:color w:val="auto"/>
              </w:rPr>
              <w:t>(CC)</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17,483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5,969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(209)</w:t>
            </w:r>
            <w:r>
              <w:rPr>
                <w:rFonts w:ascii="Arial" w:cs="Arial" w:eastAsia="Arial" w:hAnsi="Arial"/>
                <w:sz w:val="11"/>
                <w:szCs w:val="11"/>
                <w:color w:val="auto"/>
              </w:rPr>
              <w:t>(BB)</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24,760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w:t>
            </w:r>
            <w:r>
              <w:rPr>
                <w:rFonts w:ascii="Arial" w:cs="Arial" w:eastAsia="Arial" w:hAnsi="Arial"/>
                <w:sz w:val="11"/>
                <w:szCs w:val="11"/>
                <w:color w:val="auto"/>
              </w:rPr>
              <w:t>(DD)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 xml:space="preserve">238 </w:t>
            </w:r>
            <w:r>
              <w:rPr>
                <w:rFonts w:ascii="Arial" w:cs="Arial" w:eastAsia="Arial" w:hAnsi="Arial"/>
                <w:sz w:val="11"/>
                <w:szCs w:val="11"/>
                <w:color w:val="auto"/>
              </w:rPr>
              <w:t>(EE)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1"/>
                <w:szCs w:val="11"/>
                <w:color w:val="auto"/>
              </w:rPr>
              <w:t>(FF)</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Research &amp; engineering</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141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216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1,651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(1,651)</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r>
              <w:rPr>
                <w:rFonts w:ascii="Arial" w:cs="Arial" w:eastAsia="Arial" w:hAnsi="Arial"/>
                <w:sz w:val="11"/>
                <w:szCs w:val="11"/>
                <w:color w:val="auto"/>
              </w:rPr>
              <w:t>(HH)</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taxes</w:t>
            </w: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3,934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on income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1"/>
                <w:szCs w:val="11"/>
                <w:color w:val="auto"/>
              </w:rPr>
              <w:t>(CC)</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(53)</w:t>
            </w:r>
            <w:r>
              <w:rPr>
                <w:rFonts w:ascii="Arial" w:cs="Arial" w:eastAsia="Arial" w:hAnsi="Arial"/>
                <w:sz w:val="11"/>
                <w:szCs w:val="11"/>
                <w:color w:val="auto"/>
              </w:rPr>
              <w:t>(II)</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Income attributable to noncontrolling interests</w:t>
            </w:r>
          </w:p>
        </w:tc>
        <w:tc>
          <w:tcPr>
            <w:tcW w:w="2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 xml:space="preserve">150 </w:t>
            </w:r>
            <w:r>
              <w:rPr>
                <w:rFonts w:ascii="Arial" w:cs="Arial" w:eastAsia="Arial" w:hAnsi="Arial"/>
                <w:sz w:val="11"/>
                <w:szCs w:val="11"/>
                <w:color w:val="auto"/>
              </w:rPr>
              <w:t>(CC)</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Schlumberger/Smith</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per share attributable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to Schlumberger/Smith:</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0.66</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1,198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1,374</w:t>
            </w:r>
            <w:r>
              <w:rPr>
                <w:rFonts w:ascii="Arial" w:cs="Arial" w:eastAsia="Arial" w:hAnsi="Arial"/>
                <w:sz w:val="13"/>
                <w:szCs w:val="13"/>
                <w:color w:val="auto"/>
              </w:rPr>
              <w:t>(JJ)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w:t>
            </w:r>
            <w:r>
              <w:rPr>
                <w:rFonts w:ascii="Arial" w:cs="Arial" w:eastAsia="Arial" w:hAnsi="Arial"/>
                <w:sz w:val="13"/>
                <w:szCs w:val="13"/>
                <w:color w:val="auto"/>
              </w:rPr>
              <w:t>(JJ)</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Transaction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February 21, 2010, Schlumberger and Smith entered into a merger agreement pursuant to which, subject to the terms and conditions set forth in the merger agreement, Smith will become a wholly owned subsidiary of Schlumberger. At the effective time of the merger, shares of Smith common stock issued and outstanding immediately prior to the effective time of the merger will be converted into the right to receive 0.6966 shares of Schlumberger common stock, with cash paid in lieu of fractional shares.</w:t>
      </w:r>
    </w:p>
    <w:p>
      <w:pPr>
        <w:spacing w:after="0" w:line="14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At the effective time of the merger, each outstanding option to purchase Smith common stock will be converted pursuant to the merger agreement into a stock option to acquire shares of Schlumberger common stock on the same terms and conditions as were in effect immediately prior to the completion of the merger. The number of shares of Schlumberger common stock underlying each converted Smith stock option will be determined by multiplying the number of shares of Smith common stock underlying such Smith stock options by the 0.6966 exchange ratio, and rounding down to the nearest whole share. The exercise price per share of each converted Smith stock option will be determined by dividing the per share exercise price of such stock option by the 0.6966 exchange ratio, and rounding up to the nearest whole cent (each option, as so adjusted, an “adjusted option”).</w:t>
      </w:r>
    </w:p>
    <w:p>
      <w:pPr>
        <w:spacing w:after="0" w:line="12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Smith stock options, whether or not then vested and exercisable, will become fully vested and exercisable (except for options granted between the date of the merger agreement and closing, which will not automatically vest) and assumed by Schlumberger at the effective date of the merger in accordance with preexisting change-in-control provisions. Smith stock options granted between the date of the merger agreement and closing will continue to vest and become exercisable for Schlumberger common stock according to their original terms, subject to the adjustments described in the paragraph above. The fair value of the adjusted options, whether vested or unvested, will be recorded as part of the purchase consideration transferred, to the extent that pre-acquisition services have been rendered. The remainder of the fair value of the unvested options, if any, will be recorded as compensation expense over the future vesting period in the periods following the merger completion date.</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At the effective time of the merger, Smith restricted stock units, whether or not then vested, will become fully vested (except for grants between the date of the merger agreement and closing, which will not automatically vest) and converted into shares of Schlumberger common stock in connection with the merger, in an amount determined by multiplying the number of shares of Smith common stock subject to each award by the 0.6966 exchange ratio, rounded to the nearest whole share (assuming, in the case of performance-based Smith restricted stock unit awards, the deemed attainment of the performance goals under the award at the target level). To the extent the fair value is attributable to pre-acquisition services, it will be recorded as part of the purchase consideration transferred, and the remainder, if any, will be recorded as compensation expense over the future vesting period in the periods following the merger completion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merger is reflected in the unaudited pro forma condensed combined financial statements as being accounted for under the acquisition method of accounting. Under the acquisition method, the total estimated purchase price as described in Note 3 will be measured at the closing date of the merger using the market price of Schlumberger common stock at that time. Therefore, this may result in a per-share equity value that is different from that assumed for purposes of preparing these unaudited pro forma condensed combined financial statements. The assets and liabilities of Smith have been measured at fair value based on various preliminary estimates using assumptions that Schlumberger management believes are reasonable utilizing information currently available. Use of different estimates and judgments could yield materially different results. There are limitations on the type of information that can be exchanged between Schlumberger and Smith at this time. Until the merger is complete, Schlumberger will not have complete access to all relevant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process for estimating the fair values of identifiable intangible assets and certain tangible assets requires the use of significant estimates and assumptions, including estimating future cash flows. The excess of the purchase price over the estimated amounts of identifiable assets and liabilities of Smith as of the effective date of the merger will be allocated to goodwill. The purchase price allocation is subject to finalization of Schlumberger’s analysis of the fair value of the assets and liabilities of Smith as of the effective date of the merger. Accordingly, the purchase price allocation in the unaudited pro forma condensed combined financial statements is preliminary and will be adjusted upon completion of the final valuation. Such adjustments could be material.</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accordance with the SEC’s rules and regulations, the unaudited pro forma condensed combined financial statements do not reflect any cost savings, operating synergies or revenue enhancements that the combined company may achieve as a result of the merger or the costs to integrate the operations of Schlumberger and Smith or the costs necessary to achieve these cost savings, operating synergies and revenue enhancements.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completion of the merger, Schlumberger will perform a detailed review of Smith’s accounting policies. As a result of that review, Schlumberger may identify differences between the accounting policies of the two companies that, when conformed, could have a material impact on the consolidated financial statements of the combined company.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reclassifications have been made to the historical presentation of Smith to conform to the presentation used in the unaudited pro forma condensed combined statement of income. Upon consummation of the merger, further review of Smith’s financial statements may result in additional revisions to Smith’s classifications to conform to Schlumberger’s presentation.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Estimate of Consideration Expected to be Transferred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preliminary estimate of the consideration expected to be transferred to effect the acquisition of Smith.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exchange ratio and per share amounts)</w:t>
            </w: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shares of Smith common stock outstanding as of March 31, 2010</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Number of Smith unvested restricted stock units outstanding as of March 31, 2010</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Multiplied by the exchange ratio</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0.6966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Equivalent new Schlumberger shares of common stock to be issued</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Schlumberger common stock share price on May 28, 2010</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equity consideration</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Fair value of Schlumberger equivalent stock options to be issued (a)</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 of consideration expected to be transferred (b)</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9"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Generally accepted accounting principles require that the fair value of replacement stock option awards attributable to pre-merger services be included in the consideration transferred. The fair value of the Schlumberger equivalent stock options was estimated as of May 28, 2010 using the Black-Scholes valuation model utilizing the following assumptions: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7"/>
              </w:rPr>
              <w:t>$56.15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Post-conversion exercise price</w:t>
            </w:r>
          </w:p>
        </w:tc>
        <w:tc>
          <w:tcPr>
            <w:tcW w:w="4000" w:type="dxa"/>
            <w:vAlign w:val="bottom"/>
          </w:tcPr>
          <w:p>
            <w:pPr>
              <w:jc w:val="center"/>
              <w:ind w:left="2432"/>
              <w:spacing w:after="0"/>
              <w:rPr>
                <w:sz w:val="20"/>
                <w:szCs w:val="20"/>
                <w:color w:val="auto"/>
              </w:rPr>
            </w:pPr>
            <w:r>
              <w:rPr>
                <w:rFonts w:ascii="Arial" w:cs="Arial" w:eastAsia="Arial" w:hAnsi="Arial"/>
                <w:sz w:val="18"/>
                <w:szCs w:val="18"/>
                <w:color w:val="auto"/>
                <w:w w:val="89"/>
              </w:rPr>
              <w:t>$16.87-$55.68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8"/>
              </w:rPr>
              <w:t>37%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Dividend yield</w:t>
            </w:r>
          </w:p>
        </w:tc>
        <w:tc>
          <w:tcPr>
            <w:tcW w:w="4000" w:type="dxa"/>
            <w:vAlign w:val="bottom"/>
          </w:tcPr>
          <w:p>
            <w:pPr>
              <w:jc w:val="center"/>
              <w:ind w:left="2432"/>
              <w:spacing w:after="0"/>
              <w:rPr>
                <w:sz w:val="20"/>
                <w:szCs w:val="20"/>
                <w:color w:val="auto"/>
              </w:rPr>
            </w:pPr>
            <w:r>
              <w:rPr>
                <w:rFonts w:ascii="Arial" w:cs="Arial" w:eastAsia="Arial" w:hAnsi="Arial"/>
                <w:sz w:val="18"/>
                <w:szCs w:val="18"/>
                <w:color w:val="auto"/>
                <w:w w:val="86"/>
              </w:rPr>
              <w:t>1.25%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6"/>
              </w:rPr>
              <w:t>0.40%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Expected term</w:t>
            </w:r>
          </w:p>
        </w:tc>
        <w:tc>
          <w:tcPr>
            <w:tcW w:w="4000" w:type="dxa"/>
            <w:vAlign w:val="bottom"/>
          </w:tcPr>
          <w:p>
            <w:pPr>
              <w:ind w:left="3040"/>
              <w:spacing w:after="0"/>
              <w:rPr>
                <w:sz w:val="20"/>
                <w:szCs w:val="20"/>
                <w:color w:val="auto"/>
              </w:rPr>
            </w:pPr>
            <w:r>
              <w:rPr>
                <w:rFonts w:ascii="Arial" w:cs="Arial" w:eastAsia="Arial" w:hAnsi="Arial"/>
                <w:sz w:val="18"/>
                <w:szCs w:val="18"/>
                <w:color w:val="auto"/>
              </w:rPr>
              <w:t>1 year</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Black-Scholes weighted average fair value per option</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7"/>
              </w:rPr>
              <w:t>$27.36</w:t>
            </w:r>
          </w:p>
        </w:tc>
      </w:tr>
    </w:tbl>
    <w:p>
      <w:pPr>
        <w:spacing w:after="0" w:line="73" w:lineRule="exact"/>
        <w:rPr>
          <w:sz w:val="20"/>
          <w:szCs w:val="20"/>
          <w:color w:val="auto"/>
        </w:rPr>
      </w:pPr>
    </w:p>
    <w:p>
      <w:pPr>
        <w:ind w:left="460" w:right="40" w:hanging="452"/>
        <w:spacing w:after="0" w:line="255"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estimated consideration expected to be transferred reflected in these unaudited pro forma condensed combined financial statements does not purport to represent what the actual consideration transferred will be when the merger is completed. The fair value of equity securities issued as part of the consideration transferred is required to be measured on the closing date of the merger at the then-current market price. This requirement will likely result in a per-share equity component different from what has been assumed in these unaudited pro forma condensed combined financial statements and that difference may be material.</w:t>
      </w:r>
    </w:p>
    <w:p>
      <w:pPr>
        <w:spacing w:after="0" w:line="61"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Assuming a $1.00 change in Schlumberger’s closing common stock price, the estimated consideration transferred would increase or decrease by approximately $176 million, which would be reflected in these unaudited pro forma condensed combined financial statements as an increase or decrease to goodwill. Furthermore, for every 10% change in Schlumberger’s stock price, the estimated consideration transferred would increase or decrease by approximately $1.0 billion, which would result in a corresponding increase or decrease in goodwill.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Estimate of Assets to be Acquired and Liabilities to be Assumed</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Schlumberger in the merger, reconciled to the estimate of consideration expected to be transferred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Book value of net assets acquired at March 31, 2010</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Smith noncontrolling interest balance relating to M-I SWACO</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Smith historical goodwill</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Smith historical intangible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Smith historical deferred tax liabilities relating to intangible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Surviving postcombination noncontrolling interests</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Adjusted book value of net assets acquired</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Fair value adjustments to:</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the value of inventory</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Increase the value of fixed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7"/>
              </w:rPr>
              <w:t>5,625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Increase the book value of long-term debt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12"/>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4"/>
              </w:rPr>
              <w:t>(2,010)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8"/>
                <w:szCs w:val="18"/>
                <w:color w:val="auto"/>
                <w:w w:val="97"/>
              </w:rPr>
              <w:t>5,711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adjustments</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Gain on investment in affiliate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Estimate of consideration expected to be transferred</w:t>
            </w: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$ 9,902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is a discussion of the adjustments made to Smith’s assets and liabilities in connection with the preparation of these unaudited pro forma condensed combined financial statements.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The estimated adjustment to write up inventories to fair value is comprised of two components, approximately $115 million for inventories</w:t>
      </w:r>
      <w:r>
        <w:rPr>
          <w:rFonts w:ascii="Arial" w:cs="Arial" w:eastAsia="Arial" w:hAnsi="Arial"/>
          <w:sz w:val="16"/>
          <w:szCs w:val="16"/>
          <w:i w:val="1"/>
          <w:iCs w:val="1"/>
          <w:color w:val="auto"/>
        </w:rPr>
        <w:t xml:space="preserve"> </w:t>
      </w:r>
      <w:r>
        <w:rPr>
          <w:rFonts w:ascii="Arial" w:cs="Arial" w:eastAsia="Arial" w:hAnsi="Arial"/>
          <w:sz w:val="16"/>
          <w:szCs w:val="16"/>
          <w:color w:val="auto"/>
        </w:rPr>
        <w:t>carried at FIFO cost and $175 million for inventories carried at LIFO cost. With regard to the $115 million adjustment to FIFO inventories, cost of revenue will reflect this increased valuation as this inventory is sold. Accordingly, Schlumberger margins will be temporarily reduced in the initial periods subsequent to merger. With regard to the $175 million adjustment to LIFO inventories, such adjustment will only be reflected in cost of revenues when Schlumberger begins to liquidate this new LIFO layer. The impact of both of these inventory adjustments is not reflected in the unaudited pro forma condensed combined statement of income because they will not have a continuing impact.</w:t>
      </w:r>
    </w:p>
    <w:p>
      <w:pPr>
        <w:spacing w:after="0" w:line="12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 xml:space="preserve">Fixed Assets: </w:t>
      </w:r>
      <w:r>
        <w:rPr>
          <w:rFonts w:ascii="Arial" w:cs="Arial" w:eastAsia="Arial" w:hAnsi="Arial"/>
          <w:sz w:val="16"/>
          <w:szCs w:val="16"/>
          <w:color w:val="auto"/>
        </w:rPr>
        <w:t>For purposes of these unaudited pro forma condensed combined financial statements, Schlumberger has estimated that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to increase fixed assets to their fair value would approximate $150 million. This estimate of fair value is preliminary and subject to change once Schlumberger has sufficient information as to the specific types, nature, age, condition and location of Smith’s fixed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The fair value of identifiable intangible assets is determined primarily using the “income approach,” which requires a forecast of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future cash flows either through the use of the relief-from-royalty method or the multi-period excess earnings method. Some of the more significant assumptions inherent in the development of intangible asset values include: the amount and timing of projected future cash flows, the discount rate selected to measure the risks inherent in the future cash flows, and the assessment of the asset’s life cycle, as well as other factors. However, for purposes of these unaudited pro forma condensed combined financial statements, using certain high-level assumptions, the fair value of the identifiable intangible assets, the related amortization expense and their weighted-average useful lives have been estimated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2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1"/>
              </w:rPr>
              <w:t>Weighted Average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Year Ended</w:t>
            </w:r>
          </w:p>
        </w:tc>
        <w:tc>
          <w:tcPr>
            <w:tcW w:w="4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Three 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Fair Value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85"/>
              </w:rPr>
              <w:t>Estimated Useful Life</w:t>
            </w:r>
          </w:p>
        </w:tc>
        <w:tc>
          <w:tcPr>
            <w:tcW w:w="8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March 31, 2010</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(in years)</w:t>
            </w: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2,470</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Technology / Technical Know-How</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2,300</w:t>
            </w:r>
          </w:p>
        </w:tc>
        <w:tc>
          <w:tcPr>
            <w:tcW w:w="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Tradenames / Trademarks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5,625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238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preliminary estimates of fair value and estimated useful life will likely be different from the final acquisition accounting, and the difference could have a material impact on the accompanying unaudited pro forma condensed combined financial statements. A 10% change in the valuation of intangible assets would cause a corresponding increase or decrease in annual amortization expense of approximately $20 million, assuming an overall weighted-average useful life of 24 years. Once Schlumberger has full access to the specifics of Smith’s intangible assets, additional insight will be gained that could impact: (i) the estimated total value assigned to intangible assets and (ii) the estimated weighted average useful life of each category of intangible assets. The estimated intangible asset values and their useful lives could be impacted by a variety of factors that may become known to Schlumberger only upon access to the additional information and/or changes in such factors that may occur prior to the effective time of the merger.</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The carrying value of Smith’s long-term debt will be remeasured to its fair value as of the closing of the merger. The ultimate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value of long-term debt may vary significantly at the merger completion date based on market conditions at that time.</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Deferred tax liabilities: </w:t>
      </w:r>
      <w:r>
        <w:rPr>
          <w:rFonts w:ascii="Arial" w:cs="Arial" w:eastAsia="Arial" w:hAnsi="Arial"/>
          <w:sz w:val="16"/>
          <w:szCs w:val="16"/>
          <w:color w:val="auto"/>
        </w:rPr>
        <w:t>As of the effective date of the merger, adjustments will be made for deferred taxes as part of the accounting for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This adjustment reflects the estimated deferred tax liability impact of the acquisition on the balance sheet, primarily relating to estimated fair value adjustments for acquired inventory, fixed assets, intangible assets and long-term debt. For purposes of these unaudited pro forma condensed combined financial statements, deferred taxes are provided at the 35% U.S. federal statutory income tax rate.</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Gain on investment in affiliate: </w:t>
      </w:r>
      <w:r>
        <w:rPr>
          <w:rFonts w:ascii="Arial" w:cs="Arial" w:eastAsia="Arial" w:hAnsi="Arial"/>
          <w:sz w:val="16"/>
          <w:szCs w:val="16"/>
          <w:color w:val="auto"/>
        </w:rPr>
        <w:t>Represents a pro forma adjustment to record Schlumberger’s gain as a result of remeasuring its previously held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M-I SWACO, a drilling fluids joint venture that is 40% owned by Schlumberger and 60% owned by Smith. Generally accepted accounting principles require that an acquirer remeasure its previously held equity interest in an acquiree at its acquisition date fair value and recognize the resulting gain or loss in earnings. The gain is calculated based upon the acquisition date fair value of M-I SWACO, and will be impacted by transactional activity such as equity income and dividends, up until the date the merger is completed. Because this pro forma adjustment will not have a continuing impact, it is excluded from the unaudited pro forma condensed combined statement of income, but is reflected as an adjustment to goodwill and retained earnings in the unaudited pro forma condensed combined balance sheet.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 expected to be transferred and the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the identifiable assets acquired and liabilities assumed. Goodwill is not amortized, but rather is subject to impairment testing on at least an annual basis.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Represents a difference in basis between Smith’s noncontrolling interest balance relating to M-I SWACO and Schlumberger’s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M-I SWACO.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Adjustments to Unaudited Pro Forma Condensed Combined Balance Sheet</w:t>
      </w:r>
    </w:p>
    <w:p>
      <w:pPr>
        <w:spacing w:after="0" w:line="96"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Reflects the elimination of accounts receivable and accounts payable in connection with Smith revenue relating to Schlumberger.</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adjust acquired inventory to an estimate of fair value. Schlumberger’s cost of revenue will reflect the increased valuation of Smith’s inventory as the acquired inventory is sold. This adjustment does not have a continuing impact on the combined operating results and as such, it is not included in the unaudited pro forma condensed combined statement of income.</w:t>
      </w:r>
    </w:p>
    <w:p>
      <w:pPr>
        <w:spacing w:after="0" w:line="18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eliminate Schlumberger’s investment in M-I SWACO.</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adjust for the estimated differences between the carrying value and fair value of the fixed assets. See Note 4 for further details.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eliminate Smith’s historical goodwill.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record the estimated goodwill created as a result of this transaction. See Note 4 for detailed calculation.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eliminate Smith’s historical intangible assets.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record the estimated fair value of identifiable intangible assets. See Note 4 for further details.</w:t>
      </w:r>
    </w:p>
    <w:p>
      <w:pPr>
        <w:spacing w:after="0" w:line="211" w:lineRule="exact"/>
        <w:rPr>
          <w:rFonts w:ascii="Arial" w:cs="Arial" w:eastAsia="Arial" w:hAnsi="Arial"/>
          <w:sz w:val="18"/>
          <w:szCs w:val="18"/>
          <w:color w:val="auto"/>
        </w:rPr>
      </w:pPr>
    </w:p>
    <w:p>
      <w:pPr>
        <w:ind w:left="900" w:right="140" w:hanging="446"/>
        <w:spacing w:after="0" w:line="298"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Reflects an estimate of Schlumberger’s remaining merger-related transaction costs to be incurred, including advisory and legal fees as well as amounts relating to employee benefits such as change in control payments. These amounts will be expensed as incurred and are not reflected in the unaudited pro forma condensed combined statement of income because they will not have a continuing impact. No adjustment has been made for merger-related costs to be incurred by Smith, which are estimated to be approximately $55 million.</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Reflects an adjustment to increase the carrying value of Smith’s long-term debt to its estimated fair value.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Represents an adjustment to eliminate deferred tax liabilities associated with Smith’s preacquisition intangible assets and goodwill.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33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adjustment to deferred tax liabilities represents the estimated deferred tax liability based on the U.S. federal statutory tax rate of 35% multiplied by the fair value adjustments made to assets acquired and liabilities assumed, excluding goodwill, as calculated below:</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Establish deferred tax liabilities (assets) for the following (in millions):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Identified intangible assets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$5,625</w:t>
            </w:r>
          </w:p>
        </w:tc>
        <w:tc>
          <w:tcPr>
            <w:tcW w:w="20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the basis of inventory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Increase in the basis of fixed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the basis of long-term debt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r>
      <w:tr>
        <w:trPr>
          <w:trHeight w:val="222"/>
        </w:trPr>
        <w:tc>
          <w:tcPr>
            <w:tcW w:w="88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w:t>
            </w:r>
          </w:p>
        </w:tc>
        <w:tc>
          <w:tcPr>
            <w:tcW w:w="200" w:type="dxa"/>
            <w:vAlign w:val="bottom"/>
          </w:tcPr>
          <w:p>
            <w:pPr>
              <w:spacing w:after="0"/>
              <w:rPr>
                <w:sz w:val="19"/>
                <w:szCs w:val="19"/>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federal statutory tax rate</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2"/>
        </w:trPr>
        <w:tc>
          <w:tcPr>
            <w:tcW w:w="88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2,010</w:t>
            </w:r>
          </w:p>
        </w:tc>
        <w:tc>
          <w:tcPr>
            <w:tcW w:w="2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220" w:hanging="446"/>
        <w:spacing w:after="0" w:line="306"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Represents the preliminary fair value adjustment associated with Schlumberger’s previously held equity interest in the M-I SWACO joint venture, resulting in an estimated after-tax gain of $1.378 billion, net of deferred taxes of $38 million. Because this adjustment will not have a continuing impact, it is excluded from the unaudited pro forma condensed combined statement of income. See Note 4 for further details.</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Reflects adjustments to eliminate Smith’s historical equity balances.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record merger consideration at fair value.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eliminate Smith’s noncontrolling interest balance relating to the M-I SWACO joint venture with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Adjustments to Unaudited Pro Forma Condensed Combined Income Statement</w:t>
      </w:r>
    </w:p>
    <w:p>
      <w:pPr>
        <w:spacing w:after="0" w:line="96" w:lineRule="exact"/>
        <w:rPr>
          <w:sz w:val="20"/>
          <w:szCs w:val="20"/>
          <w:color w:val="auto"/>
        </w:rPr>
      </w:pPr>
    </w:p>
    <w:p>
      <w:pPr>
        <w:ind w:left="1020" w:right="20" w:hanging="566"/>
        <w:spacing w:after="0" w:line="268"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Certain reclassifications have been made to Smith’s historical statement of income to conform to Schlumberger’s presentation, primarily relating to selling and research and engineering expenses.</w:t>
      </w:r>
    </w:p>
    <w:p>
      <w:pPr>
        <w:spacing w:after="0" w:line="172" w:lineRule="exact"/>
        <w:rPr>
          <w:rFonts w:ascii="Arial" w:cs="Arial" w:eastAsia="Arial" w:hAnsi="Arial"/>
          <w:sz w:val="18"/>
          <w:szCs w:val="18"/>
          <w:color w:val="auto"/>
        </w:rPr>
      </w:pPr>
    </w:p>
    <w:p>
      <w:pPr>
        <w:ind w:left="1020" w:hanging="566"/>
        <w:spacing w:after="0"/>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Reflects the elimination of revenue and cost of revenue in connection with Smith sales to Schlumberger.</w:t>
      </w:r>
    </w:p>
    <w:p>
      <w:pPr>
        <w:spacing w:after="0" w:line="211" w:lineRule="exact"/>
        <w:rPr>
          <w:rFonts w:ascii="Arial" w:cs="Arial" w:eastAsia="Arial" w:hAnsi="Arial"/>
          <w:sz w:val="18"/>
          <w:szCs w:val="18"/>
          <w:color w:val="auto"/>
        </w:rPr>
      </w:pPr>
    </w:p>
    <w:p>
      <w:pPr>
        <w:ind w:left="1020" w:hanging="566"/>
        <w:spacing w:after="0" w:line="294" w:lineRule="auto"/>
        <w:tabs>
          <w:tab w:leader="none" w:pos="10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Reflects the elimination of Schlumberger’s equity earnings relating to the M-I SWACO joint venture as well as Smith’s corresponding noncontrolling interest in the net income of the venture, respectively. This joint venture is structured as a partnership in the U.S. Smith consolidates the results of M-I SWACO and, as such, has reflected the pretax income of the entire joint venture (including the U.S. partnership), and has appropriately not recorded income taxes associated with Schlumberger’s 40% interest in the U.S. partnership. Therefore, an adjustment is required to reclassify these additional taxes which were previously reflected as a component of Schlumberger’s equity income.</w:t>
      </w:r>
    </w:p>
    <w:p>
      <w:pPr>
        <w:spacing w:after="0" w:line="156" w:lineRule="exact"/>
        <w:rPr>
          <w:rFonts w:ascii="Arial" w:cs="Arial" w:eastAsia="Arial" w:hAnsi="Arial"/>
          <w:sz w:val="16"/>
          <w:szCs w:val="16"/>
          <w:color w:val="auto"/>
        </w:rPr>
      </w:pPr>
    </w:p>
    <w:p>
      <w:pPr>
        <w:ind w:left="1020" w:hanging="566"/>
        <w:spacing w:after="0"/>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eliminate Smith’s historical intangible asset amortization expense.</w:t>
      </w:r>
    </w:p>
    <w:p>
      <w:pPr>
        <w:spacing w:after="0" w:line="211" w:lineRule="exact"/>
        <w:rPr>
          <w:rFonts w:ascii="Arial" w:cs="Arial" w:eastAsia="Arial" w:hAnsi="Arial"/>
          <w:sz w:val="18"/>
          <w:szCs w:val="18"/>
          <w:color w:val="auto"/>
        </w:rPr>
      </w:pPr>
    </w:p>
    <w:p>
      <w:pPr>
        <w:ind w:left="1020" w:hanging="566"/>
        <w:spacing w:after="0"/>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Reflects amortization expense associated with intangible assets recorded in this transaction. See Note 4 for further details.</w:t>
      </w:r>
    </w:p>
    <w:p>
      <w:pPr>
        <w:spacing w:after="0" w:line="211" w:lineRule="exact"/>
        <w:rPr>
          <w:rFonts w:ascii="Arial" w:cs="Arial" w:eastAsia="Arial" w:hAnsi="Arial"/>
          <w:sz w:val="18"/>
          <w:szCs w:val="18"/>
          <w:color w:val="auto"/>
        </w:rPr>
      </w:pPr>
    </w:p>
    <w:p>
      <w:pPr>
        <w:ind w:left="1020" w:right="100" w:hanging="566"/>
        <w:spacing w:after="0" w:line="268"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Represents incremental depreciation expense associated with the estimated fair value adjustment related to Smith’s fixed assets over the estimated remaining useful life of 15 years.</w:t>
      </w:r>
    </w:p>
    <w:p>
      <w:pPr>
        <w:spacing w:after="0" w:line="172" w:lineRule="exact"/>
        <w:rPr>
          <w:rFonts w:ascii="Arial" w:cs="Arial" w:eastAsia="Arial" w:hAnsi="Arial"/>
          <w:sz w:val="18"/>
          <w:szCs w:val="18"/>
          <w:color w:val="auto"/>
        </w:rPr>
      </w:pPr>
    </w:p>
    <w:p>
      <w:pPr>
        <w:ind w:left="1020" w:right="40" w:hanging="566"/>
        <w:spacing w:after="0" w:line="332" w:lineRule="auto"/>
        <w:tabs>
          <w:tab w:leader="none" w:pos="10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Reflects merger related advisory and legal fees incurred by both Schlumberger and Smith during the three months ended March 31, 2010 which do not have a continuing impact and therefore are not reflected in the unaudited pro forma condensed combined statement of income.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340" w:hanging="566"/>
        <w:spacing w:after="0" w:line="268" w:lineRule="auto"/>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the amortization associated with the fair value adjustment to increase Smith’s fixed rate long-term debt, over the weighted-average remaining term of the obligations.</w:t>
      </w:r>
    </w:p>
    <w:p>
      <w:pPr>
        <w:spacing w:after="0" w:line="172" w:lineRule="exact"/>
        <w:rPr>
          <w:rFonts w:ascii="Arial" w:cs="Arial" w:eastAsia="Arial" w:hAnsi="Arial"/>
          <w:sz w:val="18"/>
          <w:szCs w:val="18"/>
          <w:color w:val="auto"/>
        </w:rPr>
      </w:pPr>
    </w:p>
    <w:p>
      <w:pPr>
        <w:ind w:left="1020" w:hanging="566"/>
        <w:spacing w:after="0" w:line="306" w:lineRule="auto"/>
        <w:tabs>
          <w:tab w:leader="none" w:pos="10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Schlumberger has assumed a 35% tax rate when estimating the tax impacts of the appropriate pro forma adjustments, which represents the U.S. federal statutory tax rate. The effective tax rate of the combined company could be significantly different from what is presented in these unaudited pro forma condensed combined financial statements for a variety of reasons, including post-merger activities.</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tax impact of the pro forma adjustments has been calculated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58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March 31, 2010</w:t>
            </w:r>
          </w:p>
        </w:tc>
      </w:tr>
      <w:tr>
        <w:trPr>
          <w:trHeight w:val="20"/>
        </w:trPr>
        <w:tc>
          <w:tcPr>
            <w:tcW w:w="5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Smith's historical 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Amortization expense associated with intangible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relating to fixed asset fair value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Amortization of debt fair value adjustment</w:t>
            </w:r>
          </w:p>
        </w:tc>
        <w:tc>
          <w:tcPr>
            <w:tcW w:w="140" w:type="dxa"/>
            <w:vAlign w:val="bottom"/>
          </w:tcPr>
          <w:p>
            <w:pPr>
              <w:spacing w:after="0"/>
              <w:rPr>
                <w:sz w:val="19"/>
                <w:szCs w:val="19"/>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 forma incremental expenses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U.S. federal statutory tax rate</w:t>
            </w:r>
          </w:p>
        </w:tc>
        <w:tc>
          <w:tcPr>
            <w:tcW w:w="140" w:type="dxa"/>
            <w:vAlign w:val="bottom"/>
          </w:tcPr>
          <w:p>
            <w:pPr>
              <w:spacing w:after="0"/>
              <w:rPr>
                <w:sz w:val="18"/>
                <w:szCs w:val="18"/>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relating to pro forma incremental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020" w:hanging="566"/>
        <w:spacing w:after="0"/>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Represents the adjusted weighted-average shares outstanding calculated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04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9"/>
              </w:rPr>
              <w:t>December 31, 2009</w:t>
            </w:r>
          </w:p>
        </w:tc>
        <w:tc>
          <w:tcPr>
            <w:tcW w:w="46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March 31, 2010</w:t>
            </w:r>
          </w:p>
        </w:tc>
      </w:tr>
      <w:tr>
        <w:trPr>
          <w:trHeight w:val="129"/>
        </w:trPr>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Assuming</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Assuming</w:t>
            </w:r>
          </w:p>
        </w:tc>
      </w:tr>
      <w:tr>
        <w:trPr>
          <w:trHeight w:val="161"/>
        </w:trPr>
        <w:tc>
          <w:tcPr>
            <w:tcW w:w="604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5"/>
              </w:rPr>
              <w:t>Basic</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Dilution</w:t>
            </w:r>
          </w:p>
        </w:tc>
        <w:tc>
          <w:tcPr>
            <w:tcW w:w="460" w:type="dxa"/>
            <w:vAlign w:val="bottom"/>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6"/>
              </w:rPr>
              <w:t>Basic</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Dilution</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Schlumberger historical shares outstanding</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1,198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New Schlumberger shares of common stock to be issued</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176</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176</w:t>
            </w: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60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16"/>
        </w:trPr>
        <w:tc>
          <w:tcPr>
            <w:tcW w:w="6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1,374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0"/>
        </w:trPr>
        <w:tc>
          <w:tcPr>
            <w:tcW w:w="6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dilutive effect of Smith stock options that will be converted into Schlumberger stock options is not significant.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STOCKHOLDER RIGHTS</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As a result of the merger, holders of Smith common stock will become stockholders of Schlumberger, and the rights of the former stockholders of Smith will thereafter be governed by Schlumberger’s articles of incorporation and amended and restated bylaws and the Commercial Code of the Netherlands Antilles, which is referred to in this discussion as Netherlands Antilles law. The rights of Smith stockholders are currently governed by Smith’s restated certificate of incorporation and amended and restated bylaws and the Delaware General Corporation Law, which is referred to in this discussion as Delaware law.</w:t>
      </w:r>
    </w:p>
    <w:p>
      <w:pPr>
        <w:spacing w:after="0" w:line="9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summarizes certain differences between the current rights of Smith stockholders and the current rights of Schlumberger stockholders. These differences arise in part from the differences between Netherlands Antilles law and Delaware law. Additional differences arise from the governing instruments of the two companies.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it is impracticable to compare all of the aspects in which Netherlands Antilles law and Delaware law and Schlumberger’s and Smith’s governing instruments differ with respect to stockholder rights, the following discussion summarizes the material differences between them. This summary is not intended to be complete, and it is qualified in its entirety by reference to Netherlands Antilles law, Delaware law, Schlumberger’s articles of incorporation and amended and restated bylaws and Smith’s restated certificate of incorporation and amended and restated bylaws. You are encouraged to carefully read this entire proxy statement/prospectus, the relevant provisions of Netherlands Antilles law and Delaware law and the other documents to which Schlumberger and Smith refer in this proxy statement/prospectus for a more complete understanding of the differences between the rights of a Schlumberger stockholder and the rights of a Smith stockholder. Schlumberger and Smith have filed with the Securities and Exchange Commission their respective governing documents referenced in this comparison of shareholder rights. See “Where You Can Find More Information.”</w:t>
      </w:r>
    </w:p>
    <w:p>
      <w:pPr>
        <w:sectPr>
          <w:pgSz w:w="11900" w:h="16838" w:orient="portrait"/>
          <w:cols w:equalWidth="0" w:num="1">
            <w:col w:w="11400"/>
          </w:cols>
          <w:pgMar w:left="240" w:top="459" w:right="259" w:bottom="1440" w:gutter="0" w:footer="0" w:header="0"/>
        </w:sectPr>
      </w:pP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13"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Authorized Stock</w:t>
      </w:r>
      <w:r>
        <w:rPr>
          <w:sz w:val="20"/>
          <w:szCs w:val="20"/>
          <w:color w:val="auto"/>
        </w:rPr>
        <w:tab/>
      </w:r>
      <w:r>
        <w:rPr>
          <w:rFonts w:ascii="Arial" w:cs="Arial" w:eastAsia="Arial" w:hAnsi="Arial"/>
          <w:sz w:val="15"/>
          <w:szCs w:val="15"/>
          <w:color w:val="auto"/>
        </w:rPr>
        <w:t>The authorized capital stock of Smith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-130175</wp:posOffset>
            </wp:positionV>
            <wp:extent cx="28213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 w:lineRule="exact"/>
        <w:rPr>
          <w:sz w:val="20"/>
          <w:szCs w:val="20"/>
          <w:color w:val="auto"/>
        </w:rPr>
      </w:pPr>
    </w:p>
    <w:p>
      <w:pPr>
        <w:ind w:left="2780" w:hanging="246"/>
        <w:spacing w:after="0"/>
        <w:tabs>
          <w:tab w:leader="none" w:pos="2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500,000,000 shares of Smith common stock and</w:t>
      </w:r>
    </w:p>
    <w:p>
      <w:pPr>
        <w:spacing w:after="0" w:line="9" w:lineRule="exact"/>
        <w:rPr>
          <w:rFonts w:ascii="Arial" w:cs="Arial" w:eastAsia="Arial" w:hAnsi="Arial"/>
          <w:sz w:val="18"/>
          <w:szCs w:val="18"/>
          <w:color w:val="auto"/>
        </w:rPr>
      </w:pPr>
    </w:p>
    <w:p>
      <w:pPr>
        <w:ind w:left="2780" w:hanging="246"/>
        <w:spacing w:after="0"/>
        <w:tabs>
          <w:tab w:leader="none" w:pos="2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5,000,000 shares of preferred stock.</w:t>
      </w:r>
    </w:p>
    <w:p>
      <w:pPr>
        <w:spacing w:after="0" w:line="111" w:lineRule="exact"/>
        <w:rPr>
          <w:sz w:val="20"/>
          <w:szCs w:val="20"/>
          <w:color w:val="auto"/>
        </w:rPr>
      </w:pPr>
    </w:p>
    <w:p>
      <w:pPr>
        <w:ind w:left="2540"/>
        <w:spacing w:after="0" w:line="286" w:lineRule="auto"/>
        <w:rPr>
          <w:sz w:val="20"/>
          <w:szCs w:val="20"/>
          <w:color w:val="auto"/>
        </w:rPr>
      </w:pPr>
      <w:r>
        <w:rPr>
          <w:rFonts w:ascii="Arial" w:cs="Arial" w:eastAsia="Arial" w:hAnsi="Arial"/>
          <w:sz w:val="16"/>
          <w:szCs w:val="16"/>
          <w:color w:val="auto"/>
        </w:rPr>
        <w:t>Smith’s board of directors has the authority to issue shares of preferred stock in one or more classes or series and to fix</w:t>
      </w:r>
    </w:p>
    <w:p>
      <w:pPr>
        <w:ind w:left="2540" w:right="60" w:hanging="6"/>
        <w:spacing w:after="0" w:line="292" w:lineRule="auto"/>
        <w:tabs>
          <w:tab w:leader="none" w:pos="277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designations, powers, preferences privileges, (b) the relative participating, optional or special rights and (c) the qualifications, limitations or restrictions, including dividend rights, conversion rights, voting rights, terms of redemption and liquidation preferences of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120"/>
        <w:spacing w:after="0" w:line="259" w:lineRule="auto"/>
        <w:rPr>
          <w:sz w:val="20"/>
          <w:szCs w:val="20"/>
          <w:color w:val="auto"/>
        </w:rPr>
      </w:pPr>
      <w:r>
        <w:rPr>
          <w:rFonts w:ascii="Arial" w:cs="Arial" w:eastAsia="Arial" w:hAnsi="Arial"/>
          <w:sz w:val="18"/>
          <w:szCs w:val="18"/>
          <w:color w:val="auto"/>
        </w:rPr>
        <w:t>Schlumberger may issue (a) 3,000,000,000 shares of Schlumberger common stock and (b) 200,000,000 shares of preferred stock.</w:t>
      </w:r>
    </w:p>
    <w:p>
      <w:pPr>
        <w:spacing w:after="0" w:line="8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Schlumberger’s board of directors has the authority to issue shares of preferred stock in one or more series and to fix</w:t>
      </w:r>
    </w:p>
    <w:p>
      <w:pPr>
        <w:ind w:right="80" w:firstLine="5"/>
        <w:spacing w:after="0" w:line="286" w:lineRule="auto"/>
        <w:tabs>
          <w:tab w:leader="none" w:pos="23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designations, (b) the annual dividend rate on such series (subject to limitations on such rate set forth in Schlumberger’s articles of incorporation), (c) whether such dividends will be paid annually or in installments, (d) any rights of holders of such series to convert their shares into other series of Schlumberger capital stock, (e) any rights of Schlumberger to redeem such shares or of holders to require Schlumberger to purchase such shares, (f) any sinking fund provisions and (g) other terms that are not inconsistent with Schlumberger’s articles of incorporation and Netherlands Antilles law.</w:t>
      </w:r>
    </w:p>
    <w:p>
      <w:pPr>
        <w:sectPr>
          <w:pgSz w:w="11900" w:h="16838" w:orient="portrait"/>
          <w:cols w:equalWidth="0" w:num="2">
            <w:col w:w="6820" w:space="260"/>
            <w:col w:w="4320"/>
          </w:cols>
          <w:pgMar w:left="240" w:top="459" w:right="259" w:bottom="1440" w:gutter="0" w:footer="0" w:header="0"/>
          <w:type w:val="continuous"/>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r>
      <w:tr>
        <w:trPr>
          <w:trHeight w:val="201"/>
        </w:trPr>
        <w:tc>
          <w:tcPr>
            <w:tcW w:w="254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1"/>
              </w:rPr>
              <w:t>As of the date of this proxy statement/prospectus, there were</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 shares of preferred stock outstanding.</w:t>
            </w:r>
          </w:p>
        </w:tc>
      </w:tr>
      <w:tr>
        <w:trPr>
          <w:trHeight w:val="318"/>
        </w:trPr>
        <w:tc>
          <w:tcPr>
            <w:tcW w:w="2540" w:type="dxa"/>
            <w:vAlign w:val="bottom"/>
          </w:tcPr>
          <w:p>
            <w:pPr>
              <w:spacing w:after="0"/>
              <w:rPr>
                <w:sz w:val="20"/>
                <w:szCs w:val="20"/>
                <w:color w:val="auto"/>
              </w:rPr>
            </w:pPr>
            <w:r>
              <w:rPr>
                <w:rFonts w:ascii="Arial" w:cs="Arial" w:eastAsia="Arial" w:hAnsi="Arial"/>
                <w:sz w:val="18"/>
                <w:szCs w:val="18"/>
                <w:b w:val="1"/>
                <w:bCs w:val="1"/>
                <w:color w:val="auto"/>
              </w:rPr>
              <w:t>Voting Rights</w:t>
            </w:r>
          </w:p>
        </w:tc>
        <w:tc>
          <w:tcPr>
            <w:tcW w:w="4440" w:type="dxa"/>
            <w:vAlign w:val="bottom"/>
          </w:tcPr>
          <w:p>
            <w:pPr>
              <w:spacing w:after="0"/>
              <w:rPr>
                <w:sz w:val="20"/>
                <w:szCs w:val="20"/>
                <w:color w:val="auto"/>
              </w:rPr>
            </w:pPr>
            <w:r>
              <w:rPr>
                <w:rFonts w:ascii="Arial" w:cs="Arial" w:eastAsia="Arial" w:hAnsi="Arial"/>
                <w:sz w:val="18"/>
                <w:szCs w:val="18"/>
                <w:color w:val="auto"/>
                <w:w w:val="92"/>
              </w:rPr>
              <w:t>Smith stockholders are entitled to one vote for each share of</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Smith common stock they hold.</w:t>
            </w:r>
          </w:p>
        </w:tc>
      </w:tr>
      <w:tr>
        <w:trPr>
          <w:trHeight w:val="318"/>
        </w:trPr>
        <w:tc>
          <w:tcPr>
            <w:tcW w:w="2540" w:type="dxa"/>
            <w:vAlign w:val="bottom"/>
          </w:tcPr>
          <w:p>
            <w:pPr>
              <w:spacing w:after="0"/>
              <w:rPr>
                <w:sz w:val="20"/>
                <w:szCs w:val="20"/>
                <w:color w:val="auto"/>
              </w:rPr>
            </w:pPr>
            <w:r>
              <w:rPr>
                <w:rFonts w:ascii="Arial" w:cs="Arial" w:eastAsia="Arial" w:hAnsi="Arial"/>
                <w:sz w:val="18"/>
                <w:szCs w:val="18"/>
                <w:b w:val="1"/>
                <w:bCs w:val="1"/>
                <w:color w:val="auto"/>
              </w:rPr>
              <w:t>Stockholder Meetings</w:t>
            </w:r>
          </w:p>
        </w:tc>
        <w:tc>
          <w:tcPr>
            <w:tcW w:w="4440" w:type="dxa"/>
            <w:vAlign w:val="bottom"/>
          </w:tcPr>
          <w:p>
            <w:pPr>
              <w:spacing w:after="0"/>
              <w:rPr>
                <w:sz w:val="20"/>
                <w:szCs w:val="20"/>
                <w:color w:val="auto"/>
              </w:rPr>
            </w:pPr>
            <w:r>
              <w:rPr>
                <w:rFonts w:ascii="Arial" w:cs="Arial" w:eastAsia="Arial" w:hAnsi="Arial"/>
                <w:sz w:val="18"/>
                <w:szCs w:val="18"/>
                <w:color w:val="auto"/>
                <w:w w:val="90"/>
              </w:rPr>
              <w:t>Smith’s bylaws provide that general meetings of stockholders</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7"/>
              </w:rPr>
              <w:t>can be held wherever the Smith board of directors dictates and,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pursuant to Delaware law, a stockholder meeting must be held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0"/>
              </w:rPr>
              <w:t>no more than 13 months from the date of the last stockholder</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meeting.</w:t>
            </w:r>
          </w:p>
        </w:tc>
      </w:tr>
      <w:tr>
        <w:trPr>
          <w:trHeight w:val="318"/>
        </w:trPr>
        <w:tc>
          <w:tcPr>
            <w:tcW w:w="25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1"/>
              </w:rPr>
              <w:t>Smith’s bylaws provide that special meetings of stockholders</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may be called by a majority of the board of directors, the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of the board of directors, the Chief Executive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1"/>
              </w:rPr>
              <w:t>Officer, the President, the Secretary or any two other officers</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of Smith.</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
        <w:spacing w:after="0" w:line="268" w:lineRule="auto"/>
        <w:rPr>
          <w:sz w:val="20"/>
          <w:szCs w:val="20"/>
          <w:color w:val="auto"/>
        </w:rPr>
      </w:pPr>
      <w:r>
        <w:rPr>
          <w:rFonts w:ascii="Arial" w:cs="Arial" w:eastAsia="Arial" w:hAnsi="Arial"/>
          <w:sz w:val="18"/>
          <w:szCs w:val="18"/>
          <w:color w:val="auto"/>
        </w:rPr>
        <w:t>As of the date of this proxy statement/prospectus, there were no shares of preferred stock outstanding.</w:t>
      </w:r>
    </w:p>
    <w:p>
      <w:pPr>
        <w:spacing w:after="0" w:line="7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Schlumberger stockholders are entitled to one vote for each share of Schlumberger common or preferred stock they hold.</w:t>
      </w:r>
    </w:p>
    <w:p>
      <w:pPr>
        <w:spacing w:after="0" w:line="8"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Schlumberger’s articles of incorporation and Netherlands Antilles law provide that all general meetings of Schlumberger stockholders must be held in the Netherlands Antilles, and a general stockholder meeting is required to be held once a year under Netherlands Antilles law.</w:t>
      </w:r>
    </w:p>
    <w:p>
      <w:pPr>
        <w:spacing w:after="0" w:line="4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Special general meetings of Schlumberger stockholders may be called at any time upon the direction of the Chairman of the board of directors, the Vice Chairman of the board of directors,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64" w:lineRule="exact"/>
        <w:rPr>
          <w:sz w:val="20"/>
          <w:szCs w:val="20"/>
          <w:color w:val="auto"/>
        </w:rPr>
      </w:pPr>
    </w:p>
    <w:p>
      <w:pPr>
        <w:sectPr>
          <w:pgSz w:w="11900" w:h="16838" w:orient="portrait"/>
          <w:cols w:equalWidth="0" w:num="2">
            <w:col w:w="6980" w:space="100"/>
            <w:col w:w="4280"/>
          </w:cols>
          <w:pgMar w:left="240" w:top="459" w:right="299" w:bottom="1440" w:gutter="0" w:footer="0" w:header="0"/>
          <w:type w:val="continuous"/>
        </w:sectPr>
      </w:pPr>
    </w:p>
    <w:p>
      <w:pPr>
        <w:spacing w:after="0"/>
        <w:tabs>
          <w:tab w:leader="none" w:pos="2520" w:val="left"/>
        </w:tabs>
        <w:rPr>
          <w:sz w:val="20"/>
          <w:szCs w:val="20"/>
          <w:color w:val="auto"/>
        </w:rPr>
      </w:pPr>
      <w:r>
        <w:rPr>
          <w:rFonts w:ascii="Arial" w:cs="Arial" w:eastAsia="Arial" w:hAnsi="Arial"/>
          <w:sz w:val="18"/>
          <w:szCs w:val="18"/>
          <w:b w:val="1"/>
          <w:bCs w:val="1"/>
          <w:color w:val="auto"/>
        </w:rPr>
        <w:t>Stockholder Action By Written</w:t>
      </w:r>
      <w:r>
        <w:rPr>
          <w:sz w:val="20"/>
          <w:szCs w:val="20"/>
          <w:color w:val="auto"/>
        </w:rPr>
        <w:tab/>
      </w:r>
      <w:r>
        <w:rPr>
          <w:rFonts w:ascii="Arial" w:cs="Arial" w:eastAsia="Arial" w:hAnsi="Arial"/>
          <w:sz w:val="16"/>
          <w:szCs w:val="16"/>
          <w:color w:val="auto"/>
        </w:rPr>
        <w:t>Smith’s certificate of incorporation specifically denies</w:t>
      </w:r>
    </w:p>
    <w:p>
      <w:pPr>
        <w:spacing w:after="0" w:line="21"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Consent</w:t>
      </w:r>
      <w:r>
        <w:rPr>
          <w:sz w:val="20"/>
          <w:szCs w:val="20"/>
          <w:color w:val="auto"/>
        </w:rPr>
        <w:tab/>
      </w:r>
      <w:r>
        <w:rPr>
          <w:rFonts w:ascii="Arial" w:cs="Arial" w:eastAsia="Arial" w:hAnsi="Arial"/>
          <w:sz w:val="18"/>
          <w:szCs w:val="18"/>
          <w:color w:val="auto"/>
        </w:rPr>
        <w:t>stockholders the right to act by written consent.</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Under Netherlands Antilles law, stockholders may not act by written consent without a meeting, unless all stockholders entitled to vote on the matter have cast a vote.</w:t>
      </w:r>
    </w:p>
    <w:p>
      <w:pPr>
        <w:spacing w:after="0" w:line="47" w:lineRule="exact"/>
        <w:rPr>
          <w:sz w:val="20"/>
          <w:szCs w:val="20"/>
          <w:color w:val="auto"/>
        </w:rPr>
      </w:pPr>
    </w:p>
    <w:p>
      <w:pPr>
        <w:sectPr>
          <w:pgSz w:w="11900" w:h="16838" w:orient="portrait"/>
          <w:cols w:equalWidth="0" w:num="2">
            <w:col w:w="6360" w:space="720"/>
            <w:col w:w="4280"/>
          </w:cols>
          <w:pgMar w:left="240" w:top="459" w:right="299" w:bottom="1440" w:gutter="0" w:footer="0" w:header="0"/>
          <w:type w:val="continuous"/>
        </w:sectPr>
      </w:pPr>
    </w:p>
    <w:p>
      <w:pPr>
        <w:spacing w:after="0"/>
        <w:tabs>
          <w:tab w:leader="none" w:pos="2520" w:val="left"/>
        </w:tabs>
        <w:rPr>
          <w:sz w:val="20"/>
          <w:szCs w:val="20"/>
          <w:color w:val="auto"/>
        </w:rPr>
      </w:pPr>
      <w:r>
        <w:rPr>
          <w:rFonts w:ascii="Arial" w:cs="Arial" w:eastAsia="Arial" w:hAnsi="Arial"/>
          <w:sz w:val="18"/>
          <w:szCs w:val="18"/>
          <w:b w:val="1"/>
          <w:bCs w:val="1"/>
          <w:color w:val="auto"/>
        </w:rPr>
        <w:t>Board of Directors</w:t>
      </w:r>
      <w:r>
        <w:rPr>
          <w:sz w:val="20"/>
          <w:szCs w:val="20"/>
          <w:color w:val="auto"/>
        </w:rPr>
        <w:tab/>
      </w:r>
      <w:r>
        <w:rPr>
          <w:rFonts w:ascii="Arial" w:cs="Arial" w:eastAsia="Arial" w:hAnsi="Arial"/>
          <w:sz w:val="16"/>
          <w:szCs w:val="16"/>
          <w:color w:val="auto"/>
        </w:rPr>
        <w:t>Under Smith’s certificate of incorporation, the Smith board of</w:t>
      </w:r>
    </w:p>
    <w:p>
      <w:pPr>
        <w:spacing w:after="0" w:line="21" w:lineRule="exact"/>
        <w:rPr>
          <w:sz w:val="20"/>
          <w:szCs w:val="20"/>
          <w:color w:val="auto"/>
        </w:rPr>
      </w:pPr>
    </w:p>
    <w:p>
      <w:pPr>
        <w:ind w:left="2540"/>
        <w:spacing w:after="0" w:line="261" w:lineRule="auto"/>
        <w:rPr>
          <w:sz w:val="20"/>
          <w:szCs w:val="20"/>
          <w:color w:val="auto"/>
        </w:rPr>
      </w:pPr>
      <w:r>
        <w:rPr>
          <w:rFonts w:ascii="Arial" w:cs="Arial" w:eastAsia="Arial" w:hAnsi="Arial"/>
          <w:sz w:val="18"/>
          <w:szCs w:val="18"/>
          <w:color w:val="auto"/>
        </w:rPr>
        <w:t>directors is divided into three classes, only one of which stands for reelection each year.</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ind w:right="640"/>
        <w:spacing w:after="0" w:line="259" w:lineRule="auto"/>
        <w:rPr>
          <w:sz w:val="20"/>
          <w:szCs w:val="20"/>
          <w:color w:val="auto"/>
        </w:rPr>
      </w:pPr>
      <w:r>
        <w:rPr>
          <w:rFonts w:ascii="Arial" w:cs="Arial" w:eastAsia="Arial" w:hAnsi="Arial"/>
          <w:sz w:val="18"/>
          <w:szCs w:val="18"/>
          <w:color w:val="auto"/>
        </w:rPr>
        <w:t>Under Schlumberger’s articles of incorporation, Schlumberger’s entire Board of Directors stands for reelection each year.</w:t>
      </w:r>
    </w:p>
    <w:p>
      <w:pPr>
        <w:sectPr>
          <w:pgSz w:w="11900" w:h="16838" w:orient="portrait"/>
          <w:cols w:equalWidth="0" w:num="2">
            <w:col w:w="6960" w:space="120"/>
            <w:col w:w="4280"/>
          </w:cols>
          <w:pgMar w:left="240" w:top="459" w:right="299" w:bottom="1440" w:gutter="0" w:footer="0" w:header="0"/>
          <w:type w:val="continuous"/>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254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right="140"/>
        <w:spacing w:after="0" w:line="254" w:lineRule="auto"/>
        <w:rPr>
          <w:sz w:val="20"/>
          <w:szCs w:val="20"/>
          <w:color w:val="auto"/>
        </w:rPr>
      </w:pPr>
      <w:r>
        <w:rPr>
          <w:rFonts w:ascii="Arial" w:cs="Arial" w:eastAsia="Arial" w:hAnsi="Arial"/>
          <w:sz w:val="18"/>
          <w:szCs w:val="18"/>
          <w:color w:val="auto"/>
        </w:rPr>
        <w:t>Under Smith’s bylaws, in uncontested elections, directors are elected by a</w:t>
      </w:r>
    </w:p>
    <w:p>
      <w:pPr>
        <w:ind w:left="2540"/>
        <w:spacing w:after="0" w:line="309" w:lineRule="auto"/>
        <w:rPr>
          <w:sz w:val="20"/>
          <w:szCs w:val="20"/>
          <w:color w:val="auto"/>
        </w:rPr>
      </w:pPr>
      <w:r>
        <w:rPr>
          <w:rFonts w:ascii="Arial" w:cs="Arial" w:eastAsia="Arial" w:hAnsi="Arial"/>
          <w:sz w:val="15"/>
          <w:szCs w:val="15"/>
          <w:color w:val="auto"/>
        </w:rPr>
        <w:t>majority of the votes cast at a meeting for the election of each director. A majority of the votes cast is defined in Smith’s bylaws to mean that the number of shares voted “for” a director’s election exceeds 50% of the number of votes cast with respect to that director’s election. Votes cast includes votes to withhold authority in each case and excludes abstentions with respect to that director’s election. In contested elections, directors are elected by a plurality of the votes cast.</w:t>
      </w:r>
    </w:p>
    <w:p>
      <w:pPr>
        <w:spacing w:after="0" w:line="67" w:lineRule="exact"/>
        <w:rPr>
          <w:sz w:val="20"/>
          <w:szCs w:val="20"/>
          <w:color w:val="auto"/>
        </w:rPr>
      </w:pPr>
    </w:p>
    <w:p>
      <w:pPr>
        <w:ind w:left="2540" w:right="60"/>
        <w:spacing w:after="0" w:line="332" w:lineRule="auto"/>
        <w:rPr>
          <w:sz w:val="20"/>
          <w:szCs w:val="20"/>
          <w:color w:val="auto"/>
        </w:rPr>
      </w:pPr>
      <w:r>
        <w:rPr>
          <w:rFonts w:ascii="Arial" w:cs="Arial" w:eastAsia="Arial" w:hAnsi="Arial"/>
          <w:sz w:val="16"/>
          <w:szCs w:val="16"/>
          <w:color w:val="auto"/>
        </w:rPr>
        <w:t>The number of directors on Smith’s board of directors is set at between six and 15 by Smith’s certificate of incorporation.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60"/>
        <w:spacing w:after="0" w:line="254" w:lineRule="auto"/>
        <w:rPr>
          <w:sz w:val="20"/>
          <w:szCs w:val="20"/>
          <w:color w:val="auto"/>
        </w:rPr>
      </w:pPr>
      <w:r>
        <w:rPr>
          <w:rFonts w:ascii="Arial" w:cs="Arial" w:eastAsia="Arial" w:hAnsi="Arial"/>
          <w:sz w:val="18"/>
          <w:szCs w:val="18"/>
          <w:color w:val="auto"/>
        </w:rPr>
        <w:t>Under Schlumberger’s articles of incorporation, directors are elected at a</w:t>
      </w:r>
    </w:p>
    <w:p>
      <w:pPr>
        <w:ind w:right="180"/>
        <w:spacing w:after="0" w:line="261" w:lineRule="auto"/>
        <w:rPr>
          <w:sz w:val="20"/>
          <w:szCs w:val="20"/>
          <w:color w:val="auto"/>
        </w:rPr>
      </w:pPr>
      <w:r>
        <w:rPr>
          <w:rFonts w:ascii="Arial" w:cs="Arial" w:eastAsia="Arial" w:hAnsi="Arial"/>
          <w:sz w:val="18"/>
          <w:szCs w:val="18"/>
          <w:color w:val="auto"/>
        </w:rPr>
        <w:t>general meeting of stockholders by a majority of votes cast by stockholders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number of directors on Schlumberger’s board is set at between five and 24 by Schlumberger’s articles of incorporation.</w:t>
      </w:r>
    </w:p>
    <w:p>
      <w:pPr>
        <w:spacing w:after="0" w:line="86" w:lineRule="exact"/>
        <w:rPr>
          <w:sz w:val="20"/>
          <w:szCs w:val="20"/>
          <w:color w:val="auto"/>
        </w:rPr>
      </w:pPr>
    </w:p>
    <w:p>
      <w:pPr>
        <w:sectPr>
          <w:pgSz w:w="11900" w:h="16838" w:orient="portrait"/>
          <w:cols w:equalWidth="0" w:num="2">
            <w:col w:w="6960" w:space="120"/>
            <w:col w:w="4340"/>
          </w:cols>
          <w:pgMar w:left="240" w:top="459" w:right="239" w:bottom="1440" w:gutter="0" w:footer="0" w:header="0"/>
          <w:type w:val="continuous"/>
        </w:sectPr>
      </w:pPr>
    </w:p>
    <w:p>
      <w:pPr>
        <w:ind w:left="2540"/>
        <w:spacing w:after="0"/>
        <w:tabs>
          <w:tab w:leader="none" w:pos="7060" w:val="left"/>
        </w:tabs>
        <w:rPr>
          <w:sz w:val="20"/>
          <w:szCs w:val="20"/>
          <w:color w:val="auto"/>
        </w:rPr>
      </w:pPr>
      <w:r>
        <w:rPr>
          <w:rFonts w:ascii="Arial" w:cs="Arial" w:eastAsia="Arial" w:hAnsi="Arial"/>
          <w:sz w:val="18"/>
          <w:szCs w:val="18"/>
          <w:color w:val="auto"/>
        </w:rPr>
        <w:t>Smith’s certificate of incorporation provides that a director</w:t>
      </w:r>
      <w:r>
        <w:rPr>
          <w:sz w:val="20"/>
          <w:szCs w:val="20"/>
          <w:color w:val="auto"/>
        </w:rPr>
        <w:tab/>
      </w:r>
      <w:r>
        <w:rPr>
          <w:rFonts w:ascii="Arial" w:cs="Arial" w:eastAsia="Arial" w:hAnsi="Arial"/>
          <w:sz w:val="16"/>
          <w:szCs w:val="16"/>
          <w:color w:val="auto"/>
        </w:rPr>
        <w:t>Schlumberger’s articles of incorporation and Netherlands</w:t>
      </w:r>
    </w:p>
    <w:p>
      <w:pPr>
        <w:spacing w:after="0" w:line="15" w:lineRule="exact"/>
        <w:rPr>
          <w:sz w:val="20"/>
          <w:szCs w:val="20"/>
          <w:color w:val="auto"/>
        </w:rPr>
      </w:pPr>
    </w:p>
    <w:p>
      <w:pPr>
        <w:ind w:left="2540"/>
        <w:spacing w:after="0"/>
        <w:tabs>
          <w:tab w:leader="none" w:pos="7060" w:val="left"/>
        </w:tabs>
        <w:rPr>
          <w:sz w:val="20"/>
          <w:szCs w:val="20"/>
          <w:color w:val="auto"/>
        </w:rPr>
      </w:pPr>
      <w:r>
        <w:rPr>
          <w:rFonts w:ascii="Arial" w:cs="Arial" w:eastAsia="Arial" w:hAnsi="Arial"/>
          <w:sz w:val="18"/>
          <w:szCs w:val="18"/>
          <w:color w:val="auto"/>
        </w:rPr>
        <w:t>may be removed only for cause, by holders of a majority of</w:t>
      </w:r>
      <w:r>
        <w:rPr>
          <w:sz w:val="20"/>
          <w:szCs w:val="20"/>
          <w:color w:val="auto"/>
        </w:rPr>
        <w:tab/>
      </w:r>
      <w:r>
        <w:rPr>
          <w:rFonts w:ascii="Arial" w:cs="Arial" w:eastAsia="Arial" w:hAnsi="Arial"/>
          <w:sz w:val="16"/>
          <w:szCs w:val="16"/>
          <w:color w:val="auto"/>
        </w:rPr>
        <w:t>Antilles law provide that a director may be removed at any</w:t>
      </w:r>
    </w:p>
    <w:p>
      <w:pPr>
        <w:spacing w:after="0" w:line="9" w:lineRule="exact"/>
        <w:rPr>
          <w:sz w:val="20"/>
          <w:szCs w:val="20"/>
          <w:color w:val="auto"/>
        </w:rPr>
      </w:pPr>
    </w:p>
    <w:p>
      <w:pPr>
        <w:ind w:left="2540"/>
        <w:spacing w:after="0"/>
        <w:tabs>
          <w:tab w:leader="none" w:pos="7060" w:val="left"/>
        </w:tabs>
        <w:rPr>
          <w:sz w:val="20"/>
          <w:szCs w:val="20"/>
          <w:color w:val="auto"/>
        </w:rPr>
      </w:pPr>
      <w:r>
        <w:rPr>
          <w:rFonts w:ascii="Arial" w:cs="Arial" w:eastAsia="Arial" w:hAnsi="Arial"/>
          <w:sz w:val="18"/>
          <w:szCs w:val="18"/>
          <w:color w:val="auto"/>
        </w:rPr>
        <w:t>shares entitled to vote on the election of directors.</w:t>
      </w:r>
      <w:r>
        <w:rPr>
          <w:sz w:val="20"/>
          <w:szCs w:val="20"/>
          <w:color w:val="auto"/>
        </w:rPr>
        <w:tab/>
      </w:r>
      <w:r>
        <w:rPr>
          <w:rFonts w:ascii="Arial" w:cs="Arial" w:eastAsia="Arial" w:hAnsi="Arial"/>
          <w:sz w:val="16"/>
          <w:szCs w:val="16"/>
          <w:color w:val="auto"/>
        </w:rPr>
        <w:t>general meeting of stockholders by a majority vote of the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votes cast at that meeting.</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Notice of Stockholder Proposals or Nominations of Director Candidates by Stockholders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Smith’s certificate of incorporation, the board of directors has the authority to appoint directors to fill any vacancies on the board to hold office until the expiration of the term of the class of directors to which such director is appointed.</w:t>
      </w:r>
    </w:p>
    <w:p>
      <w:pPr>
        <w:spacing w:after="0" w:line="8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Smith’s bylaws generally permit stockholders to nominate director candidates or propose other proper business if the stockholder intending to make such nomination or proposal gives timely notice thereof in writing in proper form. To be timely, Smith’s bylaws require, subject to certain limited exceptions, that written notice of an intention to nominate a director candidate or to propose other proper business be received by Smith’s Secretary not earlier than 90 days and not later than 60 days prior to the first anniversary of the previous year’s annual meeting.</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 Schlumberger’s articles of incorporation, the board of directors generally has the authority to appoint directors to fill any vacancies on the board to hold office until the next general meeting of Schlumberger’s stockholders.</w:t>
      </w:r>
    </w:p>
    <w:p>
      <w:pPr>
        <w:spacing w:after="0" w:line="2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None of Schlumberger’s articles of incorporation and bylaws, nor Netherlands Antilles law contain any specific provisions that govern the submission of director nominations or other proposals by stockholders. As described above, special general meetings of stockholders may be called by one or more Schlumberger stockholders representing at least 10% of the votes that can be cast on the topics they wish addressed at such meeting.</w:t>
      </w:r>
    </w:p>
    <w:p>
      <w:pPr>
        <w:spacing w:after="0" w:line="490" w:lineRule="exact"/>
        <w:rPr>
          <w:sz w:val="20"/>
          <w:szCs w:val="20"/>
          <w:color w:val="auto"/>
        </w:rPr>
      </w:pPr>
    </w:p>
    <w:p>
      <w:pPr>
        <w:sectPr>
          <w:pgSz w:w="11900" w:h="16838" w:orient="portrait"/>
          <w:cols w:equalWidth="0" w:num="3">
            <w:col w:w="2400" w:space="140"/>
            <w:col w:w="4420" w:space="120"/>
            <w:col w:w="4340"/>
          </w:cols>
          <w:pgMar w:left="240" w:top="459" w:right="239" w:bottom="1440" w:gutter="0" w:footer="0" w:header="0"/>
          <w:type w:val="continuous"/>
        </w:sectPr>
      </w:pPr>
    </w:p>
    <w:p>
      <w:pPr>
        <w:spacing w:after="0" w:line="275" w:lineRule="auto"/>
        <w:rPr>
          <w:sz w:val="20"/>
          <w:szCs w:val="20"/>
          <w:color w:val="auto"/>
        </w:rPr>
      </w:pPr>
      <w:r>
        <w:rPr>
          <w:rFonts w:ascii="Arial" w:cs="Arial" w:eastAsia="Arial" w:hAnsi="Arial"/>
          <w:sz w:val="18"/>
          <w:szCs w:val="18"/>
          <w:b w:val="1"/>
          <w:bCs w:val="1"/>
          <w:color w:val="auto"/>
        </w:rPr>
        <w:t>Amendment of Governing Documents</w:t>
      </w:r>
    </w:p>
    <w:p>
      <w:pPr>
        <w:spacing w:after="0" w:line="20" w:lineRule="exact"/>
        <w:rPr>
          <w:sz w:val="20"/>
          <w:szCs w:val="20"/>
          <w:color w:val="auto"/>
        </w:rPr>
      </w:pPr>
      <w:r>
        <w:rPr>
          <w:sz w:val="20"/>
          <w:szCs w:val="20"/>
          <w:color w:val="auto"/>
        </w:rPr>
        <w:br w:type="column"/>
      </w:r>
    </w:p>
    <w:p>
      <w:pPr>
        <w:spacing w:after="0"/>
        <w:tabs>
          <w:tab w:leader="none" w:pos="4520" w:val="left"/>
        </w:tabs>
        <w:rPr>
          <w:sz w:val="20"/>
          <w:szCs w:val="20"/>
          <w:color w:val="auto"/>
        </w:rPr>
      </w:pPr>
      <w:r>
        <w:rPr>
          <w:rFonts w:ascii="Arial" w:cs="Arial" w:eastAsia="Arial" w:hAnsi="Arial"/>
          <w:sz w:val="18"/>
          <w:szCs w:val="18"/>
          <w:color w:val="auto"/>
        </w:rPr>
        <w:t>Under Smith’s certificate of incorporation, a vote of 75% or</w:t>
      </w:r>
      <w:r>
        <w:rPr>
          <w:sz w:val="20"/>
          <w:szCs w:val="20"/>
          <w:color w:val="auto"/>
        </w:rPr>
        <w:tab/>
      </w:r>
      <w:r>
        <w:rPr>
          <w:rFonts w:ascii="Arial" w:cs="Arial" w:eastAsia="Arial" w:hAnsi="Arial"/>
          <w:sz w:val="16"/>
          <w:szCs w:val="16"/>
          <w:color w:val="auto"/>
        </w:rPr>
        <w:t>None of Schlumberger’s articles of incorporation and bylaws</w:t>
      </w:r>
    </w:p>
    <w:p>
      <w:pPr>
        <w:spacing w:after="0" w:line="1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more of the outstanding voting stock of Smith is</w:t>
      </w:r>
      <w:r>
        <w:rPr>
          <w:sz w:val="20"/>
          <w:szCs w:val="20"/>
          <w:color w:val="auto"/>
        </w:rPr>
        <w:tab/>
      </w:r>
      <w:r>
        <w:rPr>
          <w:rFonts w:ascii="Arial" w:cs="Arial" w:eastAsia="Arial" w:hAnsi="Arial"/>
          <w:sz w:val="16"/>
          <w:szCs w:val="16"/>
          <w:color w:val="auto"/>
        </w:rPr>
        <w:t>nor Netherlands Antilles law require a supermajority vote</w:t>
      </w:r>
    </w:p>
    <w:p>
      <w:pPr>
        <w:spacing w:after="0" w:line="15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94</w:t>
      </w:r>
    </w:p>
    <w:p>
      <w:pPr>
        <w:sectPr>
          <w:pgSz w:w="11900" w:h="16838" w:orient="portrait"/>
          <w:cols w:equalWidth="0" w:num="2">
            <w:col w:w="1960" w:space="580"/>
            <w:col w:w="8880"/>
          </w:cols>
          <w:pgMar w:left="240" w:top="459" w:right="239" w:bottom="1440" w:gutter="0" w:footer="0" w:header="0"/>
          <w:type w:val="continuous"/>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r>
      <w:tr>
        <w:trPr>
          <w:trHeight w:val="201"/>
        </w:trPr>
        <w:tc>
          <w:tcPr>
            <w:tcW w:w="254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6"/>
              </w:rPr>
              <w:t>necessary to amend Smith’s certificate of incorporation to</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change the provisions of Smith’s certificate of incorporation</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described under “Special Vote Required for Certain</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7"/>
              </w:rPr>
              <w:t>Combinations with Interested Stockholders,” unless such</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change is recommended by the board of directors, all of whom</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5"/>
              </w:rPr>
              <w:t>would be “continuing directors” under Smith’s certificate of</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incorporation. All other amendments to Smith’s certificate of</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9"/>
              </w:rPr>
              <w:t>incorporation require a vote of 50% or more of the outstanding</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voting stock of Smith under Delaware law.</w:t>
            </w:r>
          </w:p>
        </w:tc>
      </w:tr>
      <w:tr>
        <w:trPr>
          <w:trHeight w:val="318"/>
        </w:trPr>
        <w:tc>
          <w:tcPr>
            <w:tcW w:w="25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Smith’s bylaws may be amended by either an 75% stockholder</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vote or the vote of a majority of the board of directors.</w:t>
            </w:r>
          </w:p>
        </w:tc>
      </w:tr>
      <w:tr>
        <w:trPr>
          <w:trHeight w:val="312"/>
        </w:trPr>
        <w:tc>
          <w:tcPr>
            <w:tcW w:w="254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4440" w:type="dxa"/>
            <w:vAlign w:val="bottom"/>
          </w:tcPr>
          <w:p>
            <w:pPr>
              <w:spacing w:after="0"/>
              <w:rPr>
                <w:sz w:val="20"/>
                <w:szCs w:val="20"/>
                <w:color w:val="auto"/>
              </w:rPr>
            </w:pPr>
            <w:r>
              <w:rPr>
                <w:rFonts w:ascii="Arial" w:cs="Arial" w:eastAsia="Arial" w:hAnsi="Arial"/>
                <w:sz w:val="18"/>
                <w:szCs w:val="18"/>
                <w:color w:val="auto"/>
                <w:w w:val="89"/>
              </w:rPr>
              <w:t>Smith is not required to seek stockholder approval for financial</w:t>
            </w:r>
          </w:p>
        </w:tc>
      </w:tr>
      <w:tr>
        <w:trPr>
          <w:trHeight w:val="228"/>
        </w:trPr>
        <w:tc>
          <w:tcPr>
            <w:tcW w:w="2540" w:type="dxa"/>
            <w:vAlign w:val="bottom"/>
          </w:tcPr>
          <w:p>
            <w:pPr>
              <w:spacing w:after="0"/>
              <w:rPr>
                <w:sz w:val="20"/>
                <w:szCs w:val="20"/>
                <w:color w:val="auto"/>
              </w:rPr>
            </w:pPr>
            <w:r>
              <w:rPr>
                <w:rFonts w:ascii="Arial" w:cs="Arial" w:eastAsia="Arial" w:hAnsi="Arial"/>
                <w:sz w:val="18"/>
                <w:szCs w:val="18"/>
                <w:b w:val="1"/>
                <w:bCs w:val="1"/>
                <w:color w:val="auto"/>
              </w:rPr>
              <w:t>Dividends</w:t>
            </w:r>
          </w:p>
        </w:tc>
        <w:tc>
          <w:tcPr>
            <w:tcW w:w="4440" w:type="dxa"/>
            <w:vAlign w:val="bottom"/>
          </w:tcPr>
          <w:p>
            <w:pPr>
              <w:spacing w:after="0"/>
              <w:rPr>
                <w:sz w:val="20"/>
                <w:szCs w:val="20"/>
                <w:color w:val="auto"/>
              </w:rPr>
            </w:pPr>
            <w:r>
              <w:rPr>
                <w:rFonts w:ascii="Arial" w:cs="Arial" w:eastAsia="Arial" w:hAnsi="Arial"/>
                <w:sz w:val="18"/>
                <w:szCs w:val="18"/>
                <w:color w:val="auto"/>
              </w:rPr>
              <w:t>statements or proposed dividends.</w:t>
            </w:r>
          </w:p>
        </w:tc>
      </w:tr>
      <w:tr>
        <w:trPr>
          <w:trHeight w:val="750"/>
        </w:trPr>
        <w:tc>
          <w:tcPr>
            <w:tcW w:w="2540" w:type="dxa"/>
            <w:vAlign w:val="bottom"/>
          </w:tcPr>
          <w:p>
            <w:pPr>
              <w:spacing w:after="0"/>
              <w:rPr>
                <w:sz w:val="20"/>
                <w:szCs w:val="20"/>
                <w:color w:val="auto"/>
              </w:rPr>
            </w:pPr>
            <w:r>
              <w:rPr>
                <w:rFonts w:ascii="Arial" w:cs="Arial" w:eastAsia="Arial" w:hAnsi="Arial"/>
                <w:sz w:val="18"/>
                <w:szCs w:val="18"/>
                <w:b w:val="1"/>
                <w:bCs w:val="1"/>
                <w:color w:val="auto"/>
              </w:rPr>
              <w:t>Change of Domicile</w:t>
            </w:r>
          </w:p>
        </w:tc>
        <w:tc>
          <w:tcPr>
            <w:tcW w:w="4440" w:type="dxa"/>
            <w:vAlign w:val="bottom"/>
          </w:tcPr>
          <w:p>
            <w:pPr>
              <w:spacing w:after="0"/>
              <w:rPr>
                <w:sz w:val="20"/>
                <w:szCs w:val="20"/>
                <w:color w:val="auto"/>
              </w:rPr>
            </w:pPr>
            <w:r>
              <w:rPr>
                <w:rFonts w:ascii="Arial" w:cs="Arial" w:eastAsia="Arial" w:hAnsi="Arial"/>
                <w:sz w:val="18"/>
                <w:szCs w:val="18"/>
                <w:color w:val="auto"/>
                <w:w w:val="92"/>
              </w:rPr>
              <w:t>Under Delaware law, approval of all stockholders is required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in connection with a change in a corporation’s domicile from</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Delaware or conversion of the corporation into a legal entity</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under the laws of another jurisdiction. However, a Delaware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corporation may effectively change its domicile with the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4"/>
              </w:rPr>
              <w:t>approval of a majority of its stockholders by merging with a</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0"/>
              </w:rPr>
              <w:t>subsidiary incorporated under the laws of another jurisdiction.</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0"/>
        <w:spacing w:after="0" w:line="259" w:lineRule="auto"/>
        <w:rPr>
          <w:sz w:val="20"/>
          <w:szCs w:val="20"/>
          <w:color w:val="auto"/>
        </w:rPr>
      </w:pPr>
      <w:r>
        <w:rPr>
          <w:rFonts w:ascii="Arial" w:cs="Arial" w:eastAsia="Arial" w:hAnsi="Arial"/>
          <w:sz w:val="18"/>
          <w:szCs w:val="18"/>
          <w:color w:val="auto"/>
        </w:rPr>
        <w:t>to approve such transactions. The vote of a majority of the outstanding voting stock will suffice to approve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Schlumberger’s bylaws may be amended only by the vote of a majority of the board of directors.</w:t>
      </w:r>
    </w:p>
    <w:p>
      <w:pPr>
        <w:spacing w:after="0" w:line="7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Netherlands Antilles law and Schlumberger’s articles of incorporation, Schlumberger is required to present annually its financial statements and proposed dividends to its stockholders for inspection and approval.</w:t>
      </w:r>
    </w:p>
    <w:p>
      <w:pPr>
        <w:spacing w:after="0" w:line="5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Schlumberger’s articles of incorporation, Schlumberger’s board of directors may move its corporate seat to, or convert Schlumberger into a legal entity under the laws of, another jurisdiction, and may change Schlumberger’s corporate domicile from the Netherlands Antilles to another jurisdiction to the extent allowed by applicable law. In certain cases, stockholder approval of such action may not be required under applicable law.</w:t>
      </w:r>
    </w:p>
    <w:p>
      <w:pPr>
        <w:spacing w:after="0" w:line="58" w:lineRule="exact"/>
        <w:rPr>
          <w:sz w:val="20"/>
          <w:szCs w:val="20"/>
          <w:color w:val="auto"/>
        </w:rPr>
      </w:pPr>
    </w:p>
    <w:p>
      <w:pPr>
        <w:sectPr>
          <w:pgSz w:w="11900" w:h="16838" w:orient="portrait"/>
          <w:cols w:equalWidth="0" w:num="2">
            <w:col w:w="6980" w:space="100"/>
            <w:col w:w="4300"/>
          </w:cols>
          <w:pgMar w:left="240" w:top="459" w:right="279" w:bottom="1440" w:gutter="0" w:footer="0" w:header="0"/>
          <w:type w:val="continuous"/>
        </w:sectPr>
      </w:pPr>
    </w:p>
    <w:p>
      <w:pPr>
        <w:ind w:left="2540" w:hanging="2525"/>
        <w:spacing w:after="0" w:line="256" w:lineRule="auto"/>
        <w:tabs>
          <w:tab w:leader="none" w:pos="2520" w:val="left"/>
        </w:tabs>
        <w:rPr>
          <w:sz w:val="20"/>
          <w:szCs w:val="20"/>
          <w:color w:val="auto"/>
        </w:rPr>
      </w:pPr>
      <w:r>
        <w:rPr>
          <w:rFonts w:ascii="Arial" w:cs="Arial" w:eastAsia="Arial" w:hAnsi="Arial"/>
          <w:sz w:val="18"/>
          <w:szCs w:val="18"/>
          <w:b w:val="1"/>
          <w:bCs w:val="1"/>
          <w:color w:val="auto"/>
        </w:rPr>
        <w:t>Short-Form Merger; Buy-Out</w:t>
      </w:r>
      <w:r>
        <w:rPr>
          <w:sz w:val="20"/>
          <w:szCs w:val="20"/>
          <w:color w:val="auto"/>
        </w:rPr>
        <w:tab/>
      </w:r>
      <w:r>
        <w:rPr>
          <w:rFonts w:ascii="Arial" w:cs="Arial" w:eastAsia="Arial" w:hAnsi="Arial"/>
          <w:sz w:val="18"/>
          <w:szCs w:val="18"/>
          <w:color w:val="auto"/>
        </w:rPr>
        <w:t>Under Delaware law, the owner of 90% of a corporation’s outstanding equity may effect a “short-form” merger without the vote of the acquired corporation’s board of directors or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br w:type="column"/>
      </w:r>
    </w:p>
    <w:p>
      <w:pPr>
        <w:ind w:right="60"/>
        <w:spacing w:after="0" w:line="288"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Netherlands Antilles law. In order to effect a compulsory share transfer, the owner or owners of 90% of Schlumberger’s outstanding equity would have to institute an action in a</w:t>
      </w:r>
    </w:p>
    <w:p>
      <w:pPr>
        <w:sectPr>
          <w:pgSz w:w="11900" w:h="16838" w:orient="portrait"/>
          <w:cols w:equalWidth="0" w:num="2">
            <w:col w:w="6820" w:space="260"/>
            <w:col w:w="4300"/>
          </w:cols>
          <w:pgMar w:left="240" w:top="459" w:right="27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Special Vote Required for Certain Combinations with Interested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Schlumberger Stockholder Rights</w:t>
            </w:r>
          </w:p>
        </w:tc>
      </w:tr>
      <w:tr>
        <w:trPr>
          <w:trHeight w:val="201"/>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Netherlands Antilles court and pay the transferring</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6"/>
              </w:rPr>
              <w:t>stockholders the value of the shares to be transferred as</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88"/>
              </w:rPr>
              <w:t>determined by the judge (based on the advice of one or three</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89"/>
              </w:rPr>
              <w:t>experts). A judge can deny a request for a compulsory share</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transfer if a stockholder would suffer serious material</w:t>
            </w:r>
          </w:p>
        </w:tc>
      </w:tr>
      <w:tr>
        <w:trPr>
          <w:trHeight w:val="222"/>
        </w:trPr>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damage through the transfer.</w:t>
            </w:r>
          </w:p>
        </w:tc>
      </w:tr>
      <w:tr>
        <w:trPr>
          <w:trHeight w:val="318"/>
        </w:trPr>
        <w:tc>
          <w:tcPr>
            <w:tcW w:w="4440" w:type="dxa"/>
            <w:vAlign w:val="bottom"/>
          </w:tcPr>
          <w:p>
            <w:pPr>
              <w:spacing w:after="0"/>
              <w:rPr>
                <w:sz w:val="20"/>
                <w:szCs w:val="20"/>
                <w:color w:val="auto"/>
              </w:rPr>
            </w:pPr>
            <w:r>
              <w:rPr>
                <w:rFonts w:ascii="Arial" w:cs="Arial" w:eastAsia="Arial" w:hAnsi="Arial"/>
                <w:sz w:val="18"/>
                <w:szCs w:val="18"/>
                <w:color w:val="auto"/>
              </w:rPr>
              <w:t>Smith is subject to the provisions of Section 203 of the</w:t>
            </w:r>
          </w:p>
        </w:tc>
        <w:tc>
          <w:tcPr>
            <w:tcW w:w="1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Schlumberger is not subject to such a provision.</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88"/>
              </w:rPr>
              <w:t>Delaware General Corporation Law. Under Section 203, Smith</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1"/>
              </w:rPr>
              <w:t>generally would be prohibited from engaging in any business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5"/>
              </w:rPr>
              <w:t>combination with any interested stockholder for a period of</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0"/>
              </w:rPr>
              <w:t>three years following the time that the stockholder became an</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interested stockholder unless:</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18"/>
        </w:trPr>
        <w:tc>
          <w:tcPr>
            <w:tcW w:w="4440" w:type="dxa"/>
            <w:vAlign w:val="bottom"/>
          </w:tcPr>
          <w:p>
            <w:pPr>
              <w:ind w:left="100"/>
              <w:spacing w:after="0"/>
              <w:rPr>
                <w:sz w:val="20"/>
                <w:szCs w:val="20"/>
                <w:color w:val="auto"/>
              </w:rPr>
            </w:pPr>
            <w:r>
              <w:rPr>
                <w:rFonts w:ascii="Arial" w:cs="Arial" w:eastAsia="Arial" w:hAnsi="Arial"/>
                <w:sz w:val="18"/>
                <w:szCs w:val="18"/>
                <w:color w:val="auto"/>
                <w:w w:val="94"/>
              </w:rPr>
              <w:t>•  prior to this time, the Smith board of directors approved</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either the business combination or the transaction that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9"/>
              </w:rPr>
              <w:t>resulted in the stockholder becoming an interested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91"/>
        </w:trPr>
        <w:tc>
          <w:tcPr>
            <w:tcW w:w="4440" w:type="dxa"/>
            <w:vAlign w:val="bottom"/>
          </w:tcPr>
          <w:p>
            <w:pPr>
              <w:ind w:left="100"/>
              <w:spacing w:after="0"/>
              <w:rPr>
                <w:sz w:val="20"/>
                <w:szCs w:val="20"/>
                <w:color w:val="auto"/>
              </w:rPr>
            </w:pPr>
            <w:r>
              <w:rPr>
                <w:rFonts w:ascii="Arial" w:cs="Arial" w:eastAsia="Arial" w:hAnsi="Arial"/>
                <w:sz w:val="18"/>
                <w:szCs w:val="18"/>
                <w:color w:val="auto"/>
                <w:w w:val="91"/>
              </w:rPr>
              <w:t>•  upon consummation of the transaction that resulted in the</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6"/>
              </w:rPr>
              <w:t>stockholder becoming an interested stockholder, the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4"/>
              </w:rPr>
              <w:t>interested stockholder owned at least 85% of Smith’s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8"/>
              </w:rPr>
              <w:t>voting stock outstanding at the time the transaction</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commenced, excluding shares owned by persons who</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are directors and also officers, and by employee stock</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4"/>
              </w:rPr>
              <w:t>plans in which employee participants do not have the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6"/>
              </w:rPr>
              <w:t>right to determine confidentially whether shares held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rPr>
              <w:t>subject to the plan will be tendered in a tender or</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exchange offer; or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91"/>
        </w:trPr>
        <w:tc>
          <w:tcPr>
            <w:tcW w:w="4440" w:type="dxa"/>
            <w:vAlign w:val="bottom"/>
          </w:tcPr>
          <w:p>
            <w:pPr>
              <w:ind w:left="100"/>
              <w:spacing w:after="0"/>
              <w:rPr>
                <w:sz w:val="20"/>
                <w:szCs w:val="20"/>
                <w:color w:val="auto"/>
              </w:rPr>
            </w:pPr>
            <w:r>
              <w:rPr>
                <w:rFonts w:ascii="Arial" w:cs="Arial" w:eastAsia="Arial" w:hAnsi="Arial"/>
                <w:sz w:val="18"/>
                <w:szCs w:val="18"/>
                <w:color w:val="auto"/>
                <w:w w:val="89"/>
              </w:rPr>
              <w:t>•  at or subsequent to such time, the business combination is</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89"/>
              </w:rPr>
              <w:t>approved by the Smith board of directors and authorized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at an annual or special meeting of Smith stockholders,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1"/>
              </w:rPr>
              <w:t>and not by written consent, by the affirmative vote of at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1"/>
              </w:rPr>
              <w:t>least 662/3% of the outstanding voting stock that is not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owned by the interested stockholder.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8"/>
        </w:trPr>
        <w:tc>
          <w:tcPr>
            <w:tcW w:w="4440" w:type="dxa"/>
            <w:vAlign w:val="bottom"/>
          </w:tcPr>
          <w:p>
            <w:pPr>
              <w:ind w:left="30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-5520690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2060" w:space="480"/>
            <w:col w:w="8880"/>
          </w:cols>
          <w:pgMar w:left="240" w:top="459" w:right="2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spacing w:after="0"/>
        <w:rPr>
          <w:sz w:val="20"/>
          <w:szCs w:val="20"/>
          <w:color w:val="auto"/>
        </w:rPr>
      </w:pPr>
      <w:r>
        <w:rPr>
          <w:rFonts w:ascii="Arial" w:cs="Arial" w:eastAsia="Arial" w:hAnsi="Arial"/>
          <w:sz w:val="18"/>
          <w:szCs w:val="18"/>
          <w:color w:val="auto"/>
        </w:rPr>
        <w:t>Under Section 203, a “business combination” includes:</w:t>
      </w:r>
    </w:p>
    <w:p>
      <w:pPr>
        <w:spacing w:after="0" w:line="90" w:lineRule="exact"/>
        <w:rPr>
          <w:sz w:val="20"/>
          <w:szCs w:val="20"/>
          <w:color w:val="auto"/>
        </w:rPr>
      </w:pPr>
    </w:p>
    <w:p>
      <w:pPr>
        <w:ind w:left="2960" w:right="40" w:hanging="318"/>
        <w:spacing w:after="0" w:line="268" w:lineRule="auto"/>
        <w:tabs>
          <w:tab w:leader="none" w:pos="28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50" w:lineRule="exact"/>
        <w:rPr>
          <w:rFonts w:ascii="Arial" w:cs="Arial" w:eastAsia="Arial" w:hAnsi="Arial"/>
          <w:sz w:val="18"/>
          <w:szCs w:val="18"/>
          <w:color w:val="auto"/>
        </w:rPr>
      </w:pPr>
    </w:p>
    <w:p>
      <w:pPr>
        <w:ind w:left="2960" w:right="220" w:hanging="318"/>
        <w:spacing w:after="0" w:line="259" w:lineRule="auto"/>
        <w:tabs>
          <w:tab w:leader="none" w:pos="28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a corporation’s assets involving the interested stockholder;</w:t>
      </w:r>
    </w:p>
    <w:p>
      <w:pPr>
        <w:spacing w:after="0" w:line="59" w:lineRule="exact"/>
        <w:rPr>
          <w:rFonts w:ascii="Arial" w:cs="Arial" w:eastAsia="Arial" w:hAnsi="Arial"/>
          <w:sz w:val="18"/>
          <w:szCs w:val="18"/>
          <w:color w:val="auto"/>
        </w:rPr>
      </w:pPr>
    </w:p>
    <w:p>
      <w:pPr>
        <w:ind w:left="2960" w:right="200" w:hanging="318"/>
        <w:spacing w:after="0" w:line="306" w:lineRule="auto"/>
        <w:tabs>
          <w:tab w:leader="none" w:pos="282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transaction that results in the issuance or transfer by the corporation of any of its stock to the interested stockholder, subject to limited exceptions;</w:t>
      </w:r>
    </w:p>
    <w:p>
      <w:pPr>
        <w:spacing w:after="0" w:line="25" w:lineRule="exact"/>
        <w:rPr>
          <w:rFonts w:ascii="Arial" w:cs="Arial" w:eastAsia="Arial" w:hAnsi="Arial"/>
          <w:sz w:val="16"/>
          <w:szCs w:val="16"/>
          <w:color w:val="auto"/>
        </w:rPr>
      </w:pPr>
    </w:p>
    <w:p>
      <w:pPr>
        <w:ind w:left="2960" w:right="140" w:hanging="318"/>
        <w:spacing w:after="0" w:line="323" w:lineRule="auto"/>
        <w:tabs>
          <w:tab w:leader="none" w:pos="2829"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any transaction involving the corporation that has the effect of increasing the proportionate share of the stock of any class or series of the corporation’s capital stock beneficially owned by the interested stockholder; or</w:t>
      </w:r>
    </w:p>
    <w:p>
      <w:pPr>
        <w:spacing w:after="0" w:line="16" w:lineRule="exact"/>
        <w:rPr>
          <w:rFonts w:ascii="Arial" w:cs="Arial" w:eastAsia="Arial" w:hAnsi="Arial"/>
          <w:sz w:val="15"/>
          <w:szCs w:val="15"/>
          <w:color w:val="auto"/>
        </w:rPr>
      </w:pPr>
    </w:p>
    <w:p>
      <w:pPr>
        <w:ind w:left="2960" w:right="180" w:hanging="318"/>
        <w:spacing w:after="0" w:line="256" w:lineRule="auto"/>
        <w:tabs>
          <w:tab w:leader="none" w:pos="28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62" w:lineRule="exact"/>
        <w:rPr>
          <w:sz w:val="20"/>
          <w:szCs w:val="20"/>
          <w:color w:val="auto"/>
        </w:rPr>
      </w:pPr>
    </w:p>
    <w:p>
      <w:pPr>
        <w:ind w:left="2540"/>
        <w:spacing w:after="0" w:line="255"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corporation’s outstanding voting stock and any entity or person affiliated with or controlling or controlled by such entity or person.</w:t>
      </w:r>
    </w:p>
    <w:p>
      <w:pPr>
        <w:spacing w:after="0" w:line="96"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Limitation of Liability and</w:t>
      </w:r>
      <w:r>
        <w:rPr>
          <w:sz w:val="20"/>
          <w:szCs w:val="20"/>
          <w:color w:val="auto"/>
        </w:rPr>
        <w:tab/>
      </w:r>
      <w:r>
        <w:rPr>
          <w:rFonts w:ascii="Arial" w:cs="Arial" w:eastAsia="Arial" w:hAnsi="Arial"/>
          <w:sz w:val="16"/>
          <w:szCs w:val="16"/>
          <w:color w:val="auto"/>
        </w:rPr>
        <w:t>Smith’s certificate of incorporation provides that a director of</w:t>
      </w:r>
    </w:p>
    <w:p>
      <w:pPr>
        <w:spacing w:after="0" w:line="21" w:lineRule="exact"/>
        <w:rPr>
          <w:sz w:val="20"/>
          <w:szCs w:val="20"/>
          <w:color w:val="auto"/>
        </w:rPr>
      </w:pPr>
    </w:p>
    <w:p>
      <w:pPr>
        <w:ind w:left="2540" w:right="40" w:hanging="2539"/>
        <w:spacing w:after="0" w:line="255" w:lineRule="auto"/>
        <w:tabs>
          <w:tab w:leader="none" w:pos="2520" w:val="left"/>
        </w:tabs>
        <w:rPr>
          <w:sz w:val="20"/>
          <w:szCs w:val="20"/>
          <w:color w:val="auto"/>
        </w:rPr>
      </w:pPr>
      <w:r>
        <w:rPr>
          <w:rFonts w:ascii="Arial" w:cs="Arial" w:eastAsia="Arial" w:hAnsi="Arial"/>
          <w:sz w:val="18"/>
          <w:szCs w:val="18"/>
          <w:b w:val="1"/>
          <w:bCs w:val="1"/>
          <w:color w:val="auto"/>
        </w:rPr>
        <w:t>Indemnification</w:t>
      </w:r>
      <w:r>
        <w:rPr>
          <w:sz w:val="20"/>
          <w:szCs w:val="20"/>
          <w:color w:val="auto"/>
        </w:rPr>
        <w:tab/>
      </w:r>
      <w:r>
        <w:rPr>
          <w:rFonts w:ascii="Arial" w:cs="Arial" w:eastAsia="Arial" w:hAnsi="Arial"/>
          <w:sz w:val="18"/>
          <w:szCs w:val="18"/>
          <w:color w:val="auto"/>
        </w:rPr>
        <w:t>Smith will not be personally liable to Smith or its stockholders for monetary damages for breach of any fiduciary duty as a director, except:</w:t>
      </w:r>
    </w:p>
    <w:p>
      <w:pPr>
        <w:spacing w:after="0" w:line="63" w:lineRule="exact"/>
        <w:rPr>
          <w:sz w:val="20"/>
          <w:szCs w:val="20"/>
          <w:color w:val="auto"/>
        </w:rPr>
      </w:pPr>
    </w:p>
    <w:p>
      <w:pPr>
        <w:ind w:left="2960" w:right="460" w:hanging="318"/>
        <w:spacing w:after="0" w:line="268" w:lineRule="auto"/>
        <w:tabs>
          <w:tab w:leader="none" w:pos="282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50" w:lineRule="exact"/>
        <w:rPr>
          <w:rFonts w:ascii="Arial" w:cs="Arial" w:eastAsia="Arial" w:hAnsi="Arial"/>
          <w:sz w:val="18"/>
          <w:szCs w:val="18"/>
          <w:color w:val="auto"/>
        </w:rPr>
      </w:pPr>
    </w:p>
    <w:p>
      <w:pPr>
        <w:jc w:val="right"/>
        <w:ind w:left="2960" w:right="240" w:hanging="318"/>
        <w:spacing w:after="0" w:line="332" w:lineRule="auto"/>
        <w:tabs>
          <w:tab w:leader="none" w:pos="282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for acts or omissions not in good faith or which involve intentional misconduct or a knowing violation of law;</w:t>
      </w: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Schlumberger’s bylaws provide that to the fullest extent permitted by applicable law, Schlumberger shall indemnify any current or former director or officer who was or is a party or is threatened to be made a party to any threatened, pending or completed action, suit or proceedings, whether civil, criminal, administrative or investigative (other than an action by or in the right of Schlumberger) by reason of the fact that such person is or was a director or officer, of Schlumberger, if such person acted in good faith and in a manner such person reasonably believed</w:t>
      </w:r>
    </w:p>
    <w:p>
      <w:pPr>
        <w:sectPr>
          <w:pgSz w:w="11900" w:h="16838" w:orient="portrait"/>
          <w:cols w:equalWidth="0" w:num="2">
            <w:col w:w="6980" w:space="100"/>
            <w:col w:w="4340"/>
          </w:cols>
          <w:pgMar w:left="240" w:top="459" w:right="239" w:bottom="1440" w:gutter="0" w:footer="0" w:header="0"/>
          <w:type w:val="continuous"/>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960" w:right="20" w:hanging="318"/>
        <w:spacing w:after="0" w:line="332" w:lineRule="auto"/>
        <w:tabs>
          <w:tab w:leader="none" w:pos="282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for liability of directors for unlawful payment of dividends or unlawful stock purchases or redemptions; or</w:t>
      </w:r>
    </w:p>
    <w:p>
      <w:pPr>
        <w:spacing w:after="0" w:line="4" w:lineRule="exact"/>
        <w:rPr>
          <w:rFonts w:ascii="Arial" w:cs="Arial" w:eastAsia="Arial" w:hAnsi="Arial"/>
          <w:sz w:val="16"/>
          <w:szCs w:val="16"/>
          <w:color w:val="auto"/>
        </w:rPr>
      </w:pPr>
    </w:p>
    <w:p>
      <w:pPr>
        <w:ind w:left="2960" w:right="480" w:hanging="318"/>
        <w:spacing w:after="0" w:line="268" w:lineRule="auto"/>
        <w:tabs>
          <w:tab w:leader="none" w:pos="282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any transaction from which a director derived an improper personal benefit.</w:t>
      </w:r>
    </w:p>
    <w:p>
      <w:pPr>
        <w:spacing w:after="0" w:line="200" w:lineRule="exact"/>
        <w:rPr>
          <w:sz w:val="20"/>
          <w:szCs w:val="20"/>
          <w:color w:val="auto"/>
        </w:rPr>
      </w:pPr>
    </w:p>
    <w:p>
      <w:pPr>
        <w:spacing w:after="0" w:line="324" w:lineRule="exact"/>
        <w:rPr>
          <w:sz w:val="20"/>
          <w:szCs w:val="20"/>
          <w:color w:val="auto"/>
        </w:rPr>
      </w:pPr>
    </w:p>
    <w:p>
      <w:pPr>
        <w:ind w:left="2540"/>
        <w:spacing w:after="0" w:line="259" w:lineRule="auto"/>
        <w:rPr>
          <w:sz w:val="20"/>
          <w:szCs w:val="20"/>
          <w:color w:val="auto"/>
        </w:rPr>
      </w:pPr>
      <w:r>
        <w:rPr>
          <w:rFonts w:ascii="Arial" w:cs="Arial" w:eastAsia="Arial" w:hAnsi="Arial"/>
          <w:sz w:val="18"/>
          <w:szCs w:val="18"/>
          <w:color w:val="auto"/>
        </w:rPr>
        <w:t>Smith’s certificate of incorporation and bylaws provide for indemnification of its directors and officers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540"/>
        <w:spacing w:after="0" w:line="305" w:lineRule="auto"/>
        <w:rPr>
          <w:sz w:val="20"/>
          <w:szCs w:val="20"/>
          <w:color w:val="auto"/>
        </w:rPr>
      </w:pPr>
      <w:r>
        <w:rPr>
          <w:rFonts w:ascii="Arial" w:cs="Arial" w:eastAsia="Arial" w:hAnsi="Arial"/>
          <w:sz w:val="15"/>
          <w:szCs w:val="15"/>
          <w:color w:val="auto"/>
        </w:rPr>
        <w:t>Delaware law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w:t>
      </w:r>
    </w:p>
    <w:p>
      <w:pPr>
        <w:spacing w:after="0" w:line="3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
        <w:spacing w:after="0" w:line="256" w:lineRule="auto"/>
        <w:rPr>
          <w:sz w:val="20"/>
          <w:szCs w:val="20"/>
          <w:color w:val="auto"/>
        </w:rPr>
      </w:pPr>
      <w:r>
        <w:rPr>
          <w:rFonts w:ascii="Arial" w:cs="Arial" w:eastAsia="Arial" w:hAnsi="Arial"/>
          <w:sz w:val="18"/>
          <w:szCs w:val="18"/>
          <w:color w:val="auto"/>
        </w:rPr>
        <w:t>to be in or not opposed to the best interest of Schlumberger and with respect to any criminal action or proceeding, had no reasonable cause to believe that such person’s conduct was unlawful.</w:t>
      </w:r>
    </w:p>
    <w:p>
      <w:pPr>
        <w:spacing w:after="0" w:line="6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Netherlands Antilles law enables a corporation to indemnify a director as provided for in Schlumberger’s bylaws.</w:t>
      </w:r>
    </w:p>
    <w:p>
      <w:pPr>
        <w:spacing w:after="0" w:line="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Schlumberger’s articles of incorporation permits (but do not require) the indemnification of its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Schlumberger’s bylaws contain mandatory indemnification for current and former directors and officers.</w:t>
      </w:r>
    </w:p>
    <w:p>
      <w:pPr>
        <w:spacing w:after="0" w:line="6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Netherlands Antilles law, Schlumberger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w:t>
      </w:r>
    </w:p>
    <w:p>
      <w:pPr>
        <w:sectPr>
          <w:pgSz w:w="11900" w:h="16838" w:orient="portrait"/>
          <w:cols w:equalWidth="0" w:num="2">
            <w:col w:w="6980" w:space="100"/>
            <w:col w:w="4340"/>
          </w:cols>
          <w:pgMar w:left="240" w:top="459" w:right="2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right="40"/>
        <w:spacing w:after="0" w:line="254" w:lineRule="auto"/>
        <w:rPr>
          <w:sz w:val="20"/>
          <w:szCs w:val="20"/>
          <w:color w:val="auto"/>
        </w:rPr>
      </w:pPr>
      <w:r>
        <w:rPr>
          <w:rFonts w:ascii="Arial" w:cs="Arial" w:eastAsia="Arial" w:hAnsi="Arial"/>
          <w:sz w:val="18"/>
          <w:szCs w:val="18"/>
          <w:color w:val="auto"/>
        </w:rPr>
        <w:t>reasonable cause to believe that the person’s conduct was unlawful. Where an officer or director is successful on the merits or otherwise in the defense of any action referred to above, the corporation must indemnify him against the expenses that such officer or director actually and reasonably incurred.</w:t>
      </w:r>
    </w:p>
    <w:p>
      <w:pPr>
        <w:spacing w:after="0" w:line="90" w:lineRule="exact"/>
        <w:rPr>
          <w:sz w:val="20"/>
          <w:szCs w:val="20"/>
          <w:color w:val="auto"/>
        </w:rPr>
      </w:pPr>
    </w:p>
    <w:p>
      <w:pPr>
        <w:ind w:left="2540"/>
        <w:spacing w:after="0" w:line="294" w:lineRule="auto"/>
        <w:rPr>
          <w:sz w:val="20"/>
          <w:szCs w:val="20"/>
          <w:color w:val="auto"/>
        </w:rPr>
      </w:pPr>
      <w:r>
        <w:rPr>
          <w:rFonts w:ascii="Arial" w:cs="Arial" w:eastAsia="Arial" w:hAnsi="Arial"/>
          <w:sz w:val="16"/>
          <w:szCs w:val="16"/>
          <w:color w:val="auto"/>
        </w:rPr>
        <w:t>A Delaware corporation may indemnify officers and directors in an action by or in the right of the corporation under the same conditions, except that no indemnification is permitted without judicial approval if the officer or director is adjudged to be liable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540" w:right="200"/>
        <w:spacing w:after="0" w:line="294" w:lineRule="auto"/>
        <w:rPr>
          <w:sz w:val="20"/>
          <w:szCs w:val="20"/>
          <w:color w:val="auto"/>
        </w:rPr>
      </w:pPr>
      <w:r>
        <w:rPr>
          <w:rFonts w:ascii="Arial" w:cs="Arial" w:eastAsia="Arial" w:hAnsi="Arial"/>
          <w:sz w:val="16"/>
          <w:szCs w:val="16"/>
          <w:color w:val="auto"/>
        </w:rPr>
        <w:t>The indemnification permitted under Delaware law is not exclusive, and a corporation is empowered to purchase and maintain insurance against liabilities, whether or not indemnification would be permitted by statute. Smith maintains liability insurance for its directors and officers.</w:t>
      </w:r>
    </w:p>
    <w:p>
      <w:pPr>
        <w:spacing w:after="0" w:line="272"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Shareholder Rights Plan</w:t>
      </w:r>
      <w:r>
        <w:rPr>
          <w:sz w:val="20"/>
          <w:szCs w:val="20"/>
          <w:color w:val="auto"/>
        </w:rPr>
        <w:tab/>
      </w:r>
      <w:r>
        <w:rPr>
          <w:rFonts w:ascii="Arial" w:cs="Arial" w:eastAsia="Arial" w:hAnsi="Arial"/>
          <w:sz w:val="15"/>
          <w:szCs w:val="15"/>
          <w:color w:val="auto"/>
        </w:rPr>
        <w:t>Smith has a shareholder rights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40"/>
        <w:spacing w:after="0" w:line="254" w:lineRule="auto"/>
        <w:rPr>
          <w:sz w:val="20"/>
          <w:szCs w:val="20"/>
          <w:color w:val="auto"/>
        </w:rPr>
      </w:pPr>
      <w:r>
        <w:rPr>
          <w:rFonts w:ascii="Arial" w:cs="Arial" w:eastAsia="Arial" w:hAnsi="Arial"/>
          <w:sz w:val="18"/>
          <w:szCs w:val="18"/>
          <w:color w:val="auto"/>
        </w:rPr>
        <w:t>believe that such person’s conduct was unlawful. The Registrant is required to indemnify any present or former officer or director of the Registrant to the fullest extent allowed by the preceding paragraphs in the event of a change of control of Schlumberger (as defined in the articles of incorporation).</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in an action in the right of the company to procure a judgment in Schlumberger’s favor under the same conditions,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indemnification permitted under Schlumberger’s bylaws is not exclusive, and Schlumberger may purchase and maintain insurance against liabilities, whether or not indemnification would be permitted by its bylaws. Schlumberger maintains liability insurance for its directors and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has no such rights plan.</w:t>
      </w:r>
    </w:p>
    <w:p>
      <w:pPr>
        <w:sectPr>
          <w:pgSz w:w="11900" w:h="16838" w:orient="portrait"/>
          <w:cols w:equalWidth="0" w:num="2">
            <w:col w:w="6880" w:space="200"/>
            <w:col w:w="434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DESCRIPTION OF SCHLUMBERGER’S CAPITAL STOCK</w:t>
      </w:r>
    </w:p>
    <w:p>
      <w:pPr>
        <w:spacing w:after="0" w:line="177"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The following description of Schlumberger’s share capital is a summary. This summary is not complete and is subject to the complete text of Schlumberger’s articles of incorporation and amended and restated bylaws. Schlumberger’s articles of incorporation and amended and restated bylaws are exhibits to Schlumberger’s Annual Report on Form 10-K for the year ended December 31, 2009, and are incorporated in this proxy statement/prospectus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Issued and Treasury Shares</w:t>
      </w:r>
    </w:p>
    <w:p>
      <w:pPr>
        <w:spacing w:after="0" w:line="96"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Schlumberger may issue an aggregate of 3,000,000,000 shares of common stock, par value $0.01 per share. As of March 31, 2010, 1,334,212,164 shares of Schlumberger common stock were issued, of which 1,192,808,544 shares were outstanding and 141,403,620 shares were held by Schlumberger as treasury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Schlumberger may also issue an aggregate of 200,000,000 shares of preferred stock, par value $0.01 per share, which may be issued in one or more separate series. Under Schlumberger’s articles of incorporation, Schlumberger’s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proxy statement/prospectus.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outstanding shares of Schlumberger common stock (i.e., shares not held by Schlumberger)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Schlumberger common stock. The amount of dividends payable with respect to any fiscal year is determined by Schlumberger stockholders at the annual general meeting following such fiscal year, except that Schlumberger’s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Schlumberger’s “equity” (i.e., Schlumberger’s net asset value) at least equals the nominal capital (i.e., the aggregate par value of Schlumberger’s outstanding shares) and as a result of the distribution will not fall below the nominal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shares of Schlumberger common stock and each holder of Schlumberger preferred shares (if issued and outstanding)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one vote for each share registered in that holder’s name. Voting rights may be exercised in person or by proxy.</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Quorum. </w:t>
      </w:r>
      <w:r>
        <w:rPr>
          <w:rFonts w:ascii="Arial" w:cs="Arial" w:eastAsia="Arial" w:hAnsi="Arial"/>
          <w:sz w:val="16"/>
          <w:szCs w:val="16"/>
          <w:color w:val="auto"/>
        </w:rPr>
        <w:t>No action may be taken at any general meeting of Schlumberger stockholders unless a quorum consisting of the holders of at least one-half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Schlumberger or the amendment of Schlumberger’s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In general, any action requiring the approval of Schlumberger stockholders may be authorized by a majority of the votes cast (excluding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abstentions) at any meeting at which a quorum is present (subject to the quorum exception described above).</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 action to amend Schlumberger’s articles of incorporation or to dissolve Schlumberger can be taken, however, unless such action is approved by the holders of at least a majority of the shares outstanding and entitled to vote. In addition, holders of Schlumberger preferred stock (if issued and outstanding) would have additional rights to vote as a class on certain amendments to Schlumberger’s articles of incorporation that would adversely affect the preferred stock.</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sale or disposition of all or substantially all of the assets of Schlumberger must be approved by the holders of at least a majority of the shares outstanding and entitled to vote, except that under Schlumberger’s articles of incorporation this requirement does not apply to a reorganization or rearrangement of Schlumberger or any of Schlumberger’s subsidiaries or any of its assets in any transaction that does not result in any diminution of the beneficial interest of Schlumberger stockholders in Schlumberger’s assets.</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Under Schlumberger’s articles of incorporation, Schlumberger’s board of directors may move its corporate seat to, or convert Schlumberger into a legal entity under the laws of, another jurisdiction, and may change Schlumberger’s corporate domicile from the Netherlands Antilles to another jurisdiction to the extent allowed by applicable law. In certain cases, stockholder approval of such action may not be required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shares of Schlumberger common stock do not carry any preferential, preemptive or conversion rights, and there are no redemption provisions with respect to the Schlumberger common stock. The shares of Schlumberger preferred stock (if issued and outstanding) would not carry any preemptive rights, but Schlumberger’s board of directors could specify conversion rights, redemption provisions and (within limits) liquidation preferences with respect to one or more series of preferred stock. The board of directors may grant contract rights to acquire shares of Schlumberger’s capital stock.</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Upon delivery pursuant to the terms of the merger agreement, the shares of Schlumberger common stock deliverable to holders of Smith common stock will be 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Schlumberger Common Stock</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Schlumberger may for its own account purchase shares of Schlumberger common stock so long as one share of Schlumberger common stock remains outstanding and Schlumberger’s equity before and after such a purchase at least equals its nominal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Schlumberger stockholders. Schlumberger’s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accordance with applicable law, all general meetings of Schlumberger stockholders must be held in the Netherlands Antilles. The annual general meeting of Schlumberger stockholders is held on a date determined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Under Netherlands Antilles law, stockholders may not act by written consent without a meeting, unless all stockholders entitled to vote on the matter have cast a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Netherlands Antilles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Schlumberger’s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the event of liquidation, each share of Schlumberger common stock is entitled to equal rights after satisfaction of any preferred stock liquidation preference.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 and Registrar</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Schlumberger common stock is listed for trading on the NYSE, Euronext Paris, Euronext Amsterdam, the London Stock Exchange and the SIX Swiss Exchange. The transfer agent and registrar for Schlumberger common stock is Computershare Trust Company, N.A., Canton, Massachusetts.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 OF SMITH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to be elected to Class III for a term expiring in 2013:</w:t>
      </w:r>
    </w:p>
    <w:p>
      <w:pPr>
        <w:spacing w:after="0" w:line="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James R. Gibbs</w:t>
      </w:r>
      <w:r>
        <w:rPr>
          <w:rFonts w:ascii="Arial" w:cs="Arial" w:eastAsia="Arial" w:hAnsi="Arial"/>
          <w:sz w:val="16"/>
          <w:szCs w:val="16"/>
          <w:color w:val="auto"/>
        </w:rPr>
        <w:t>, 65, has been a director since 1990. He served as President and Chief Executive Officer of Frontier Oil Corporation from April 1992 until</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2008 and President and Chief Operating Officer of Frontier from January 1987 to April 1992. He joined Frontier Oil in February 1982 as Vice President of Finance and Administration and was appointed Executive Vice President in September 1985. He has served as a director of Frontier Oil, an independent oil refining and marketing company, since 1985 and as their Chairman of the Board since 1999. The Smith board of directors selected Mr. Gibbs to serve as a director because he has extensive direct knowledge of the oil and gas industry, having served in leadership roles in the industry for over 25 years, in particular as President of Frontier Oil for most of those years. In addition, Mr. Gibbs has a PhD in Economics and taught full time at Southern Methodist University. He also has intimate knowledge of Smith and its technology, market segment and management, gained through his 20-year tenure on Smith’s board of directors. With these characteristics, Mr. Gibbs provides a valuable perspective to his board service. The Smith board of directors believes that Mr. Gibbs is well regarded in the industry and among his peers, making him an effective independent lead director. Mr. Gibbs also serves as the Chairman of Smith’s Nominating and Corporate Governance Committee and a member of Smith’s Compensation and Benefits Committee.</w:t>
      </w:r>
    </w:p>
    <w:p>
      <w:pPr>
        <w:spacing w:after="0" w:line="11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Duane C. Radtke</w:t>
      </w:r>
      <w:r>
        <w:rPr>
          <w:rFonts w:ascii="Arial" w:cs="Arial" w:eastAsia="Arial" w:hAnsi="Arial"/>
          <w:sz w:val="16"/>
          <w:szCs w:val="16"/>
          <w:color w:val="auto"/>
        </w:rPr>
        <w:t>, 61, has been a director since 2009. He currently serves as the President and Chief Executive Officer of Valiant Exploration LLC and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Non-Executive Chairman of NFR Energy LLC, a private exploration and production company, a position he has held since August 2009. Mr. Radtke has served on the board of NFR Energy since June 2008. From April 2001 until December 2007, Mr. Radtke served as the President and Chief Executive Officer of Dominion Exploration and Production (“Dominion E&amp;P”) and Executive Vice President of Dominion Resources, Inc., the parent company of Dominion E&amp;P. The Smith board of directors selected Mr. Radtke to serve as a director because he has over 20 years of experience leading companies in the oil and gas industry. The Smith board of directors believes that Mr. Radtke is highly respected in the industry and among his peers, bringing extensive management and oversight expertise to the Smith board of directors.</w:t>
      </w:r>
    </w:p>
    <w:p>
      <w:pPr>
        <w:spacing w:after="0" w:line="113"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b w:val="1"/>
          <w:bCs w:val="1"/>
          <w:color w:val="auto"/>
        </w:rPr>
        <w:t>John Yearwood</w:t>
      </w:r>
      <w:r>
        <w:rPr>
          <w:rFonts w:ascii="Arial" w:cs="Arial" w:eastAsia="Arial" w:hAnsi="Arial"/>
          <w:sz w:val="16"/>
          <w:szCs w:val="16"/>
          <w:color w:val="auto"/>
        </w:rPr>
        <w:t>, 50, has been a director since 2006. He has served as Smith’s Chief Executive Officer, President and Chief Operating Officer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2009. He served as Executive Vice President and President Smith Completions and Production from August 2008 until December 2008. He served as a Senior Advisor to the Chief Executive Officer of Schlumberger from March 2006 until May 2008. From 1980 to March 2006, he served in a variety of positions at Schlumberger, much of which included responsibilities for businesses primarily focused outside of the United States, most recently as President—North and South America, Oilfield Services. The Smith board of directors selected Mr. Yearwood to serve as a director because he is Smith’s Chief Executive Officer and has over 20 years of leadership experience in the oilfield services industry, particularly concentrated on the international market. While at Schlumberger,</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Yearwood served as a charter member of the M-I SWACO executive committee, thus enhancing the Smith board of directors with his intimate knowledge and unique perspective of the M-I SWACO joint venture. A native of Trinidad &amp; Tobago, Mr. Yearwood also brings a strong international perspective and relationships to the Smith board of directors, which is especially relevant as Smith continues to expand outside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I directors to continue in office until 2011:</w:t>
      </w:r>
    </w:p>
    <w:p>
      <w:pPr>
        <w:spacing w:after="0" w:line="84"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Loren K. Carroll</w:t>
      </w:r>
      <w:r>
        <w:rPr>
          <w:rFonts w:ascii="Arial" w:cs="Arial" w:eastAsia="Arial" w:hAnsi="Arial"/>
          <w:sz w:val="16"/>
          <w:szCs w:val="16"/>
          <w:color w:val="auto"/>
        </w:rPr>
        <w:t>, 66, has been a director since 1987. From April 2006 until April 2008, he served as an advisor to Smith. From March 1994 until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2006, Mr. Carroll served as President and Chief Executive Officer of M-I SWACO. From 1992 (when he rejoined Smith) until 1994, he served as Smith’s Executive Vice President and Chief Financial Officer. He joined Smith in December 1984 and served as Vice President and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Chief Financial Officer until January 1988 and then Executive Vice President and Chief Financial Officer until March 1989. He serves as a director of KBR, Inc. (since 2007), an engineering, construction and services company; CGG - Veritas (since 2007), a geophysical services and equipment provider; Forest Oil Corporation (since 2006), an exploration and production company; and Fleetwood Enterprises, Inc. (since 1999), a manufacturer of motor homes. The Smith board of directors selected Mr. Carroll to serve as a director because he has direct and intimate knowledge of Smith and its M-I SWACO joint venture, its products and current technology as well as future technological needs. He also brings valuable management and finance expertise to the Smith board of directors. As a director at various other public companies, Mr. Carroll also provides direct and valuable experience in strategy, risk management and other corporate governance issues.</w:t>
      </w:r>
    </w:p>
    <w:p>
      <w:pPr>
        <w:spacing w:after="0" w:line="14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Dod A. Fraser</w:t>
      </w:r>
      <w:r>
        <w:rPr>
          <w:rFonts w:ascii="Arial" w:cs="Arial" w:eastAsia="Arial" w:hAnsi="Arial"/>
          <w:sz w:val="16"/>
          <w:szCs w:val="16"/>
          <w:color w:val="auto"/>
        </w:rPr>
        <w:t>, 59, has been a director since 2004. Mr. Fraser is the President of Sackett Partners Incorporated, a consulting company, and a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corporate boards. Mr. Fraser established Sackett Partners in 2000 upon retiring from a 27-year career in investment banking. From 1995 to 2000, Mr. Fraser was with The Chase Manhattan Bank, now JP Morgan Chase, where he was Managing Director, Group Executive of the global oil and gas group. Prior to that, Mr. Fraser was General Partner of Lazard Freres &amp; Co., which he joined in 1978. He serves as a director of Forest Oil Corporation (since 2000), an exploration and production company, and Acergy SA (since 2009), a subsea engineering and construction services company. He served as a director of Terra Industries, Inc., a producer of nitrogen products for agricultural, industrial and environmental markets, from 2003 until 2010. The Smith board of directors selected Mr. Fraser to serve as a director because he has valuable investment banking and financial expertise, including extensive experience with capital markets transactions and investments. The Smith board of directors also benefits from his service on the audit committees of other public companies. He serves as the Chairman of the Smith Audit Committee and as a member of the Smith Compensation and Benefits Committee.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II directors to continue in office until 2012:</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Robert Kelley</w:t>
      </w:r>
      <w:r>
        <w:rPr>
          <w:rFonts w:ascii="Arial" w:cs="Arial" w:eastAsia="Arial" w:hAnsi="Arial"/>
          <w:sz w:val="16"/>
          <w:szCs w:val="16"/>
          <w:color w:val="auto"/>
        </w:rPr>
        <w:t>, 64, has been a director since 2005. Since 2001, Mr. Kelley has served as the President of Kellco Investments, a private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From 1986 to 2001, Mr. Kelley served in several senior management roles including Chairman, President and Chief Executive Officer of Noble Affiliates, Inc. Prior to 1986, he was President and Chief Executive Officer of Samedan Oil Corporation, a subsidiary of Noble Energy Inc. He serves as a director of Cabot Oil &amp; Gas Corporation (since 2003), an exploration and production company, and OGE Energy Corp. (since 1996), an electric utility. The Smith board of directors selected Mr. Kelley to serve as a director because he has over 30 years of executive leadership experience. His tenure as a public company director, both within and outside Smith’s industry, equips him with valuable experience for many of the same issues that the Smith board of directors faces, such as executive compensation and succession planning. He serves as Chairman of the Smith Compensation and Benefits Committee and as a member of the Smith Audit Committee and Nominating and Corporate Governance Committee.</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Luiz Rodolfo Landim Machado</w:t>
      </w:r>
      <w:r>
        <w:rPr>
          <w:rFonts w:ascii="Arial" w:cs="Arial" w:eastAsia="Arial" w:hAnsi="Arial"/>
          <w:sz w:val="16"/>
          <w:szCs w:val="16"/>
          <w:color w:val="auto"/>
        </w:rPr>
        <w:t>, 53, has been a director since 2008. Mr. Landim has served as advisor to the President of the EBX Group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2009 and served as Chief Executive Officer of OSX Brasil S/A from June 2009 until April 2010. He served as Chief Executive Officer of OGX Petroleo e Gas S.A. from April 2008 until April 2009. From May 2006 until April 2008, he served as a member of the Board, the Executive President and the head of Investor Relations of MMX - Mineracao e Metalicos S.A. Prior to joining MMX, Mr. Landim served in various positions at Petroleo Brasileiro S.A. (Petrobras) from 1980 until April 2006, most recently as Chief Executive Officer of BR Distribuidora, a subsidiary of Petrobras. He serves as a director of the subsidiaries of the EBX Group, which include OGX Petroleo e Gas S.A. (since 2008), an exploration and production company; MMX - Mineracao e Matalicos S.A. (since 2006), a mining company; LLX Logistica S.A. (since 2007), a logistics company; and MPX Energia S.A. (since 2007), a power generation company. Mr. Landim served on the Board of Globex Utilidades S.A., a retail department store chain, from 2006 until 2009. The Smith board of directors selected Mr. Landim to serve as a director because he brings an international oil and gas industry perspective to the Smith board of directors. A native of Brazil, his intimate knowledge of the Brazilian exploration and production industry as well as his understanding of and experience in the Brazilian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international markets enable him to make meaningful contributions to Smith as it continues its international expansion. He serves as a member of the Smith Audit Committee and the Smith Nominating and Corporate Governance Committee.</w:t>
      </w:r>
    </w:p>
    <w:p>
      <w:pPr>
        <w:spacing w:after="0" w:line="12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Doug Rock</w:t>
      </w:r>
      <w:r>
        <w:rPr>
          <w:rFonts w:ascii="Arial" w:cs="Arial" w:eastAsia="Arial" w:hAnsi="Arial"/>
          <w:sz w:val="16"/>
          <w:szCs w:val="16"/>
          <w:color w:val="auto"/>
        </w:rPr>
        <w:t>, 63, has been a director since 1987 and has been Smith’s Chairman of the Board since 1991. Mr. Rock is currently Chairman of the Smith</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and a Special Executive Advisor to the Chief Executive Officer of Smith until his resignation, effective May 12, 2010. Mr. Rock joined Smith in 1974 and served as Chief Executive Officer, President and Chief Operating Officer from March 1989 until December 2008. He served as a director of Moneygram International, Inc. (from 2004 until 2009), a payment services company, and CE Franklin Ltd. (from 1999 until 2008), an oilfield distribution company, of which Smith owns 53%. The Smith board of directors selected Mr. Rock to serve as a director because of his many years of service as Chairman of the Board, President and Chief Executive Officer of Smith. Mr. Rock’s intimate and extensive knowledge of Smith and its employees, culture, technology, customers and market are a valuable asset to the Smith board of directors, particularly as the industry emerges from the recent economic crisis.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table shows, as of [—], 2010, certain information about stock ownership of all persons known to Smith to own of record or beneficially more than 5% of Smith’s outstanding common stock. This information is based upon information furnished to Smith by these persons and statements filed with the SEC. The number and percentage of shares beneficially owned is determined under SEC rules, and the information is not necessarily indicative of beneficial ownership for any other purpose. Under such rules, beneficial ownership includes any shares which the individual has the right to acquire within 60 days of [—], 2010 through the exercise of any stock option or any other right. Unless otherwise indicated in the footnotes, each person has sole voting and investment power (or shares such powers with his or her spouse) with respect to the shares shown as beneficially owned.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87"/>
              </w:rPr>
              <w:t>Amount and Nature of</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40" w:type="dxa"/>
            <w:vAlign w:val="bottom"/>
          </w:tcPr>
          <w:p>
            <w:pPr>
              <w:spacing w:after="0"/>
              <w:rPr>
                <w:sz w:val="14"/>
                <w:szCs w:val="14"/>
                <w:color w:val="auto"/>
              </w:rPr>
            </w:pPr>
          </w:p>
        </w:tc>
        <w:tc>
          <w:tcPr>
            <w:tcW w:w="260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88"/>
              </w:rPr>
              <w:t>Beneficial Ownership</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7"/>
              </w:rPr>
              <w:t>T. Rowe Price Associates, Inc.</w:t>
            </w:r>
          </w:p>
        </w:tc>
        <w:tc>
          <w:tcPr>
            <w:tcW w:w="4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18,335,302(1)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100 East Pratt Street</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Baltimore, Maryland 21202</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1040" w:type="dxa"/>
            <w:vAlign w:val="bottom"/>
          </w:tcPr>
          <w:p>
            <w:pPr>
              <w:spacing w:after="0"/>
              <w:rPr>
                <w:sz w:val="18"/>
                <w:szCs w:val="18"/>
                <w:color w:val="auto"/>
              </w:rPr>
            </w:pPr>
          </w:p>
        </w:tc>
        <w:tc>
          <w:tcPr>
            <w:tcW w:w="2600" w:type="dxa"/>
            <w:vAlign w:val="bottom"/>
            <w:gridSpan w:val="2"/>
          </w:tcPr>
          <w:p>
            <w:pPr>
              <w:jc w:val="right"/>
              <w:ind w:right="1080"/>
              <w:spacing w:after="0"/>
              <w:rPr>
                <w:sz w:val="20"/>
                <w:szCs w:val="20"/>
                <w:color w:val="auto"/>
              </w:rPr>
            </w:pPr>
            <w:r>
              <w:rPr>
                <w:rFonts w:ascii="Arial" w:cs="Arial" w:eastAsia="Arial" w:hAnsi="Arial"/>
                <w:sz w:val="18"/>
                <w:szCs w:val="18"/>
                <w:color w:val="auto"/>
              </w:rPr>
              <w:t>16,908,065(2)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82 Devonshire St.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Boston, MA 02109</w:t>
            </w: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36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14,736,712(3)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 East 52nd Street</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 York, NY 10022</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The Growth Fund</w:t>
            </w:r>
          </w:p>
        </w:tc>
        <w:tc>
          <w:tcPr>
            <w:tcW w:w="1040" w:type="dxa"/>
            <w:vAlign w:val="bottom"/>
          </w:tcPr>
          <w:p>
            <w:pPr>
              <w:spacing w:after="0"/>
              <w:rPr>
                <w:sz w:val="18"/>
                <w:szCs w:val="18"/>
                <w:color w:val="auto"/>
              </w:rPr>
            </w:pPr>
          </w:p>
        </w:tc>
        <w:tc>
          <w:tcPr>
            <w:tcW w:w="2600" w:type="dxa"/>
            <w:vAlign w:val="bottom"/>
            <w:gridSpan w:val="2"/>
          </w:tcPr>
          <w:p>
            <w:pPr>
              <w:jc w:val="right"/>
              <w:ind w:right="1080"/>
              <w:spacing w:after="0"/>
              <w:rPr>
                <w:sz w:val="20"/>
                <w:szCs w:val="20"/>
                <w:color w:val="auto"/>
              </w:rPr>
            </w:pPr>
            <w:r>
              <w:rPr>
                <w:rFonts w:ascii="Arial" w:cs="Arial" w:eastAsia="Arial" w:hAnsi="Arial"/>
                <w:sz w:val="18"/>
                <w:szCs w:val="18"/>
                <w:color w:val="auto"/>
              </w:rPr>
              <w:t>12,697,098(4)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333 South Hope Street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Los Angeles, California 90071</w:t>
            </w: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40" w:hanging="452"/>
        <w:spacing w:after="0" w:line="25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on January 11, 2010. Such filing indicates that T. Rowe Price Associates, Inc. (“Price Associates”) has sole voting power over 4,872,222 shares of Smith common stock and sole dispositive power over 18,335,302 shares of Smith common stock. These securities are owned by various individual and institutional investors for which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the beneficial owner of such securities.</w:t>
      </w:r>
    </w:p>
    <w:p>
      <w:pPr>
        <w:spacing w:after="0" w:line="63"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upon the statement on Schedule 13G filed with the SEC on February 16, 2010. Such filing indicates that FMR LLC has sole voting power over 257,616 shares of Smith common stock and sole dispositive power over 16,908,065 shares of Smith common stock.</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on January 29, 2010.</w:t>
      </w:r>
    </w:p>
    <w:p>
      <w:pPr>
        <w:spacing w:after="0" w:line="90" w:lineRule="exact"/>
        <w:rPr>
          <w:rFonts w:ascii="Arial" w:cs="Arial" w:eastAsia="Arial" w:hAnsi="Arial"/>
          <w:sz w:val="18"/>
          <w:szCs w:val="18"/>
          <w:color w:val="auto"/>
        </w:rPr>
      </w:pPr>
    </w:p>
    <w:p>
      <w:pPr>
        <w:ind w:left="460" w:right="120" w:hanging="452"/>
        <w:spacing w:after="0" w:line="294" w:lineRule="auto"/>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the statement on Schedule 13G filed with the SEC on February 12, 2010. Such filing indicates that The Growth Fund has sole voting power over 12,697,098 shares of Smith common stock and sole dispositive power over no shares of Smith common stock. Such filing also indicates that The Growth Fund is advised by CRMC which manages equity assets for various investment companies through two divisions, Capital Research Global Investors and Capital World Investors. These divisions generally function separately from each other with respect to investment research activities and they make investment decisions and proxy voting decisions for the investment companies on a separate basis.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table shows the number of shares of Smith common stock beneficially owned as of June 9, 2010 by each director or nominee for director, the executive officers named in the summary compensation table included in this proxy statement/prospectus, and all directors and executive officers as a group. Except as otherwise indicated, the persons listed below have sole voting power and investment power relating to the shares shown.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1"/>
              </w:rPr>
              <w:t>Amount and Nature of</w:t>
            </w:r>
          </w:p>
        </w:tc>
        <w:tc>
          <w:tcPr>
            <w:tcW w:w="13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Percent of</w:t>
            </w:r>
          </w:p>
        </w:tc>
      </w:tr>
      <w:tr>
        <w:trPr>
          <w:trHeight w:val="161"/>
        </w:trPr>
        <w:tc>
          <w:tcPr>
            <w:tcW w:w="808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85"/>
              </w:rPr>
              <w:t>Beneficial Ownership (1)</w:t>
            </w:r>
          </w:p>
        </w:tc>
        <w:tc>
          <w:tcPr>
            <w:tcW w:w="130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w:t>
            </w: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Loren K. Carroll</w:t>
            </w:r>
          </w:p>
        </w:tc>
        <w:tc>
          <w:tcPr>
            <w:tcW w:w="646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193,662</w:t>
            </w:r>
          </w:p>
        </w:tc>
        <w:tc>
          <w:tcPr>
            <w:tcW w:w="13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1440" w:type="dxa"/>
            <w:vAlign w:val="bottom"/>
          </w:tcPr>
          <w:p>
            <w:pPr>
              <w:jc w:val="right"/>
              <w:spacing w:after="0"/>
              <w:rPr>
                <w:sz w:val="20"/>
                <w:szCs w:val="20"/>
                <w:color w:val="auto"/>
              </w:rPr>
            </w:pPr>
            <w:r>
              <w:rPr>
                <w:rFonts w:ascii="Arial" w:cs="Arial" w:eastAsia="Arial" w:hAnsi="Arial"/>
                <w:sz w:val="18"/>
                <w:szCs w:val="18"/>
                <w:color w:val="auto"/>
              </w:rPr>
              <w:t>27,179</w:t>
            </w:r>
          </w:p>
        </w:tc>
        <w:tc>
          <w:tcPr>
            <w:tcW w:w="1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 (2)(3)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46,207</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Robert Kelley (4)</w:t>
            </w:r>
          </w:p>
        </w:tc>
        <w:tc>
          <w:tcPr>
            <w:tcW w:w="1440" w:type="dxa"/>
            <w:vAlign w:val="bottom"/>
          </w:tcPr>
          <w:p>
            <w:pPr>
              <w:jc w:val="right"/>
              <w:spacing w:after="0"/>
              <w:rPr>
                <w:sz w:val="20"/>
                <w:szCs w:val="20"/>
                <w:color w:val="auto"/>
              </w:rPr>
            </w:pPr>
            <w:r>
              <w:rPr>
                <w:rFonts w:ascii="Arial" w:cs="Arial" w:eastAsia="Arial" w:hAnsi="Arial"/>
                <w:sz w:val="18"/>
                <w:szCs w:val="18"/>
                <w:color w:val="auto"/>
              </w:rPr>
              <w:t>11,994</w:t>
            </w:r>
          </w:p>
        </w:tc>
        <w:tc>
          <w:tcPr>
            <w:tcW w:w="1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Duane C. Radtke</w:t>
            </w:r>
          </w:p>
        </w:tc>
        <w:tc>
          <w:tcPr>
            <w:tcW w:w="1440" w:type="dxa"/>
            <w:vAlign w:val="bottom"/>
          </w:tcPr>
          <w:p>
            <w:pPr>
              <w:jc w:val="right"/>
              <w:spacing w:after="0"/>
              <w:rPr>
                <w:sz w:val="20"/>
                <w:szCs w:val="20"/>
                <w:color w:val="auto"/>
              </w:rPr>
            </w:pPr>
            <w:r>
              <w:rPr>
                <w:rFonts w:ascii="Arial" w:cs="Arial" w:eastAsia="Arial" w:hAnsi="Arial"/>
                <w:sz w:val="18"/>
                <w:szCs w:val="18"/>
                <w:color w:val="auto"/>
              </w:rPr>
              <w:t>30,463</w:t>
            </w:r>
          </w:p>
        </w:tc>
        <w:tc>
          <w:tcPr>
            <w:tcW w:w="1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Restrepo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Christopher I. S. Rivers (5)</w:t>
            </w:r>
          </w:p>
        </w:tc>
        <w:tc>
          <w:tcPr>
            <w:tcW w:w="1440" w:type="dxa"/>
            <w:vAlign w:val="bottom"/>
          </w:tcPr>
          <w:p>
            <w:pPr>
              <w:jc w:val="right"/>
              <w:spacing w:after="0"/>
              <w:rPr>
                <w:sz w:val="20"/>
                <w:szCs w:val="20"/>
                <w:color w:val="auto"/>
              </w:rPr>
            </w:pPr>
            <w:r>
              <w:rPr>
                <w:rFonts w:ascii="Arial" w:cs="Arial" w:eastAsia="Arial" w:hAnsi="Arial"/>
                <w:sz w:val="18"/>
                <w:szCs w:val="18"/>
                <w:color w:val="auto"/>
              </w:rPr>
              <w:t>108,826</w:t>
            </w:r>
          </w:p>
        </w:tc>
        <w:tc>
          <w:tcPr>
            <w:tcW w:w="1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L. Dudman (5)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69,363</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Norman A. Mckay</w:t>
            </w: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K. Dorman</w:t>
            </w: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w w:val="81"/>
              </w:rPr>
              <w:t>(6)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Doug Rock</w:t>
            </w:r>
          </w:p>
        </w:tc>
        <w:tc>
          <w:tcPr>
            <w:tcW w:w="1440" w:type="dxa"/>
            <w:vAlign w:val="bottom"/>
          </w:tcPr>
          <w:p>
            <w:pPr>
              <w:jc w:val="right"/>
              <w:spacing w:after="0"/>
              <w:rPr>
                <w:sz w:val="20"/>
                <w:szCs w:val="20"/>
                <w:color w:val="auto"/>
              </w:rPr>
            </w:pPr>
            <w:r>
              <w:rPr>
                <w:rFonts w:ascii="Arial" w:cs="Arial" w:eastAsia="Arial" w:hAnsi="Arial"/>
                <w:sz w:val="18"/>
                <w:szCs w:val="18"/>
                <w:color w:val="auto"/>
              </w:rPr>
              <w:t>868,929</w:t>
            </w:r>
          </w:p>
        </w:tc>
        <w:tc>
          <w:tcPr>
            <w:tcW w:w="1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Yearwood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440" w:type="dxa"/>
            <w:vAlign w:val="bottom"/>
          </w:tcPr>
          <w:p>
            <w:pPr>
              <w:jc w:val="right"/>
              <w:spacing w:after="0"/>
              <w:rPr>
                <w:sz w:val="20"/>
                <w:szCs w:val="20"/>
                <w:color w:val="auto"/>
              </w:rPr>
            </w:pPr>
            <w:r>
              <w:rPr>
                <w:rFonts w:ascii="Arial" w:cs="Arial" w:eastAsia="Arial" w:hAnsi="Arial"/>
                <w:sz w:val="18"/>
                <w:szCs w:val="18"/>
                <w:color w:val="auto"/>
              </w:rPr>
              <w:t>1,615,953</w:t>
            </w:r>
          </w:p>
        </w:tc>
        <w:tc>
          <w:tcPr>
            <w:tcW w:w="1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80" w:hanging="452"/>
        <w:spacing w:after="0" w:line="250"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amounts reported include shares of Smith common stock that could be acquired within 60 days of April 22, 2010 through the exercise of stock options as follows: Mr. Carroll: 59,000 shares; Mr. Dudman: 4,800 shares; Mr. Rivers: 60,340 shares; and all directors and executive officers as a group: 158,790 shares.</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amounts reported do not include 24,000 restricted stock units held by Mr. Gibbs. Each such restricted stock unit represents a contingent right to receive one share of Smith common stock and was granted to Mr. Gibbs in 1999 in connection with the termination of the Directors’ Retirement Plan. The shares will not be issued until the restricted stock units vest upon retirement after ten years of service as a director. Mr. Gibbs currently has no voting or investment power with respect to the related shares of Smith common stock.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amounts reported include 2,000 shares held by Mr. Gibbs’ spouse.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amounts reported do not include 15,671 shares, the receipt of which were deferred by Mr. Kelley until his retirement from the Smith board of directors.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amounts reported include shares of Smith common stock allocated to accounts under a 401(k) plan as follows: Mr. Dudman: 24,209 shares; Mr. Rivers:</w:t>
      </w:r>
    </w:p>
    <w:p>
      <w:pPr>
        <w:spacing w:after="0" w:line="4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7,182 shares; and all directors and executive officers as a group: 32,139 shares.</w:t>
      </w:r>
    </w:p>
    <w:p>
      <w:pPr>
        <w:spacing w:after="0" w:line="9" w:lineRule="exact"/>
        <w:rPr>
          <w:rFonts w:ascii="Arial" w:cs="Arial" w:eastAsia="Arial" w:hAnsi="Arial"/>
          <w:sz w:val="15"/>
          <w:szCs w:val="15"/>
          <w:color w:val="auto"/>
        </w:rPr>
      </w:pPr>
    </w:p>
    <w:p>
      <w:pPr>
        <w:ind w:left="460" w:right="100" w:hanging="452"/>
        <w:spacing w:after="0" w:line="261"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Ms. Dorman resigned from her position with Smith, effective October 16, 2009. Smith is not reasonably able to determine at this time how many shares of Smith common stock are owned by Ms. Dorman.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 xml:space="preserve">Smith’s Corporate Governance Guidelines outline the functions of the Smith board of directors, director qualifications and responsibilities, and various processes and procedures designed to ensure effective and responsive governance. The full text of the guidelines is published on Smith’s website at </w:t>
      </w:r>
      <w:r>
        <w:rPr>
          <w:rFonts w:ascii="Arial" w:cs="Arial" w:eastAsia="Arial" w:hAnsi="Arial"/>
          <w:sz w:val="16"/>
          <w:szCs w:val="16"/>
          <w:i w:val="1"/>
          <w:iCs w:val="1"/>
          <w:color w:val="auto"/>
        </w:rPr>
        <w:t xml:space="preserve">www.smith.com </w:t>
      </w:r>
      <w:r>
        <w:rPr>
          <w:rFonts w:ascii="Arial" w:cs="Arial" w:eastAsia="Arial" w:hAnsi="Arial"/>
          <w:sz w:val="16"/>
          <w:szCs w:val="16"/>
          <w:color w:val="auto"/>
        </w:rPr>
        <w:t>under the “Investor Relations” caption and link to “Governance.” Smith stockholders may also obtain a free copy upon request by contacting</w:t>
      </w:r>
      <w:r>
        <w:rPr>
          <w:rFonts w:ascii="Arial" w:cs="Arial" w:eastAsia="Arial" w:hAnsi="Arial"/>
          <w:sz w:val="16"/>
          <w:szCs w:val="16"/>
          <w:i w:val="1"/>
          <w:iCs w:val="1"/>
          <w:color w:val="auto"/>
        </w:rPr>
        <w:t xml:space="preserve"> </w:t>
      </w:r>
      <w:r>
        <w:rPr>
          <w:rFonts w:ascii="Arial" w:cs="Arial" w:eastAsia="Arial" w:hAnsi="Arial"/>
          <w:sz w:val="16"/>
          <w:szCs w:val="16"/>
          <w:color w:val="auto"/>
        </w:rPr>
        <w:t>Smith’s Corporate Secretary, Smith International, Inc., 1310 Rankin Road, Houston, Texas 77073.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Role in Risk Management</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Smith’s board of directors currently consists of eight directors. Board agendas include regularly scheduled sessions for the independent directors to meet without management present. The independent board members have determined that a leadership structure in which Mr. Rock continues his service as Chairman provides the continuity required during a period in which Smith’s senior-most leadership has changed for the first time in over twenty years. The Smith board of directors has also determined that strong corporate governance requires an independent lead director to chair executive sessions of the non-management directors and to execute the responsibilities outlined below. The Smith board of directors has designated Mr. Gibbs as its Lead Director. As such his responsibilities are to:</w:t>
      </w:r>
    </w:p>
    <w:p>
      <w:pPr>
        <w:spacing w:after="0" w:line="19" w:lineRule="exact"/>
        <w:rPr>
          <w:sz w:val="20"/>
          <w:szCs w:val="20"/>
          <w:color w:val="auto"/>
        </w:rPr>
      </w:pPr>
    </w:p>
    <w:p>
      <w:pPr>
        <w:ind w:left="660" w:hanging="20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call meetings of the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serve as principal liaison on board-wide issues between the independent directors and the Chairman;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be available for consultation and director communication, if requested by any major stockholder.</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accordance with NYSE requirements, Smith’s Audit Committee is responsible for overseeing Smith’s financial reporting and internal operating controls, which includes Smith’s risk assessment and risk management policies, as discussed in more detail in the section titled “Audit Committee.” The Audit Committee receives reports at each regularly scheduled meeting from the Director of Internal Audit, Chief Ethics Officer and General Counsel, including updates on Smith’s Code of Business Conduct and Ethics and other relevant compliance matters. The Audit Committee also receives regular updates from management and the independent auditors. Material violations of Smith’s policies are identified to the Audit Committee promptly upon discovery, with full reports at the next regularly scheduled meetings. The Audit Committee approves Smith’s Internal Audit Plan, which includes an annual risk assessment, and receives regular updates on the status of the audit.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Annual Meetings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Smith board of directors and its committees meet throughout the year on a set schedule, and also hold special meetings and act by written consent from time to time as appropriate. The Smith board of directors held fourteen meetings during 2009. All directors attended at least 75% of the meetings of the board of directors and of all committees on which they served. Smith does not have a policy regarding directors’ attendance at the annual meeting of stockholders. Although no directors attended the 2009 annual meeting in person, all were available telephonically.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Smith board of directors annually evaluates the independence of the directors of Smith and has affirmatively determined that all directors are independent except Messrs. Rock and Yearwood, who are employees of Smith, and Mr. Carroll, who was an employee of Smith within the past three years. The Smith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board of directors’ determination regarding independence and financial expertise of its members is based on applicable laws and regulations, Smith’s Corporate Governance Guidelines, the rules of the SEC and NYSE and a review of any direct or indirect relationship between each director or his immediate family and Smith. To be considered independent, the Smith board of directors must affirmatively determine that a director has no material relationship with Smith. In each case, the Smith board of directors broadly considers all relevant facts and circumstances, including the director’s commercial, industrial, consulting, legal, accounting, charitable and familial relationships and such other criteria as the Smith board of directors may determine from time to time. In evaluating the independence of each non-employee director, the board considered that in the ordinary course of business Smith’s subsidiaries buy from or sell to companies with which its directors have relationships as follows:</w:t>
      </w:r>
    </w:p>
    <w:p>
      <w:pPr>
        <w:spacing w:after="0" w:line="37" w:lineRule="exact"/>
        <w:rPr>
          <w:sz w:val="20"/>
          <w:szCs w:val="20"/>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Gibbs is Chairman of the Board, and former President and Chief Executive Officer, of Frontier Oil Corporation.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Fraser is a director of Forest Oil Corporation and Terra Industries.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Kelley is a director of Cabot Oil &amp; Gas Corporation and OGE Energy Corp.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Landim is a director of Globex Utilidades S.A.</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Carroll is a director of Forest Oil Corporation.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Radtke is a director of NFR Energy; 35% owner of Juniper Exploration LLP and 100% owner of Valiant Exploration LLC.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these companies expect to continue their business relationship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Stockholders and interested parties who wish to communicate with the non-management directors as a group, the Lead Director, or with any individual director, may do so by contacting Smith’s Corporate Secretary at 1310 Rankin Road, Houston, Texas 77073. Smith’s Corporate Secretary will then relay all communications to the appropriate director or group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 xml:space="preserve">The Smith board of directors has delegated various responsibilities and authority to different board committees as described in this section of this Proxy Statement. The Smith board of directors has determined that all committee members are independent and satisfy the relevant additional independence requirements for the members of such committees imposed by the SEC, the NYSE or Smith. Each committee operates under a formal charter adopted by the Smith board of directors, the full text of which may be found on Smith’s website at </w:t>
      </w:r>
      <w:r>
        <w:rPr>
          <w:rFonts w:ascii="Arial" w:cs="Arial" w:eastAsia="Arial" w:hAnsi="Arial"/>
          <w:sz w:val="18"/>
          <w:szCs w:val="18"/>
          <w:i w:val="1"/>
          <w:iCs w:val="1"/>
          <w:color w:val="auto"/>
        </w:rPr>
        <w:t>www.smith.com</w:t>
      </w:r>
      <w:r>
        <w:rPr>
          <w:rFonts w:ascii="Arial" w:cs="Arial" w:eastAsia="Arial" w:hAnsi="Arial"/>
          <w:sz w:val="18"/>
          <w:szCs w:val="18"/>
          <w:color w:val="auto"/>
        </w:rPr>
        <w:t xml:space="preserve"> under the “Investor Relations” caption and link to “Governance.” Smith stockholders may also obtain a free copy upon request by contacting Smith’s Corporate Secretary, Smith International, Inc., 1310 Rankin Road, Houston, Texas 77073.</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Committees of the Smith Board of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0" w:type="dxa"/>
            <w:vAlign w:val="bottom"/>
          </w:tcPr>
          <w:p>
            <w:pPr>
              <w:spacing w:after="0"/>
              <w:rPr>
                <w:sz w:val="12"/>
                <w:szCs w:val="12"/>
                <w:color w:val="auto"/>
              </w:rPr>
            </w:pPr>
          </w:p>
        </w:tc>
        <w:tc>
          <w:tcPr>
            <w:tcW w:w="7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and</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and</w:t>
            </w:r>
          </w:p>
        </w:tc>
        <w:tc>
          <w:tcPr>
            <w:tcW w:w="10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Audit</w:t>
            </w:r>
          </w:p>
        </w:tc>
        <w:tc>
          <w:tcPr>
            <w:tcW w:w="10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Benefits</w:t>
            </w:r>
          </w:p>
        </w:tc>
        <w:tc>
          <w:tcPr>
            <w:tcW w:w="10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Governance</w:t>
            </w:r>
          </w:p>
        </w:tc>
      </w:t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Committee</w:t>
            </w:r>
          </w:p>
        </w:tc>
        <w:tc>
          <w:tcPr>
            <w:tcW w:w="10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10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Loren K. Carroll</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660" w:type="dxa"/>
            <w:vAlign w:val="bottom"/>
          </w:tcPr>
          <w:p>
            <w:pPr>
              <w:ind w:left="2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Robert Kelley</w:t>
            </w:r>
          </w:p>
        </w:tc>
        <w:tc>
          <w:tcPr>
            <w:tcW w:w="660" w:type="dxa"/>
            <w:vAlign w:val="bottom"/>
          </w:tcPr>
          <w:p>
            <w:pPr>
              <w:ind w:left="2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Duane C. Radtke</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Rock</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John Yearwood</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102"/>
        </w:trPr>
        <w:tc>
          <w:tcPr>
            <w:tcW w:w="116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35"/>
        </w:trPr>
        <w:tc>
          <w:tcPr>
            <w:tcW w:w="7160" w:type="dxa"/>
            <w:vAlign w:val="bottom"/>
            <w:gridSpan w:val="2"/>
          </w:tcPr>
          <w:p>
            <w:pPr>
              <w:spacing w:after="0"/>
              <w:rPr>
                <w:sz w:val="20"/>
                <w:szCs w:val="20"/>
                <w:color w:val="auto"/>
              </w:rPr>
            </w:pPr>
            <w:r>
              <w:rPr>
                <w:rFonts w:ascii="Arial" w:cs="Arial" w:eastAsia="Arial" w:hAnsi="Arial"/>
                <w:sz w:val="18"/>
                <w:szCs w:val="18"/>
                <w:color w:val="auto"/>
              </w:rPr>
              <w:t>*  Committee Chairman</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5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During 2009, the Audit Committee met ten times, including telephone meetings, to discuss relevant accounting, auditing, internal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disclosure matters. The Audit Committee’s responsibilities, discussed in detail in the charter include, among other duties, the responsibility to:</w:t>
      </w:r>
    </w:p>
    <w:p>
      <w:pPr>
        <w:spacing w:after="0" w:line="4" w:lineRule="exact"/>
        <w:rPr>
          <w:sz w:val="20"/>
          <w:szCs w:val="20"/>
          <w:color w:val="auto"/>
        </w:rPr>
      </w:pPr>
    </w:p>
    <w:p>
      <w:pPr>
        <w:ind w:left="660" w:hanging="20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assist the Smith board of directors in its general oversight of Smith’s auditing, financial reporting and internal control functions;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appoint, compensate and oversee the work of Smith’s independent registered public accounting firm;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 Smith’s compliance with corporate governance standards;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 the work and performance of Smith’s internal audit function.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Smith board of directors has determined that all members are financially literate and that all members qualify as audit committee financial experts.</w:t>
      </w:r>
    </w:p>
    <w:p>
      <w:pPr>
        <w:spacing w:after="0" w:line="19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Compensation and Benefits Committee. </w:t>
      </w:r>
      <w:r>
        <w:rPr>
          <w:rFonts w:ascii="Arial" w:cs="Arial" w:eastAsia="Arial" w:hAnsi="Arial"/>
          <w:sz w:val="18"/>
          <w:szCs w:val="18"/>
          <w:color w:val="auto"/>
        </w:rPr>
        <w:t>During 2009, the Compensation and Benefits Committee met ten times. The Compensation and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charter permits the Compensation and Benefits Committee to delegate its authority to sub-committees. The Compensation and Benefits Committee’s responsibilities, discussed in detail in the charter include, among other duties, the responsibility to:</w:t>
      </w:r>
    </w:p>
    <w:p>
      <w:pPr>
        <w:spacing w:after="0" w:line="59" w:lineRule="exact"/>
        <w:rPr>
          <w:sz w:val="20"/>
          <w:szCs w:val="20"/>
          <w:color w:val="auto"/>
        </w:rPr>
      </w:pPr>
    </w:p>
    <w:p>
      <w:pPr>
        <w:ind w:left="660" w:right="120" w:hanging="206"/>
        <w:spacing w:after="0" w:line="268"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 Smith’s executive compensation program, including approving corporate goals and objectives relating to Chief Executive Officer compensation and evaluating Chief Executive Officer performance in light of such goals and objectives;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review Smith’s employee benefits and incentive compensation plans and programs, including their establishment, modification and administration;</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 and make recommendations to the Smith board of directors with respect to director compensation;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review and discuss with management the “Compensation Discussion and Analysis” and recommend its inclusion in this proxy statement/prospectus.</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Nominating and Corporate Governance Committee. </w:t>
      </w:r>
      <w:r>
        <w:rPr>
          <w:rFonts w:ascii="Arial" w:cs="Arial" w:eastAsia="Arial" w:hAnsi="Arial"/>
          <w:sz w:val="16"/>
          <w:szCs w:val="16"/>
          <w:color w:val="auto"/>
        </w:rPr>
        <w:t>During 2009, the Nominating and Corporate Governance Committee met five times. The Nominating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Corporate Governance Committee’s responsibilities, discussed in detail in the charter include, among other duties, the responsibility to:</w:t>
      </w:r>
    </w:p>
    <w:p>
      <w:pPr>
        <w:spacing w:after="0" w:line="4" w:lineRule="exact"/>
        <w:rPr>
          <w:sz w:val="20"/>
          <w:szCs w:val="20"/>
          <w:color w:val="auto"/>
        </w:rPr>
      </w:pPr>
    </w:p>
    <w:p>
      <w:pPr>
        <w:ind w:left="660" w:right="180" w:hanging="206"/>
        <w:spacing w:after="0" w:line="268"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monitor developments in corporate governance principles and standards and develop and recommend to the Smith board of directors a set of corporate governance guidelines;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identify and review the qualifications of director candidates and make recommendations for board membership and structure;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 and evaluate the effectiveness of Smith’s management succession plan;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administer a process to measure the effectiveness of the Smith board of directors and its committees.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Nominations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Nominating and Corporate Governance Committee will consider nominees proposed by stockholders. To recommend a prospective nominee for the Nominating and Corporate Governance Committee’s consideration, you may submit the candidate’s name and qualifications to Smith’s Corporate Secretary at 1310 Rankin Road, Houston, Texas 77073. Recommendations from stockholders for nominees must be received by Smith’s Corporate Secretary within the parameters set forth under the section “Stockholders’ Proposals.”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for identifying and evaluating director nominees includes the following steps:</w:t>
      </w:r>
    </w:p>
    <w:p>
      <w:pPr>
        <w:spacing w:after="0" w:line="90" w:lineRule="exact"/>
        <w:rPr>
          <w:sz w:val="20"/>
          <w:szCs w:val="20"/>
          <w:color w:val="auto"/>
        </w:rPr>
      </w:pPr>
    </w:p>
    <w:p>
      <w:pPr>
        <w:ind w:left="1480" w:right="200" w:hanging="567"/>
        <w:spacing w:after="0" w:line="268" w:lineRule="auto"/>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Chairman of the Board or other board members identify a need to fill vacancies or add newly created directorships;</w:t>
      </w:r>
    </w:p>
    <w:p>
      <w:pPr>
        <w:spacing w:after="0" w:line="5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Chairman of the Nominating and Corporate Governance Committee initiates a search and seeks input from board members and senior management and, if necessary, hires a search firm or obtains advice from legal or other advisors;</w:t>
      </w:r>
    </w:p>
    <w:p>
      <w:pPr>
        <w:spacing w:after="0" w:line="50" w:lineRule="exact"/>
        <w:rPr>
          <w:rFonts w:ascii="Arial" w:cs="Arial" w:eastAsia="Arial" w:hAnsi="Arial"/>
          <w:sz w:val="18"/>
          <w:szCs w:val="18"/>
          <w:color w:val="auto"/>
        </w:rPr>
      </w:pPr>
    </w:p>
    <w:p>
      <w:pPr>
        <w:ind w:left="1480" w:right="480" w:hanging="567"/>
        <w:spacing w:after="0" w:line="268" w:lineRule="auto"/>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director candidates, including any candidates properly proposed by stockholders in accordance with Smith’s bylaws, are identified and presented to the Nominating and Corporate Governance Committee;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initial interviews of candidates are conducted by the Chairman of the Nominating and Corporate Governance Committee;</w:t>
      </w:r>
    </w:p>
    <w:p>
      <w:pPr>
        <w:spacing w:after="0" w:line="9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meets to consider and approve final candidate(s) and conduct further interviews as necessary; and</w:t>
      </w:r>
    </w:p>
    <w:p>
      <w:pPr>
        <w:spacing w:after="0" w:line="50"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makes recommendations to the full board for inclusion in the slate of directors at the annual meeting.</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evaluation process will be the same whether the nominee is recommended by a stockholder or by a member of the Smith board of directors. The Nominating and Corporate Governance Committee is responsible for establishing the selection criteria for candidates from time to time and reviewing with the board such criteria and the appropriate skills and characteristics required of board members in the context of the then current make-up of the Smith board of directors. Annually, the Nominating and Corporate Governance Committee evaluates the directors that are then up for election and, at least annually, evaluates the then current needs and composition of the Smith board of directors, including the effectiveness of the board’s diversity initiative. At a minimum, the Nominating and Corporate Governance Committee must be satisfied that each nominee for director has the necessary business and/or professional knowledge and experience relevant to Smith, its business and the goals and perspectives of its stockholders; is well regarded in the community, with a long term, good reputation for high ethical standards; has good common sense and judgment; has a positive record of accomplishment in present and prior positions; has an excellent reputation for preparation, attendance, participation, interest and initiative on other boards on which he or she may serve; and has the time, energy, interest and willingness to become involved in Smith and its future. In addition, the Smith board of directors believes that an important component of a board of directors is diversity, including background, skills, experience, expertise, gender, race and culture. In considering individuals as candidates for board membership, the Nominating and Corporate Governance Committee seeks to attain such diversity in board composition. Any search firm retained to assist the Nominating and Corporate Governance Committee is advised to seek to include diverse candidates from traditional and nontraditional pools.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During 2009, Messrs. Gibbs, Fraser and Kelley served as members of Smith’s Compensation and Benefits Committee. None of the Compensation and Benefits Committee members has served as an employee or officer of Smith, and none of Smith’s executive officers has served as a director or member of the compensation committee of another entity, which has an executive officer serving as a member of the Smith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All of Smith’s officers, employees and directors are required to comply with Smith’s Code of Business Conduct and Ethics to help ensure that Smith’s business is conducted in accordance with the highest standards of ethical behavior. Smith’s Code of Business Conduct and Ethics covers all areas of professional conduct, including customer relationships, conflicts of interest, insider trading, financial disclosure, intellectual property and confidential information, as well as requiring strict adherence to all laws and regulations applicable to Smith’s business. Employees may report any violations or suspected violations of the Code by using Smith’s ethics hotline. The Code includes an anti-retaliation statement. The full text of the Code of Business Conduct and Ethics, as well as any waiver of a provision of the Code granted to any senior officer or director or material amendment to the Code, if any, is published on Smith’s website at </w:t>
      </w:r>
      <w:r>
        <w:rPr>
          <w:rFonts w:ascii="Arial" w:cs="Arial" w:eastAsia="Arial" w:hAnsi="Arial"/>
          <w:sz w:val="16"/>
          <w:szCs w:val="16"/>
          <w:i w:val="1"/>
          <w:iCs w:val="1"/>
          <w:color w:val="auto"/>
        </w:rPr>
        <w:t>www.smith.com</w:t>
      </w:r>
      <w:r>
        <w:rPr>
          <w:rFonts w:ascii="Arial" w:cs="Arial" w:eastAsia="Arial" w:hAnsi="Arial"/>
          <w:sz w:val="16"/>
          <w:szCs w:val="16"/>
          <w:color w:val="auto"/>
        </w:rPr>
        <w:t xml:space="preserve"> under the “Investor Relations” caption and link to “Governance.” Stockholders may also obtain a free copy upon request by contacting the Smith Corporate Secretary, Smith International, Inc., 1310 Rankin Road, Houston, Texas 77073.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Compensation Objectives. </w:t>
      </w:r>
      <w:r>
        <w:rPr>
          <w:rFonts w:ascii="Arial" w:cs="Arial" w:eastAsia="Arial" w:hAnsi="Arial"/>
          <w:sz w:val="18"/>
          <w:szCs w:val="18"/>
          <w:color w:val="auto"/>
        </w:rPr>
        <w:t>Smith has designed its executive compensation program to reward its executives based on Smith, business unit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The general objectives of Smith’s executive compensation program are to:</w:t>
      </w:r>
    </w:p>
    <w:p>
      <w:pPr>
        <w:spacing w:after="0" w:line="51" w:lineRule="exact"/>
        <w:rPr>
          <w:sz w:val="20"/>
          <w:szCs w:val="20"/>
          <w:color w:val="auto"/>
        </w:rPr>
      </w:pPr>
    </w:p>
    <w:p>
      <w:pPr>
        <w:ind w:left="660" w:hanging="206"/>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Attract and retain the best available individuals to serve on Smith’s executive team;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Motivate Smith’s executives to achieve Smith’s short- and long-term financial and operational goals;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Align Smith’s executives’ interests with those of its other stockholders.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Compensation Philosophy. </w:t>
      </w:r>
      <w:r>
        <w:rPr>
          <w:rFonts w:ascii="Arial" w:cs="Arial" w:eastAsia="Arial" w:hAnsi="Arial"/>
          <w:sz w:val="18"/>
          <w:szCs w:val="18"/>
          <w:color w:val="auto"/>
        </w:rPr>
        <w:t>The Compensation and Benefits Committee (referred to as the “Compensation Committee”) bases its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philosophy on the following principles:</w:t>
      </w:r>
    </w:p>
    <w:p>
      <w:pPr>
        <w:spacing w:after="0" w:line="51" w:lineRule="exact"/>
        <w:rPr>
          <w:sz w:val="20"/>
          <w:szCs w:val="20"/>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significant portion of executive compensation should be variable and dependent on company and business unit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principal measures of performance should be annual financial measures versus specified goals.</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Of the at-risk portion, a significant amount should be paid in equity with vesting restrictions (i) to align executive interests with those of Smith’s other stockholders and (ii) to promote long-term retention of Smith’s executives.</w:t>
      </w:r>
    </w:p>
    <w:p>
      <w:pPr>
        <w:spacing w:after="0" w:line="50" w:lineRule="exact"/>
        <w:rPr>
          <w:rFonts w:ascii="Arial" w:cs="Arial" w:eastAsia="Arial" w:hAnsi="Arial"/>
          <w:sz w:val="18"/>
          <w:szCs w:val="18"/>
          <w:color w:val="auto"/>
        </w:rPr>
      </w:pPr>
    </w:p>
    <w:p>
      <w:pPr>
        <w:ind w:left="660" w:right="140" w:hanging="206"/>
        <w:spacing w:after="0" w:line="332" w:lineRule="auto"/>
        <w:tabs>
          <w:tab w:leader="none" w:pos="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Corporate executives’ incentive compensation plans should be tied to overall corporate performance whereas business unit executives’ plans should be tied in part to overall corporate performance and in part to the business unit performance for which they are responsible.</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aftermath of the economic crisis, the Compensation Committee conducted an extensive review of Smith’s compensation policies to ensure that performance goals were aligned not only with long-term stockholder interests but also with Smith’s need to weather the crisis. In addition to emphasizing stockholder value objectives such as earnings per share and return on net capital employed, the Compensation Committee added specific identifiable goals related to cash flow, day-sales-outstanding and inventory reduction objectives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that are crucial to Smith in a downturn. The Compensation Committee anticipates that it will continue using personal objectives in setting annual compensation goals, such as participation in quality, heath, environmental and safety initiatives or other types of activities requiring personal involvement of the executive officers that support the business success of Smith.</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Decision Process. </w:t>
      </w:r>
      <w:r>
        <w:rPr>
          <w:rFonts w:ascii="Arial" w:cs="Arial" w:eastAsia="Arial" w:hAnsi="Arial"/>
          <w:sz w:val="16"/>
          <w:szCs w:val="16"/>
          <w:color w:val="auto"/>
        </w:rPr>
        <w:t>The Compensation Committee makes all executive compensation decisions. The Compensation Committee retained Pearl Meyer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(referred to in this section as “Pearl Meyer”), an independent compensation consultant, to assist it in the decision making process. Pearl Meyer works for the Compensation Committee and does not undertake assignments for management that exceed $120,000 per year.</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October of each year, the Compensation Committee reviews preliminary recommendations from Pearl Meyer based on current and comparative compensation data, including benchmarking results as discussed below. For all executive officers other than the Chief Executive Officer, the Compensation Committee reviews recommendations and comparative data provided by Pearl Meyer and, in conjunction with additional input from the Chief Executive Officer and Senior Vice President of Human Resources, especially as to individual executive performance, makes its decision. For the Chief Executive Officer, the Compensation Committee uses recommendations and comparative data provided by Pearl Meyer in making its decision.</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Generally, the Compensation Committee makes final compensation decisions and sets performance targets in December of each year to correspond with the business plan for Smith’s upcoming fiscal year and with their evaluation of executive performance for the current year. Executive compensation decisions become effective January 1 of the upcoming fiscal year. With the exception of equity incentive awards for new hires or promotions, which are typically granted at the next Compensation Committee meeting after the hire or promotion date, Smith grants equity incentive awards only in December.</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Benchmarking Group. </w:t>
      </w:r>
      <w:r>
        <w:rPr>
          <w:rFonts w:ascii="Arial" w:cs="Arial" w:eastAsia="Arial" w:hAnsi="Arial"/>
          <w:sz w:val="16"/>
          <w:szCs w:val="16"/>
          <w:color w:val="auto"/>
        </w:rPr>
        <w:t>The worldwide energy industry is a competitive environment for executive talent. To attract and retain a high level of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Smith must remain competitive with the pay of companies with whom it competes for executive talent. Pearl Meyer provides Smith with general compensation information related to Smith’s industry and specific compensation information related to a group of companies in Smith’s industry whose executives have similar duties and responsibilities. The following companies compose Smith’s benchmarking group:</w:t>
      </w:r>
    </w:p>
    <w:p>
      <w:pPr>
        <w:sectPr>
          <w:pgSz w:w="11900" w:h="16838" w:orient="portrait"/>
          <w:cols w:equalWidth="0" w:num="1">
            <w:col w:w="11420"/>
          </w:cols>
          <w:pgMar w:left="240" w:top="459" w:right="239" w:bottom="1440" w:gutter="0" w:footer="0" w:header="0"/>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•Baker Hughes Incorporated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•Halliburton Company</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•BJ Services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•National Oilwell Varco, Inc.</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•Cameron International Corporation</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6"/>
          <w:szCs w:val="16"/>
          <w:color w:val="auto"/>
        </w:rPr>
        <w:t>•Schlumberger Limited</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•FMC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•Weatherford International Ltd.</w:t>
      </w:r>
    </w:p>
    <w:p>
      <w:pPr>
        <w:spacing w:after="0" w:line="194"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Executive Position Grade Levels. </w:t>
      </w:r>
      <w:r>
        <w:rPr>
          <w:rFonts w:ascii="Arial" w:cs="Arial" w:eastAsia="Arial" w:hAnsi="Arial"/>
          <w:sz w:val="16"/>
          <w:szCs w:val="16"/>
          <w:color w:val="auto"/>
        </w:rPr>
        <w:t>Smith has established nine executive management grade levels. Smith assigns all executive officers in Smith to a grade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consistent with the responsibility and authority of the position. The Compensation Committee, with the assistance of Pearl Meyer, uses the grade levels to establish guidelines for salary, target annual incentive awards, target long-term incentive awards, and perquisite benefits. The grade level for each individual executive officer typically corresponds to his or her management position; however, occasionally Smith may advance an individual to a higher level to recognize exceptional contributions. Variable pay awards and equity grants, as well as perquisite benefits, are consistent within each grade level.</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Fixed versus Variable Pay. </w:t>
      </w:r>
      <w:r>
        <w:rPr>
          <w:rFonts w:ascii="Arial" w:cs="Arial" w:eastAsia="Arial" w:hAnsi="Arial"/>
          <w:sz w:val="18"/>
          <w:szCs w:val="18"/>
          <w:color w:val="auto"/>
        </w:rPr>
        <w:t>Smith divides its compensation program into two general categories, fixed and variable pay. Fixed pay consists of base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provides Smith’s executive officers with a level of assured cash compensation appropriate for their positions within Smith. Variable pay includes annual cash bonus awards and annual equity awards (each as explained in more detail below) and is the largest component of executive management’s total target compensation. Typically, the equity awards to executive officers are solely performance-based awards that are not earned unless financial performance goals are met.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Matrices. </w:t>
      </w:r>
      <w:r>
        <w:rPr>
          <w:rFonts w:ascii="Arial" w:cs="Arial" w:eastAsia="Arial" w:hAnsi="Arial"/>
          <w:sz w:val="16"/>
          <w:szCs w:val="16"/>
          <w:color w:val="auto"/>
        </w:rPr>
        <w:t>At the beginning of each year, the Compensation Committee approves consolidated and business unit performance matrices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targets for the variable-pay component of executive compensation. Generally, these matrices are based on the financial performance goals established in Smith’s annual business plan, supplemented by personal objectives relevant to each business segment. Because the goals are pre-determined and market conditions fluctuate throughout the year, the performance goals may not correspond to Smith’s actual results.</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This process has resulted in the establishment of performance goals that are not easily met and require excellent performance and effort by management regardless of general market conditions. For instance, in performance year 2008, when Smith reported record earnings and returns during a period of robust market activity in the oilfield service industry, the annual cash bonus awards for Smith’s named executive officers ranged from 44% to 200% of target and the performance-based equity awards were 92.6% of target. For performance year 2009, Smith’s results suffered from the extreme economic recession, particularly with respect to the North American gas drilling industry, and the annual cash bonus awards for Smith’s named executive officers ranged from 0% to 79% of target and the performance-based equity awards were 63.2% of target. For the last three years, the awards to the named executive officers as a percent of target are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800" w:type="dxa"/>
            <w:vAlign w:val="bottom"/>
            <w:gridSpan w:val="6"/>
          </w:tcPr>
          <w:p>
            <w:pPr>
              <w:jc w:val="center"/>
              <w:ind w:left="802"/>
              <w:spacing w:after="0"/>
              <w:rPr>
                <w:sz w:val="20"/>
                <w:szCs w:val="20"/>
                <w:color w:val="auto"/>
              </w:rPr>
            </w:pPr>
            <w:r>
              <w:rPr>
                <w:rFonts w:ascii="Arial" w:cs="Arial" w:eastAsia="Arial" w:hAnsi="Arial"/>
                <w:sz w:val="14"/>
                <w:szCs w:val="14"/>
                <w:b w:val="1"/>
                <w:bCs w:val="1"/>
                <w:color w:val="auto"/>
                <w:w w:val="87"/>
              </w:rPr>
              <w:t>Percentage of Target Award Paid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8"/>
              </w:rPr>
              <w:t>for Each Performance Year:</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92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Annual Cash Bonus Award</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 - 79%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- 200%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 - 162%</w:t>
            </w:r>
          </w:p>
        </w:tc>
        <w:tc>
          <w:tcPr>
            <w:tcW w:w="20" w:type="dxa"/>
            <w:vAlign w:val="bottom"/>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Annual Equity Award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Alignment of Interests with Stockholders. </w:t>
      </w:r>
      <w:r>
        <w:rPr>
          <w:rFonts w:ascii="Arial" w:cs="Arial" w:eastAsia="Arial" w:hAnsi="Arial"/>
          <w:sz w:val="16"/>
          <w:szCs w:val="16"/>
          <w:color w:val="auto"/>
        </w:rPr>
        <w:t>Long-term equity incentives comprise a significant portion of total compensation for Smith’s executives. Smith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all long-term equity incentives as restricted stock units which vest ratably over either three or four years, depending on the type of award (three years for performance-based awards and four years for time-based awards). As a result, executives receive a significant amount of equity in Smith, thereby aligning their interests with those of the stockholders and providing incentive to avoid excessive risks. For instance, for the 2010 performance-year awards granted in December of 2009, approximately 70% of the total target compensation to the Smith Chief Executive Officer was in equity-based performance awards. Equity-based compensation awards constituted 50% to 68% of the total target compensation to the other named executive officers and 40% to 55% of the total target compensation to the other executive officers. In determining the type of equity awards to grant, the Compensation Committee evaluated, among other considerations, the required accounting treatment and other tax and accounting implications of various types of equity awards. The Compensation Committee selected restricted stock units (“units”), discussed below, as the equity award component because Smith can offer equal long-term value as it could with stock options while issuing fewer shares, thus reducing the dilution effect of the equity program. Performance-based unit awards are earned only when the financial performance goals are met and are forfeited prior to issuance of the common stock if the financial performance goals are not met. All unit awards contain a retention element and align executive management with stockholder interests. For these reasons, the Compensation Committee has determined that units are the most appropriate long-term equity based incentive for Smith and are the only type of equity incentive that Smith currently awards to its executive officers.</w:t>
      </w:r>
    </w:p>
    <w:p>
      <w:pPr>
        <w:spacing w:after="0" w:line="121"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The Compensation Committee encourages stock ownership by executive management and periodically considers the appropriateness of implementing stock ownership guidelines. The Compensation Committee has chosen not to require stock ownership guidelines for the executive management at this time. Smith’s Insider Trading Policy prohibits Smith’s executive officers from engaging in any hedging or monetization transactions involving Smith securities.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Components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Base Salary. </w:t>
      </w:r>
      <w:r>
        <w:rPr>
          <w:rFonts w:ascii="Arial" w:cs="Arial" w:eastAsia="Arial" w:hAnsi="Arial"/>
          <w:sz w:val="18"/>
          <w:szCs w:val="18"/>
          <w:color w:val="auto"/>
        </w:rPr>
        <w:t>The Compensation Committee sets salaries for each executive by reference to the executive grade level of the position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The criteria used in evaluating individual performance, including that of the Smith Chief Executive Officer, vary depending on the executive’s function, but generally include:</w:t>
      </w:r>
    </w:p>
    <w:p>
      <w:pPr>
        <w:spacing w:after="0" w:line="59" w:lineRule="exact"/>
        <w:rPr>
          <w:sz w:val="20"/>
          <w:szCs w:val="20"/>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Leadership inside and outside Smith;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Advancing Smith’s interests with customers, vendors and in other business relationships;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Product quality and development;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Advancement in skills and responsibility;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Financial results.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2009 year, base salary represents 14% of Chief Executive Officer total target compensation and between approximately 17% and 30% of total target compensation for the other named executive officers. Base salary generally remains at the median level of the salary range, but may exceed the median if deemed appropriate by the Compensation Committee.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Annual Cash Bonus. </w:t>
      </w:r>
      <w:r>
        <w:rPr>
          <w:rFonts w:ascii="Arial" w:cs="Arial" w:eastAsia="Arial" w:hAnsi="Arial"/>
          <w:sz w:val="16"/>
          <w:szCs w:val="16"/>
          <w:color w:val="auto"/>
        </w:rPr>
        <w:t>Smith’s executive officers participate in the Executive Officer Annual Incentive Plan (“AIP”) which provides for annual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bonuses. For the 2009 year, the Compensation Committee tied 14% of Chief Executive Officer total target compensation and between 15% and 20% of each other named executive officer’s total target compensation to the achievement of financial performance goals under the AIP.</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Participants in the AIP can earn an annual cash bonus based upon the achievement of Smith’s established financial performance goals, supplemented by personal goals set for each executive officer, for each fiscal year, as described above in “Fixed versus Variable Pay” and “Performance Matrices”. The target annual bonus percentages for the executive officers are determined based upon the grade level of the executive officer and are generally close to the median of the benchmarking group. The payout award, if any, is determined by multiplying the actual annual cash bonus percentage earned by the product of the target annual cash bonus percentage times the executive’s base salary.</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Depending upon Smith’s financial performance, the AIP payout can range from zero to 200% of the target annual cash bonus percentage. Upon the achievement of the target financial performance goals, participants earn 100% of their target annual cash bonus.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Compensation Committee has no discretion to increase any award after establishing the performance targets, but may decrease or eliminate any annual bonus award, even if Smith or the executive meets the established performance targets. The Committee periodically uses such negative discretion as an additional catalyst to encourage compliance with particular personal goals for the executive management that emerge during the fiscal year and that were not initially included in the performance matrices. Smith intends that the AIP comply with Section 162(m) of the Internal Revenue Code of 1986, as amended (the “Code”) so that amounts paid under the AIP will be fully deductible by Smith for federal income tax purposes.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Annual Restricted Stock Unit Award. </w:t>
      </w:r>
      <w:r>
        <w:rPr>
          <w:rFonts w:ascii="Arial" w:cs="Arial" w:eastAsia="Arial" w:hAnsi="Arial"/>
          <w:sz w:val="16"/>
          <w:szCs w:val="16"/>
          <w:color w:val="auto"/>
        </w:rPr>
        <w:t>The annual restricted stock unit (“unit”) award, issued pursuant to the Third Amended and Restated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Compensation Plan (“LTIP”), is the largest single component of total target annual compensation. Units represent the right to receive shares of common stock in the future, depending upon the achievement of the target equity goal for the coming year (for performance-based unit awards) or continued employment with Smith (for time-based unit awards). As discussed above, in typical years, executive officers receive only performance-based unit awards. As discussed above, generally the Compensation Committee makes compensation decisions for the upcoming fiscal year in December of each year. In December 2008, the global business environment was significantly deteriorating and the economic outlook was extremely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volatile, particularly as related to projections for oil price and rig count, two key drivers for Smith’s business. In addition, the market value of Smith’s common stock had declined significantly from the beginning of 2008, as had that of the S&amp;P 500 Index, the Philadelphia Oil Service Index (OSX), and Smith’s peer companies, including those of Smith’s benchmarking group. It was against this backdrop that Smith’s Compensation Committee made their compensation decisions for 2009.</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When approving the December 2008 equity awards for the 2009 performance year, the Compensation Committee considered the possibility that global industry conditions, along with general economic market conditions, could worsen beyond any then-current projections. In that case, 2009 performance targets may not have been reasonably achievable for non-operational related reasons outside the control or influence of management, resulting in a zero payout for all performance-based compensation. Historically, Smith had granted equity awards to its executive officers that were 100% performance-based. To ensure the retention value of the 2009 equity pay component, particularly during the uncertain market conditions, the Compensation Committee granted 20% of the total equity awards as time-based units for all executive officers, except Smith’s Chief Executive Officer, Mr. Yearwood. The remaining 80% of the equity awards continued to consist of performance-based units. Mr. Yearwood received only performance-based units. The Compensation Committee viewed the 2009 performance period award structure as a one-time change due to the extenuating circumstances of the economic crisis. It did not contemplate continuing this mix of performance-based and time-based unit awards to the executive officers and returned in December 2009 to granting only performance-based units to the executive officers.</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Compensation Committee sets the monetary value of the awards by grade level for equity awards with all executive officers in the same grade level receiving unit awards of the same monetary value. The awards for the 2009 and 2010 performance years were in the range of the 50</w:t>
      </w:r>
      <w:r>
        <w:rPr>
          <w:rFonts w:ascii="Arial" w:cs="Arial" w:eastAsia="Arial" w:hAnsi="Arial"/>
          <w:sz w:val="10"/>
          <w:szCs w:val="10"/>
          <w:color w:val="auto"/>
        </w:rPr>
        <w:t>th</w:t>
      </w:r>
      <w:r>
        <w:rPr>
          <w:rFonts w:ascii="Arial" w:cs="Arial" w:eastAsia="Arial" w:hAnsi="Arial"/>
          <w:sz w:val="16"/>
          <w:szCs w:val="16"/>
          <w:color w:val="auto"/>
        </w:rPr>
        <w:t xml:space="preserve"> percentile of equity awards granted by the benchmarking group. Award recipients do not own the underlying shares until the awards have been earned and vested; accordingly, participants have no voting rights on the shares and do not receive dividends until the shares are earned and vested. The number of target units granted is determined based on the closing price of the common stock on the date of grant, discounted for the present value of the dividends that are not paid on the unvested shares based on the dividend rate at the time of the award. The time-based units vest in equal installments over a four-year period based on continued employment requirements. If the performance-based units are earned at year-end by meeting the predetermined financial performance goals, they vest in equal installments over a three-year period based on continued employment requirements.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Depending upon performance, the payout for the performance-based unit awards for the 2009 performance year could range from zero to 130% of the target. Upon the achievement of the target equity goal, participants earn 100% of the units awarded. Once the financial performance goals have been set, the Compensation Committee does not exercise any discretion in the number of units awarded. In December 2009, the Compensation Committee evaluated the payout range for the executive officers. In order to encourage extraordinary efforts by Smith’s senior leadership team, the Compensation Committee increased the maximum payout to 150% of the target for the top four grade levels beginning with the 2010 performance year awards.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2009 Compensation and Performance Year Awards.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2009 corporate performance metrics, set in March 2009 and used in the AIP, are (i) earnings per share and (ii) return on net capital employed, together composing 80% of the AIP goal, and cash flow generation based on a consolidated receivable and inventory reduction goal composing 20% of the AIP goal. The LTIP performance matrix is based on a return on net capital employed goal. Both of these sets of metrics are shown in the tables below. The business unit metrics for the AIP are set for each specific business unit and include (i) earnings and return on operating assets or return on net capital employed goals and (ii) free cash flow or a combination of day-sales-outstanding and inventory reduction goals. When consolidated, the business unit goals align with the consolidated AIP goals. The Compensation Committee selected these financial measurements because these metrics are readily understood by the executives, provide a balanced incentive to increase income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while managing Smith’s investment in its net assets, and relate directly to the creation of economic value that is ultimately reflected in share value.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Annual Cash Bonus. </w:t>
      </w:r>
      <w:r>
        <w:rPr>
          <w:rFonts w:ascii="Arial" w:cs="Arial" w:eastAsia="Arial" w:hAnsi="Arial"/>
          <w:sz w:val="16"/>
          <w:szCs w:val="16"/>
          <w:color w:val="auto"/>
        </w:rPr>
        <w:t>For the 2009 performance year, the grade level and target AIP percentages for the named executive officers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440" w:type="dxa"/>
            <w:vAlign w:val="bottom"/>
          </w:tcPr>
          <w:p>
            <w:pPr>
              <w:spacing w:after="0"/>
              <w:rPr>
                <w:sz w:val="14"/>
                <w:szCs w:val="14"/>
                <w:color w:val="auto"/>
              </w:rPr>
            </w:pPr>
          </w:p>
        </w:tc>
        <w:tc>
          <w:tcPr>
            <w:tcW w:w="28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Performance Year 2009</w:t>
            </w:r>
          </w:p>
        </w:tc>
        <w:tc>
          <w:tcPr>
            <w:tcW w:w="0" w:type="dxa"/>
            <w:vAlign w:val="bottom"/>
          </w:tcPr>
          <w:p>
            <w:pPr>
              <w:spacing w:after="0"/>
              <w:rPr>
                <w:sz w:val="1"/>
                <w:szCs w:val="1"/>
                <w:color w:val="auto"/>
              </w:rPr>
            </w:pPr>
          </w:p>
        </w:tc>
      </w:tr>
      <w:tr>
        <w:trPr>
          <w:trHeight w:val="142"/>
        </w:trPr>
        <w:tc>
          <w:tcPr>
            <w:tcW w:w="3420" w:type="dxa"/>
            <w:vAlign w:val="bottom"/>
            <w:gridSpan w:val="3"/>
            <w:vMerge w:val="continue"/>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Grade Level</w:t>
            </w:r>
          </w:p>
        </w:tc>
        <w:tc>
          <w:tcPr>
            <w:tcW w:w="19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Target AIP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332" w:lineRule="auto"/>
        <w:tabs>
          <w:tab w:leader="none" w:pos="4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Mr. Rock serves as Smith’s Chairman of the Board, which was an executive officer position during 2009. During 2009, he was compensated as a Special Executive Advisor pursuant to his employment agreement and so was not in any particular officer grade level.</w:t>
      </w:r>
    </w:p>
    <w:p>
      <w:pPr>
        <w:spacing w:after="0" w:line="4"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Ms. Dorman served as Smith’s Executive Vice President, Chief Financial Officer and Treasurer until October 2009.</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AIP target goals for the 2009 performance year included a performance matrix with a corporate earnings per share target of $1.34 and a return on net capital employed target of 15.5% representing 80% of the plan goals. The remaining 20% of the plan goals included a consolidated receivable and inventory reduction goal of $1,148 million. The metrics are set forth below. For the 2009 performance year, Smith’s earnings per share were $0.66, return on net capital employed was 11.7% and consolidated receivable and inventory reductions from December 31, 2008 were $1,009 million; resulting in a payout of 15.4% to Messrs. Rock, Yearwood and Restrepo.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179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217930"/>
                    </a:xfrm>
                    <a:prstGeom prst="rect">
                      <a:avLst/>
                    </a:prstGeom>
                    <a:noFill/>
                  </pic:spPr>
                </pic:pic>
              </a:graphicData>
            </a:graphic>
          </wp:anchor>
        </w:drawing>
      </w:r>
    </w:p>
    <w:p>
      <w:pPr>
        <w:spacing w:after="0" w:line="17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ANNUAL PERFORMANCE PLAN 2009 CORPORATE PERFORMANCE MATRIX–80%</w:t>
      </w:r>
    </w:p>
    <w:tbl>
      <w:tblPr>
        <w:tblLayout w:type="fixed"/>
        <w:tblInd w:w="0" w:type="dxa"/>
        <w:tblCellMar>
          <w:top w:w="0" w:type="dxa"/>
          <w:left w:w="0" w:type="dxa"/>
          <w:bottom w:w="0" w:type="dxa"/>
          <w:right w:w="0" w:type="dxa"/>
        </w:tblCellMar>
      </w:tblPr>
      <w:tr>
        <w:trPr>
          <w:trHeight w:val="142"/>
        </w:trPr>
        <w:tc>
          <w:tcPr>
            <w:tcW w:w="26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EARNINGS PER SHARE</w:t>
            </w:r>
          </w:p>
        </w:tc>
        <w:tc>
          <w:tcPr>
            <w:tcW w:w="8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spacing w:after="0"/>
              <w:rPr>
                <w:sz w:val="12"/>
                <w:szCs w:val="12"/>
                <w:color w:val="auto"/>
              </w:rPr>
            </w:pPr>
          </w:p>
        </w:tc>
      </w:tr>
      <w:tr>
        <w:trPr>
          <w:trHeight w:val="237"/>
        </w:trPr>
        <w:tc>
          <w:tcPr>
            <w:tcW w:w="2640" w:type="dxa"/>
            <w:vAlign w:val="bottom"/>
          </w:tcPr>
          <w:p>
            <w:pPr>
              <w:ind w:left="880"/>
              <w:spacing w:after="0"/>
              <w:rPr>
                <w:sz w:val="20"/>
                <w:szCs w:val="20"/>
                <w:color w:val="auto"/>
              </w:rPr>
            </w:pPr>
            <w:r>
              <w:rPr>
                <w:rFonts w:ascii="Arial" w:cs="Arial" w:eastAsia="Arial" w:hAnsi="Arial"/>
                <w:sz w:val="14"/>
                <w:szCs w:val="14"/>
                <w:b w:val="1"/>
                <w:bCs w:val="1"/>
                <w:color w:val="auto"/>
                <w:w w:val="95"/>
              </w:rPr>
              <w:t>RETURN ON NET CAPITAL</w:t>
            </w:r>
          </w:p>
        </w:tc>
        <w:tc>
          <w:tcPr>
            <w:tcW w:w="7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left="152"/>
              <w:spacing w:after="0"/>
              <w:rPr>
                <w:sz w:val="20"/>
                <w:szCs w:val="20"/>
                <w:color w:val="auto"/>
              </w:rPr>
            </w:pPr>
            <w:r>
              <w:rPr>
                <w:rFonts w:ascii="Arial" w:cs="Arial" w:eastAsia="Arial" w:hAnsi="Arial"/>
                <w:sz w:val="14"/>
                <w:szCs w:val="14"/>
                <w:b w:val="1"/>
                <w:bCs w:val="1"/>
                <w:color w:val="auto"/>
                <w:w w:val="97"/>
              </w:rPr>
              <w:t>ACTUAL</w:t>
            </w:r>
          </w:p>
        </w:tc>
        <w:tc>
          <w:tcPr>
            <w:tcW w:w="9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THRESHOLD</w:t>
            </w:r>
          </w:p>
        </w:tc>
        <w:tc>
          <w:tcPr>
            <w:tcW w:w="8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TARGET</w:t>
            </w:r>
          </w:p>
        </w:tc>
        <w:tc>
          <w:tcPr>
            <w:tcW w:w="8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MAXIMUM</w:t>
            </w:r>
          </w:p>
        </w:tc>
      </w:tr>
      <w:tr>
        <w:trPr>
          <w:trHeight w:val="142"/>
        </w:trPr>
        <w:tc>
          <w:tcPr>
            <w:tcW w:w="2640" w:type="dxa"/>
            <w:vAlign w:val="bottom"/>
            <w:tcBorders>
              <w:bottom w:val="single" w:sz="8" w:color="auto"/>
            </w:tcBorders>
          </w:tcPr>
          <w:p>
            <w:pPr>
              <w:ind w:left="1360"/>
              <w:spacing w:after="0" w:line="142" w:lineRule="exact"/>
              <w:rPr>
                <w:sz w:val="20"/>
                <w:szCs w:val="20"/>
                <w:color w:val="auto"/>
              </w:rPr>
            </w:pPr>
            <w:r>
              <w:rPr>
                <w:rFonts w:ascii="Arial" w:cs="Arial" w:eastAsia="Arial" w:hAnsi="Arial"/>
                <w:sz w:val="14"/>
                <w:szCs w:val="14"/>
                <w:b w:val="1"/>
                <w:bCs w:val="1"/>
                <w:color w:val="auto"/>
              </w:rPr>
              <w:t>EMPLOYED</w:t>
            </w:r>
          </w:p>
        </w:tc>
        <w:tc>
          <w:tcPr>
            <w:tcW w:w="740" w:type="dxa"/>
            <w:vAlign w:val="bottom"/>
            <w:tcBorders>
              <w:bottom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$0.66</w:t>
            </w:r>
          </w:p>
        </w:tc>
        <w:tc>
          <w:tcPr>
            <w:tcW w:w="9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&lt;$0.94</w:t>
            </w:r>
          </w:p>
        </w:tc>
        <w:tc>
          <w:tcPr>
            <w:tcW w:w="1440" w:type="dxa"/>
            <w:vAlign w:val="bottom"/>
            <w:tcBorders>
              <w:bottom w:val="single" w:sz="8" w:color="auto"/>
              <w:right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$0.94</w:t>
            </w:r>
          </w:p>
        </w:tc>
        <w:tc>
          <w:tcPr>
            <w:tcW w:w="88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$1.14</w:t>
            </w:r>
          </w:p>
        </w:tc>
        <w:tc>
          <w:tcPr>
            <w:tcW w:w="1140" w:type="dxa"/>
            <w:vAlign w:val="bottom"/>
            <w:tcBorders>
              <w:bottom w:val="single" w:sz="8" w:color="auto"/>
              <w:right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$1.34</w:t>
            </w:r>
          </w:p>
        </w:tc>
        <w:tc>
          <w:tcPr>
            <w:tcW w:w="88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$1.47</w:t>
            </w:r>
          </w:p>
        </w:tc>
        <w:tc>
          <w:tcPr>
            <w:tcW w:w="142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$1.61</w:t>
            </w:r>
          </w:p>
        </w:tc>
      </w:tr>
      <w:tr>
        <w:trPr>
          <w:trHeight w:val="142"/>
        </w:trPr>
        <w:tc>
          <w:tcPr>
            <w:tcW w:w="264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&lt;10.9%</w:t>
            </w: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1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2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0%</w:t>
            </w:r>
          </w:p>
        </w:tc>
      </w:tr>
      <w:tr>
        <w:trPr>
          <w:trHeight w:val="167"/>
        </w:trPr>
        <w:tc>
          <w:tcPr>
            <w:tcW w:w="264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10.9%</w:t>
            </w:r>
          </w:p>
        </w:tc>
        <w:tc>
          <w:tcPr>
            <w:tcW w:w="11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110%</w:t>
            </w:r>
          </w:p>
        </w:tc>
      </w:tr>
      <w:tr>
        <w:trPr>
          <w:trHeight w:val="136"/>
        </w:trPr>
        <w:tc>
          <w:tcPr>
            <w:tcW w:w="2640" w:type="dxa"/>
            <w:vAlign w:val="bottom"/>
            <w:tcBorders>
              <w:top w:val="single" w:sz="8" w:color="CCEEFF"/>
              <w:bottom w:val="single" w:sz="8" w:color="auto"/>
              <w:right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920" w:type="dxa"/>
            <w:vAlign w:val="bottom"/>
            <w:tcBorders>
              <w:top w:val="single" w:sz="8" w:color="CCEEFF"/>
              <w:bottom w:val="single" w:sz="8" w:color="auto"/>
              <w:right w:val="single" w:sz="8" w:color="auto"/>
            </w:tcBorders>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11.7%</w:t>
            </w:r>
          </w:p>
        </w:tc>
        <w:tc>
          <w:tcPr>
            <w:tcW w:w="1140" w:type="dxa"/>
            <w:vAlign w:val="bottom"/>
            <w:tcBorders>
              <w:top w:val="single" w:sz="8" w:color="auto"/>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96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420" w:type="dxa"/>
            <w:vAlign w:val="bottom"/>
            <w:tcBorders>
              <w:top w:val="single" w:sz="8" w:color="CCEEFF"/>
              <w:bottom w:val="single" w:sz="8" w:color="auto"/>
            </w:tcBorders>
            <w:shd w:val="clear" w:color="auto" w:fill="CCEEFF"/>
          </w:tcPr>
          <w:p>
            <w:pPr>
              <w:spacing w:after="0"/>
              <w:rPr>
                <w:sz w:val="11"/>
                <w:szCs w:val="11"/>
                <w:color w:val="auto"/>
              </w:rPr>
            </w:pPr>
          </w:p>
        </w:tc>
      </w:tr>
      <w:tr>
        <w:trPr>
          <w:trHeight w:val="167"/>
        </w:trPr>
        <w:tc>
          <w:tcPr>
            <w:tcW w:w="26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13.2%</w:t>
            </w:r>
          </w:p>
        </w:tc>
        <w:tc>
          <w:tcPr>
            <w:tcW w:w="11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125%</w:t>
            </w:r>
          </w:p>
        </w:tc>
      </w:tr>
      <w:tr>
        <w:trPr>
          <w:trHeight w:val="136"/>
        </w:trPr>
        <w:tc>
          <w:tcPr>
            <w:tcW w:w="2640" w:type="dxa"/>
            <w:vAlign w:val="bottom"/>
            <w:tcBorders>
              <w:top w:val="single" w:sz="8" w:color="CCEEFF"/>
              <w:bottom w:val="single" w:sz="8" w:color="auto"/>
              <w:right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b w:val="1"/>
                <w:bCs w:val="1"/>
                <w:color w:val="auto"/>
              </w:rPr>
              <w:t>TARGET</w:t>
            </w:r>
          </w:p>
        </w:tc>
        <w:tc>
          <w:tcPr>
            <w:tcW w:w="920" w:type="dxa"/>
            <w:vAlign w:val="bottom"/>
            <w:tcBorders>
              <w:top w:val="single" w:sz="8" w:color="CCEEFF"/>
              <w:bottom w:val="single" w:sz="8" w:color="auto"/>
              <w:right w:val="single" w:sz="8" w:color="auto"/>
            </w:tcBorders>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15.5%</w:t>
            </w:r>
          </w:p>
        </w:tc>
        <w:tc>
          <w:tcPr>
            <w:tcW w:w="11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96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144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60%</w:t>
            </w:r>
          </w:p>
        </w:tc>
        <w:tc>
          <w:tcPr>
            <w:tcW w:w="88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75%</w:t>
            </w:r>
          </w:p>
        </w:tc>
        <w:tc>
          <w:tcPr>
            <w:tcW w:w="1140" w:type="dxa"/>
            <w:vAlign w:val="bottom"/>
            <w:tcBorders>
              <w:top w:val="single" w:sz="8" w:color="auto"/>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100%</w:t>
            </w:r>
          </w:p>
        </w:tc>
        <w:tc>
          <w:tcPr>
            <w:tcW w:w="88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125%</w:t>
            </w:r>
          </w:p>
        </w:tc>
        <w:tc>
          <w:tcPr>
            <w:tcW w:w="1420" w:type="dxa"/>
            <w:vAlign w:val="bottom"/>
            <w:tcBorders>
              <w:top w:val="single" w:sz="8" w:color="CCEEFF"/>
              <w:bottom w:val="single" w:sz="8" w:color="auto"/>
            </w:tcBorders>
            <w:shd w:val="clear" w:color="auto" w:fill="CCEEFF"/>
          </w:tcPr>
          <w:p>
            <w:pPr>
              <w:jc w:val="right"/>
              <w:ind w:right="92"/>
              <w:spacing w:after="0" w:line="136" w:lineRule="exact"/>
              <w:rPr>
                <w:sz w:val="20"/>
                <w:szCs w:val="20"/>
                <w:color w:val="auto"/>
              </w:rPr>
            </w:pPr>
            <w:r>
              <w:rPr>
                <w:rFonts w:ascii="Arial" w:cs="Arial" w:eastAsia="Arial" w:hAnsi="Arial"/>
                <w:sz w:val="14"/>
                <w:szCs w:val="14"/>
                <w:color w:val="auto"/>
              </w:rPr>
              <w:t>150%</w:t>
            </w:r>
          </w:p>
        </w:tc>
      </w:tr>
      <w:tr>
        <w:trPr>
          <w:trHeight w:val="142"/>
        </w:trPr>
        <w:tc>
          <w:tcPr>
            <w:tcW w:w="26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17.1%</w:t>
            </w:r>
          </w:p>
        </w:tc>
        <w:tc>
          <w:tcPr>
            <w:tcW w:w="114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125%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150%</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175%</w:t>
            </w:r>
          </w:p>
        </w:tc>
      </w:tr>
      <w:tr>
        <w:trPr>
          <w:trHeight w:val="142"/>
        </w:trPr>
        <w:tc>
          <w:tcPr>
            <w:tcW w:w="264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920" w:type="dxa"/>
            <w:vAlign w:val="bottom"/>
            <w:tcBorders>
              <w:bottom w:val="single" w:sz="8" w:color="auto"/>
              <w:right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18.6%</w:t>
            </w: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w:t>
            </w:r>
          </w:p>
        </w:tc>
        <w:tc>
          <w:tcPr>
            <w:tcW w:w="11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w:t>
            </w:r>
          </w:p>
        </w:tc>
        <w:tc>
          <w:tcPr>
            <w:tcW w:w="142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155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PERFORMANCE PLAN 2009 CORPORATE PERFORMANCE MATRIX – 20%</w:t>
      </w:r>
    </w:p>
    <w:tbl>
      <w:tblPr>
        <w:tblLayout w:type="fixed"/>
        <w:tblInd w:w="10" w:type="dxa"/>
        <w:tblCellMar>
          <w:top w:w="0" w:type="dxa"/>
          <w:left w:w="0" w:type="dxa"/>
          <w:bottom w:w="0" w:type="dxa"/>
          <w:right w:w="0" w:type="dxa"/>
        </w:tblCellMar>
      </w:tblPr>
      <w:tr>
        <w:trPr>
          <w:trHeight w:val="133"/>
        </w:trPr>
        <w:tc>
          <w:tcPr>
            <w:tcW w:w="3760" w:type="dxa"/>
            <w:vAlign w:val="bottom"/>
            <w:tcBorders>
              <w:top w:val="single" w:sz="8" w:color="auto"/>
              <w:left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CONSOLIDATED RECEIVABLE AND INVENTORY</w:t>
            </w:r>
          </w:p>
        </w:tc>
        <w:tc>
          <w:tcPr>
            <w:tcW w:w="380" w:type="dxa"/>
            <w:vAlign w:val="bottom"/>
            <w:tcBorders>
              <w:top w:val="single" w:sz="8" w:color="auto"/>
              <w:right w:val="single" w:sz="8" w:color="auto"/>
            </w:tcBorders>
          </w:tcPr>
          <w:p>
            <w:pPr>
              <w:spacing w:after="0"/>
              <w:rPr>
                <w:sz w:val="11"/>
                <w:szCs w:val="11"/>
                <w:color w:val="auto"/>
              </w:rPr>
            </w:pPr>
          </w:p>
        </w:tc>
        <w:tc>
          <w:tcPr>
            <w:tcW w:w="7280" w:type="dxa"/>
            <w:vAlign w:val="bottom"/>
            <w:tcBorders>
              <w:top w:val="single" w:sz="8" w:color="auto"/>
              <w:right w:val="single" w:sz="8" w:color="auto"/>
            </w:tcBorders>
          </w:tcPr>
          <w:p>
            <w:pPr>
              <w:spacing w:after="0"/>
              <w:rPr>
                <w:sz w:val="11"/>
                <w:szCs w:val="11"/>
                <w:color w:val="auto"/>
              </w:rPr>
            </w:pPr>
          </w:p>
        </w:tc>
      </w:tr>
      <w:tr>
        <w:trPr>
          <w:trHeight w:val="175"/>
        </w:trPr>
        <w:tc>
          <w:tcPr>
            <w:tcW w:w="376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8"/>
              </w:rPr>
              <w:t>REDUCTION FROM DECEMBER 31, 2008 (IN MILLIONS)</w:t>
            </w:r>
          </w:p>
        </w:tc>
        <w:tc>
          <w:tcPr>
            <w:tcW w:w="380" w:type="dxa"/>
            <w:vAlign w:val="bottom"/>
            <w:tcBorders>
              <w:bottom w:val="single" w:sz="8" w:color="auto"/>
              <w:right w:val="single" w:sz="8" w:color="auto"/>
            </w:tcBorders>
          </w:tcPr>
          <w:p>
            <w:pPr>
              <w:spacing w:after="0"/>
              <w:rPr>
                <w:sz w:val="15"/>
                <w:szCs w:val="15"/>
                <w:color w:val="auto"/>
              </w:rPr>
            </w:pPr>
          </w:p>
        </w:tc>
        <w:tc>
          <w:tcPr>
            <w:tcW w:w="728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b w:val="1"/>
                <w:bCs w:val="1"/>
                <w:color w:val="auto"/>
              </w:rPr>
              <w:t>PAYOUT EARNED</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&lt;804</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0.0%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804</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20.0%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861</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36.0%</w:t>
            </w:r>
          </w:p>
        </w:tc>
      </w:tr>
      <w:tr>
        <w:trPr>
          <w:trHeight w:val="142"/>
        </w:trPr>
        <w:tc>
          <w:tcPr>
            <w:tcW w:w="252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918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52.0%</w:t>
            </w:r>
          </w:p>
        </w:tc>
      </w:tr>
      <w:tr>
        <w:trPr>
          <w:trHeight w:val="162"/>
        </w:trPr>
        <w:tc>
          <w:tcPr>
            <w:tcW w:w="25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976</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68.0%</w:t>
            </w:r>
          </w:p>
        </w:tc>
      </w:tr>
      <w:tr>
        <w:trPr>
          <w:trHeight w:val="136"/>
        </w:trPr>
        <w:tc>
          <w:tcPr>
            <w:tcW w:w="252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124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1,009</w:t>
            </w:r>
          </w:p>
        </w:tc>
        <w:tc>
          <w:tcPr>
            <w:tcW w:w="7280" w:type="dxa"/>
            <w:vAlign w:val="bottom"/>
            <w:tcBorders>
              <w:bottom w:val="single" w:sz="8" w:color="auto"/>
              <w:right w:val="single" w:sz="8" w:color="auto"/>
            </w:tcBorders>
          </w:tcPr>
          <w:p>
            <w:pPr>
              <w:jc w:val="right"/>
              <w:ind w:right="2752"/>
              <w:spacing w:after="0" w:line="136" w:lineRule="exact"/>
              <w:rPr>
                <w:sz w:val="20"/>
                <w:szCs w:val="20"/>
                <w:color w:val="auto"/>
              </w:rPr>
            </w:pPr>
            <w:r>
              <w:rPr>
                <w:rFonts w:ascii="Arial" w:cs="Arial" w:eastAsia="Arial" w:hAnsi="Arial"/>
                <w:sz w:val="14"/>
                <w:szCs w:val="14"/>
                <w:color w:val="auto"/>
              </w:rPr>
              <w:t>77.2%</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1,033</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84.0%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TARGET</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1,148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100.0%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1,205</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125.0%</w:t>
            </w:r>
          </w:p>
        </w:tc>
      </w:tr>
      <w:tr>
        <w:trPr>
          <w:trHeight w:val="142"/>
        </w:trPr>
        <w:tc>
          <w:tcPr>
            <w:tcW w:w="252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1,263</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150.0%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1,320</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175.0%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1,378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200.0%</w:t>
            </w:r>
          </w:p>
        </w:tc>
      </w:tr>
    </w:tbl>
    <w:p>
      <w:pPr>
        <w:spacing w:after="0" w:line="15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business unit matrices and payout calculations follow a similar model, with the same payout range, but with targets that are specific to each business unit. The actual performance levels achieved by the business units were below the target goals, resulting in Messrs. Rivers, Dudman and Mckay (pro-rated for time of employment) earning 58.7%, 0% and 79.2%, respectively, of their target annual cash bonus percentage. Because Ms. Dorman was not an employee as of December 31, 2009, she did not earn any award under the AIP.</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Annual Equity Award. </w:t>
      </w:r>
      <w:r>
        <w:rPr>
          <w:rFonts w:ascii="Arial" w:cs="Arial" w:eastAsia="Arial" w:hAnsi="Arial"/>
          <w:sz w:val="16"/>
          <w:szCs w:val="16"/>
          <w:color w:val="auto"/>
        </w:rPr>
        <w:t>All units granted to Mr. Yearwood in 2008 for the 2009 performance year were performance-based units. Messrs. Rivers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Dudman received a mix of 80% performance-based units and 20% time-based units. Because Mr. Mckay joined the Company in November 2009, he did not receive any performance-based units for the 2009 performance year. No units were granted to Mr. Rock in 2008 for the 2009 performance year. The target for the 2009 performance year was return on net capital employed was 15.5%, the same level as for the AIP. The matrix is set forth below. For the 2009 performance year, Smith’s return on net capital employed was 11.67%, resulting in each individual earning 63.2% of their target unit award. Because Ms. Dorman was not an employee as of December 31, 2009, she did not receive any performance-based unit awards based on the criteria set forth above. Her settlement agreement is described in the section titled “Employment Agreements”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184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844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PERFORMANCE-BASED RESTRICTED SHARES</w:t>
      </w:r>
    </w:p>
    <w:p>
      <w:pPr>
        <w:jc w:val="center"/>
        <w:spacing w:after="0" w:line="237" w:lineRule="auto"/>
        <w:rPr>
          <w:sz w:val="20"/>
          <w:szCs w:val="20"/>
          <w:color w:val="auto"/>
        </w:rPr>
      </w:pPr>
      <w:r>
        <w:rPr>
          <w:rFonts w:ascii="Arial" w:cs="Arial" w:eastAsia="Arial" w:hAnsi="Arial"/>
          <w:sz w:val="14"/>
          <w:szCs w:val="14"/>
          <w:b w:val="1"/>
          <w:bCs w:val="1"/>
          <w:color w:val="auto"/>
        </w:rPr>
        <w:t>2009 FISCAL YEAR AWARD MATRIX</w:t>
      </w:r>
    </w:p>
    <w:tbl>
      <w:tblPr>
        <w:tblLayout w:type="fixed"/>
        <w:tblInd w:w="10" w:type="dxa"/>
        <w:tblCellMar>
          <w:top w:w="0" w:type="dxa"/>
          <w:left w:w="0" w:type="dxa"/>
          <w:bottom w:w="0" w:type="dxa"/>
          <w:right w:w="0" w:type="dxa"/>
        </w:tblCellMar>
      </w:tblPr>
      <w:tr>
        <w:trPr>
          <w:trHeight w:val="133"/>
        </w:trPr>
        <w:tc>
          <w:tcPr>
            <w:tcW w:w="2480" w:type="dxa"/>
            <w:vAlign w:val="bottom"/>
            <w:tcBorders>
              <w:top w:val="single" w:sz="8" w:color="auto"/>
              <w:left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7020" w:type="dxa"/>
            <w:vAlign w:val="bottom"/>
            <w:tcBorders>
              <w:top w:val="single" w:sz="8" w:color="auto"/>
              <w:right w:val="single" w:sz="8" w:color="auto"/>
            </w:tcBorders>
          </w:tcPr>
          <w:p>
            <w:pPr>
              <w:jc w:val="right"/>
              <w:ind w:right="1872"/>
              <w:spacing w:after="0" w:line="133" w:lineRule="exact"/>
              <w:rPr>
                <w:sz w:val="20"/>
                <w:szCs w:val="20"/>
                <w:color w:val="auto"/>
              </w:rPr>
            </w:pPr>
            <w:r>
              <w:rPr>
                <w:rFonts w:ascii="Arial" w:cs="Arial" w:eastAsia="Arial" w:hAnsi="Arial"/>
                <w:sz w:val="14"/>
                <w:szCs w:val="14"/>
                <w:b w:val="1"/>
                <w:bCs w:val="1"/>
                <w:color w:val="auto"/>
              </w:rPr>
              <w:t>RESTRICTED SHARES EARNED</w:t>
            </w:r>
          </w:p>
        </w:tc>
      </w:tr>
      <w:tr>
        <w:trPr>
          <w:trHeight w:val="175"/>
        </w:trPr>
        <w:tc>
          <w:tcPr>
            <w:tcW w:w="326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RETURN ON NET CAPITAL EMPLOYED</w:t>
            </w:r>
          </w:p>
        </w:tc>
        <w:tc>
          <w:tcPr>
            <w:tcW w:w="1140" w:type="dxa"/>
            <w:vAlign w:val="bottom"/>
            <w:tcBorders>
              <w:bottom w:val="single" w:sz="8" w:color="auto"/>
              <w:right w:val="single" w:sz="8" w:color="auto"/>
            </w:tcBorders>
          </w:tcPr>
          <w:p>
            <w:pPr>
              <w:spacing w:after="0"/>
              <w:rPr>
                <w:sz w:val="15"/>
                <w:szCs w:val="15"/>
                <w:color w:val="auto"/>
              </w:rPr>
            </w:pPr>
          </w:p>
        </w:tc>
        <w:tc>
          <w:tcPr>
            <w:tcW w:w="7020" w:type="dxa"/>
            <w:vAlign w:val="bottom"/>
            <w:tcBorders>
              <w:bottom w:val="single" w:sz="8" w:color="auto"/>
              <w:right w:val="single" w:sz="8" w:color="auto"/>
            </w:tcBorders>
          </w:tcPr>
          <w:p>
            <w:pPr>
              <w:jc w:val="right"/>
              <w:ind w:right="1952"/>
              <w:spacing w:after="0"/>
              <w:rPr>
                <w:sz w:val="20"/>
                <w:szCs w:val="20"/>
                <w:color w:val="auto"/>
              </w:rPr>
            </w:pPr>
            <w:r>
              <w:rPr>
                <w:rFonts w:ascii="Arial" w:cs="Arial" w:eastAsia="Arial" w:hAnsi="Arial"/>
                <w:sz w:val="14"/>
                <w:szCs w:val="14"/>
                <w:b w:val="1"/>
                <w:bCs w:val="1"/>
                <w:color w:val="auto"/>
              </w:rPr>
              <w:t>(AS A % OF TARGET AWARD)</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&lt;10.85%</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0.0%</w:t>
            </w:r>
          </w:p>
        </w:tc>
      </w:tr>
      <w:tr>
        <w:trPr>
          <w:trHeight w:val="142"/>
        </w:trPr>
        <w:tc>
          <w:tcPr>
            <w:tcW w:w="2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10.85%</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50.0%</w:t>
            </w:r>
          </w:p>
        </w:tc>
      </w:tr>
      <w:tr>
        <w:trPr>
          <w:trHeight w:val="162"/>
        </w:trPr>
        <w:tc>
          <w:tcPr>
            <w:tcW w:w="24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11.63%</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62.5%</w:t>
            </w:r>
          </w:p>
        </w:tc>
      </w:tr>
      <w:tr>
        <w:trPr>
          <w:trHeight w:val="136"/>
        </w:trPr>
        <w:tc>
          <w:tcPr>
            <w:tcW w:w="248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12"/>
              <w:spacing w:after="0" w:line="136" w:lineRule="exact"/>
              <w:rPr>
                <w:sz w:val="20"/>
                <w:szCs w:val="20"/>
                <w:color w:val="auto"/>
              </w:rPr>
            </w:pPr>
            <w:r>
              <w:rPr>
                <w:rFonts w:ascii="Arial" w:cs="Arial" w:eastAsia="Arial" w:hAnsi="Arial"/>
                <w:sz w:val="14"/>
                <w:szCs w:val="14"/>
                <w:color w:val="auto"/>
              </w:rPr>
              <w:t>11.67%</w:t>
            </w:r>
          </w:p>
        </w:tc>
        <w:tc>
          <w:tcPr>
            <w:tcW w:w="7020" w:type="dxa"/>
            <w:vAlign w:val="bottom"/>
            <w:tcBorders>
              <w:bottom w:val="single" w:sz="8" w:color="auto"/>
              <w:right w:val="single" w:sz="8" w:color="auto"/>
            </w:tcBorders>
          </w:tcPr>
          <w:p>
            <w:pPr>
              <w:jc w:val="right"/>
              <w:ind w:right="2692"/>
              <w:spacing w:after="0" w:line="136" w:lineRule="exact"/>
              <w:rPr>
                <w:sz w:val="20"/>
                <w:szCs w:val="20"/>
                <w:color w:val="auto"/>
              </w:rPr>
            </w:pPr>
            <w:r>
              <w:rPr>
                <w:rFonts w:ascii="Arial" w:cs="Arial" w:eastAsia="Arial" w:hAnsi="Arial"/>
                <w:sz w:val="14"/>
                <w:szCs w:val="14"/>
                <w:color w:val="auto"/>
              </w:rPr>
              <w:t>63.2%</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12.40%</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75.0%</w:t>
            </w:r>
          </w:p>
        </w:tc>
      </w:tr>
      <w:tr>
        <w:trPr>
          <w:trHeight w:val="142"/>
        </w:trPr>
        <w:tc>
          <w:tcPr>
            <w:tcW w:w="2480" w:type="dxa"/>
            <w:vAlign w:val="bottom"/>
            <w:tcBorders>
              <w:left w:val="single" w:sz="8" w:color="auto"/>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13.18%</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87.5%</w:t>
            </w:r>
          </w:p>
        </w:tc>
      </w:tr>
      <w:tr>
        <w:trPr>
          <w:trHeight w:val="162"/>
        </w:trPr>
        <w:tc>
          <w:tcPr>
            <w:tcW w:w="24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13.95%</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93.8%</w:t>
            </w:r>
          </w:p>
        </w:tc>
      </w:tr>
      <w:tr>
        <w:trPr>
          <w:trHeight w:val="136"/>
        </w:trPr>
        <w:tc>
          <w:tcPr>
            <w:tcW w:w="248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TARGET</w:t>
            </w: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12"/>
              <w:spacing w:after="0" w:line="136" w:lineRule="exact"/>
              <w:rPr>
                <w:sz w:val="20"/>
                <w:szCs w:val="20"/>
                <w:color w:val="auto"/>
              </w:rPr>
            </w:pPr>
            <w:r>
              <w:rPr>
                <w:rFonts w:ascii="Arial" w:cs="Arial" w:eastAsia="Arial" w:hAnsi="Arial"/>
                <w:sz w:val="14"/>
                <w:szCs w:val="14"/>
                <w:color w:val="auto"/>
              </w:rPr>
              <w:t>15.50%</w:t>
            </w:r>
          </w:p>
        </w:tc>
        <w:tc>
          <w:tcPr>
            <w:tcW w:w="7020" w:type="dxa"/>
            <w:vAlign w:val="bottom"/>
            <w:tcBorders>
              <w:bottom w:val="single" w:sz="8" w:color="auto"/>
              <w:right w:val="single" w:sz="8" w:color="auto"/>
            </w:tcBorders>
          </w:tcPr>
          <w:p>
            <w:pPr>
              <w:jc w:val="right"/>
              <w:ind w:right="2692"/>
              <w:spacing w:after="0" w:line="136" w:lineRule="exact"/>
              <w:rPr>
                <w:sz w:val="20"/>
                <w:szCs w:val="20"/>
                <w:color w:val="auto"/>
              </w:rPr>
            </w:pPr>
            <w:r>
              <w:rPr>
                <w:rFonts w:ascii="Arial" w:cs="Arial" w:eastAsia="Arial" w:hAnsi="Arial"/>
                <w:sz w:val="14"/>
                <w:szCs w:val="14"/>
                <w:color w:val="auto"/>
              </w:rPr>
              <w:t>100.0%</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16.28%</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107.5%</w:t>
            </w:r>
          </w:p>
        </w:tc>
      </w:tr>
      <w:tr>
        <w:trPr>
          <w:trHeight w:val="142"/>
        </w:trPr>
        <w:tc>
          <w:tcPr>
            <w:tcW w:w="2480" w:type="dxa"/>
            <w:vAlign w:val="bottom"/>
            <w:tcBorders>
              <w:left w:val="single" w:sz="8" w:color="auto"/>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17.05%</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115.0%</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17.83%</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122.5%</w:t>
            </w:r>
          </w:p>
        </w:tc>
      </w:tr>
      <w:tr>
        <w:trPr>
          <w:trHeight w:val="142"/>
        </w:trPr>
        <w:tc>
          <w:tcPr>
            <w:tcW w:w="2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18.60%</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130.0%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Components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Perquisites. </w:t>
      </w:r>
      <w:r>
        <w:rPr>
          <w:rFonts w:ascii="Arial" w:cs="Arial" w:eastAsia="Arial" w:hAnsi="Arial"/>
          <w:sz w:val="16"/>
          <w:szCs w:val="16"/>
          <w:color w:val="auto"/>
        </w:rPr>
        <w:t>Smith has an interest in ensuring the physical and mental wellness of its employees and, therefore, provides for a reimbursement of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 for an annual physical for each executive officer. In addition, in lieu of providing specific perquisites, Smith provides a set dollar amount of specifically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identified perquisites. This dollar amount is consistent within each grade level for U.S. residents and within corporate guidelines established for non-U.S.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residents and is paid annually in 26 equal bi-weekly payments, as identified in the footnotes to the Summary Compensation Table. The executive officers do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need to spend their allowance on the specified items, but are free to use the allowance at their discretion. The perquisite package for non-U.S. residents follows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methodology with different dollar amounts. Mr. Mckay receives the non-U.S. perquisite package, as identified in the footnotes to the Summary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Table. Smith believes that providing a set dollar amount allows its executive officers more flexibility and is more efficient to administer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reimbursing for each individual expense. The amount provided is reviewed periodically and is consistent with perquisites provided by the benchmarking group.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addition, Smith’s executive officers may receive personal administrative assistant services at no incremental cost to Smith. Perquisite amounts are not considered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annual salary for bonus purposes or 401(k) contributions.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401(k) Plan. </w:t>
      </w:r>
      <w:r>
        <w:rPr>
          <w:rFonts w:ascii="Arial" w:cs="Arial" w:eastAsia="Arial" w:hAnsi="Arial"/>
          <w:sz w:val="16"/>
          <w:szCs w:val="16"/>
          <w:color w:val="auto"/>
        </w:rPr>
        <w:t>Smith believes that financial security during retirement is an important benefit to provide to its executive management. For this reason, Smith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various subsidiaries offer 401(k) plans to their employees, including their executive officers. Because the Smith and subsidiary plans operate and are administered in a similar fashion, for purposes of this discussion, the 401(k) plans will be referred to in the singular. Participants may contribute up to the federal limit in the 401(k) plan. Smith makes various levels of contributions to the 401(k) plan, including age-weighted contributions and performance-based matching contributions as defined in the 401(k) plan. Although the majority of Smith peers have both defined benefit and defined contribution plans, the Compensation Committee elected to implement a defined contribution plan (the “401(k) plan”) to control Smith’s costs. Smith 401(k) Plan is consistent with similar plans available generally in the energy industry. Executive officers participate in the 401(k) plan on the same basis as other employees.</w:t>
      </w:r>
    </w:p>
    <w:p>
      <w:pPr>
        <w:spacing w:after="0" w:line="118"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b w:val="1"/>
          <w:bCs w:val="1"/>
          <w:i w:val="1"/>
          <w:iCs w:val="1"/>
          <w:color w:val="auto"/>
        </w:rPr>
        <w:t xml:space="preserve">Supplemental Executive Retirement Plan. </w:t>
      </w:r>
      <w:r>
        <w:rPr>
          <w:rFonts w:ascii="Arial" w:cs="Arial" w:eastAsia="Arial" w:hAnsi="Arial"/>
          <w:sz w:val="15"/>
          <w:szCs w:val="15"/>
          <w:color w:val="auto"/>
        </w:rPr>
        <w:t>In addition to the 401(k) Plan described above, Smith’s officers, including all of the executive officers,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key employees are eligible to participate in Smith’s Post-2004 Supplemental Executive Retirement Plan (the “post-2004 SERP”). In connection with the adoption of the post-2004 SERP, Smith suspended contributions to its previous SERP (“SERP”), except for guaranteed interest contributions discussed in the narrative disclosure following the Nonqualified Deferred Compensation Table. The SERP and post-2004 SERP were implemented to allow Smith’s officers to defer additional pre-tax compensation for retirement without regard to the limits placed on 401(k) plans under the Code. Smith believes that the post-2004 SERP is an important tool for the retirement planning efforts of Smith’s officers. Moreover, after reviewing data from the benchmarking group, Smith’s Compensation Committee determined that the post-2004 SERP is important to remain competitive in the compensation arena. Additional information regarding the operation of the SERP and post-2004 SERP may be found in the footnotes and narrative disclosure following the Nonqualified Deferred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and Employment Agreements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Change of Control Agreements. </w:t>
      </w:r>
      <w:r>
        <w:rPr>
          <w:rFonts w:ascii="Arial" w:cs="Arial" w:eastAsia="Arial" w:hAnsi="Arial"/>
          <w:sz w:val="16"/>
          <w:szCs w:val="16"/>
          <w:color w:val="auto"/>
        </w:rPr>
        <w:t>Smith has entered into change of control agreements with ten members of management, including all of the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After reviewing benchmarking studies performed by outside legal counsel at the request of the Compensation Committee in 1999, the Compensation Committee adopted a form of change of control agreement. The Compensation Committee periodically reviews the terms of the change of control agreements and retains outside legal counsel to conduct benchmarking studies to determine whether the change of control agreements remain competitive in Smith’s industry. As a result of these reviews, the Compensation Committee periodically revises the form of change of control agreement. In December 2009, the Compensation Committee revised the form of change of control agreement to eliminate tax gross-ups.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Compensation Committee has determined that the change of control agreements are a necessary component of Smith’s compensation package in order for Smith to provide competitive compensation arrangements, particularly because such agreements are standard in Smith’s industry. In addition, they make executives neutral to change of control transactions that are in the best interests of Smith and its stockholders, and thereby help create, rather than diminish, stockholder value. Moreover, Smith believes that the change of control agreements help it to attract and retain its executive officers by reducing the personal uncertainty and anxiety that arises from the possibility of a future business combination. Smith selected objective criteria to determine whether a change of control has occurred for purposes of the change of control agreements in order to reduce the likelihood of a dispute in the event of a change of control and to help ensure that the agreements are triggered only under circumstances when a true transfer of control or ownership has occurred. While the change of control agreements do not influence decisions regarding compensation elements, the Compensation Committee periodically reviews the terms of the change of control agreements so that they remain generally consistent with those of the benchmarking group. Additional information regarding the change of control agreements may be found in the section titled “Executive Compensation—Change of Control and Employment Agreements.”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When Smith emerged from bankruptcy in 1987, it offered employment agreements to certain key officers. The only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with an employment agreement is Mr. Dudman. Smith entered into this agreement primarily as a retention tool, but also because the Smith board of directors felt that Mr. Dudman could provide extraordinary and unique management and strategy skills to maintain and grow Smith. The Compensation Committee no longer offers these types of employment agreements to executive officers. Mr. Dudman’s employment agreement contains severance provisions that would entitle him to receive a lump sum payment in cash equal to his current annual base salary, bonus and benefits through the end of the employment period (three years) in the event that he were to be terminated by Smith (other than for cause, death or disability) or if for any reason his position is eliminated or otherwise becomes redundant, except in the event of a change of control, in which case severance would be paid pursuant to his change of control agreement as explained in the section titled “Executive Compensation—Change of Control and Employment Agreements.” Mr. Dudman’s agreement was restated in 2008 to comply with the provisions of Section 409A of the Code, but otherwise remains the same agreement as executed in 1987.</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addition, Smith entered into an employment agreement with Mr. Rock upon his retirement as Chief Executive Officer, President and Chief Operating Officer (the “Rock agreement”) pursuant to which Mr. Rock would serve as a Special Executive Advisor or in such other position as determined by Smith’s board of directors for a period commencing January 1, 2009 and ending on the first day following the conclusion of Smith’s annual meeting of stockholders for the calendar year 2010. Mr. Rock remained a member of Smith’s board of directors and the Chairman of the Board after January 1, 2009. Effective as of 11:59 p.m. on December 31, 2008, the Rock agreement superseded Mr. Rock’s previous employment agreement with Smith and Mr. Rock’s previous change of control employment agreement with the Company. The Rock agreement provided for an annual base salary of $1.3 million, a target bonus of 120% of base salary with respect to Smith’s 2009 fiscal year and eligibility to participate in all Smith benefit and perquisite plans during the employment period other than Smith’s Long-Term Incentive Compensation Plan. The Rock agreement and Mr. Rock’s employment were terminable by either Smith at any time or by Mr. Rock with 30 days written notice, and terminated automatically upon a change of control (as defined in the Rock agreement). In the event that Mr. Rock’s employment was terminated as a result of his death or disability (as defined in the Rock agreement), by Smith without cause (as defined in the Rock agreement) or due to a change of control, Mr. Rock would have been entitled to certain accrued obligations and a termination payment equal to $108,333.33 times the number of whole months (rounded up or down as provided for in the Rock agreement) between the date of termination and the original termination date of the Rock agreement. Mr. Rock was subject to a confidentiality covenant and a non-competition covenant during the term of the Rock agreement. Mr. Rock terminated the Rock agreement effective May 12, 2010, and is no longer an employee of Smith.</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Ms. Dorman’s departure from Smith effective October 16, 2009, Smith and Ms. Dorman entered into a separation agreement on September 28, 2009, under which Ms. Dorman received a one-time lump sum severance payment of $2,697,514, less applicable taxes and deductions, reimbursement for health coverage premiums for up to eighteen months following October 16, 2009 to the extent Ms. Dorman elects to participate in COBRA coverage, executive-level outplacement services for a period of one year following October 16, 2009 and accelerated vesting of all outstanding equity grants, with an exercise period of up to three-years for outstanding stock options. Vesting of the performance-based restricted stock units relating to the 2009 performance period were accelerated and paid out at a level reflecting then-anticipated achievement of the 2009 performance metrics. These special severance benefits were contingent upon execution of a general release, which was executed, and ongoing compliance with confidentiality, non-disparagement and cooperation obligations.</w:t>
      </w:r>
    </w:p>
    <w:p>
      <w:pPr>
        <w:spacing w:after="0" w:line="14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Pension Plan. </w:t>
      </w:r>
      <w:r>
        <w:rPr>
          <w:rFonts w:ascii="Arial" w:cs="Arial" w:eastAsia="Arial" w:hAnsi="Arial"/>
          <w:sz w:val="18"/>
          <w:szCs w:val="18"/>
          <w:color w:val="auto"/>
        </w:rPr>
        <w:t>Smith has a defined benefit pension plan, which is currently frozen. The benefit accruals were frozen effective March 1, 1987,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the pension benefit was fixed for all eligible employees based only upon benefit accruals from September 1, 1985 to March 1, 1987. Mr. Rock is the only named executive officer with any benefit accruals under the plan. Any benefits under the pension plan are offset by benefits paid under a previous pension plan of Smith. There are no executive officers with any benefit accruals under the plan.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AND BENEFITS COMMITTEE REPORT</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Compensation and Benefits Committee has reviewed and discussed the Compensation Discussion and Analysis with management. Based on such review and discussion, the Committee recommended to the Smith board of directors that the Compensation Discussion and Analysis be included in this proxy statement/prospectus.</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Robert Kelley,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Dod A. Fraser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R. Gibbs</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report of the Compensation and Benefits Committee shall not be deemed “soliciting material,” or to be “filed” with the SEC or subject to Regulation 14A or 14C or to the liabilities of Section 18 of the Securities Exchange Act of 1934 (the “Exchange Act”), except to the extent that we specifically request that the information be treated as soliciting material or specifically incorporate it by reference into a document filed under the Securities Act of 1933 (the “Securities Act”) or the Exchange Act. Further, this report will not be deemed to be incorporated by reference into any filing under the Securities Act or the Exchange Act except to the extent that we specifically incorporate this information by reference.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tables show compensation for services to Smith of the persons who during 2009 were the principal executive officer, principal financial officer, and the next three most highly compensated executive officers (the “named executive officers”). Also included are Margaret Dorman, who was Smith’s principal financial officer for a portion of the year, and Bryan Dudman, who otherwise would have been subject to reporting absent Mr. Mckay’s new hire equity award.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Pension 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Salary</w:t>
            </w:r>
          </w:p>
        </w:tc>
        <w:tc>
          <w:tcPr>
            <w:tcW w:w="5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Awards</w:t>
            </w:r>
          </w:p>
        </w:tc>
        <w:tc>
          <w:tcPr>
            <w:tcW w:w="8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1"/>
                <w:szCs w:val="11"/>
                <w:color w:val="auto"/>
              </w:rPr>
            </w:pPr>
          </w:p>
        </w:tc>
        <w:tc>
          <w:tcPr>
            <w:tcW w:w="11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Earnings</w:t>
            </w:r>
          </w:p>
        </w:tc>
        <w:tc>
          <w:tcPr>
            <w:tcW w:w="14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4"/>
              </w:rPr>
              <w:t>Compensation</w:t>
            </w:r>
          </w:p>
        </w:tc>
        <w:tc>
          <w:tcPr>
            <w:tcW w:w="120" w:type="dxa"/>
            <w:vAlign w:val="bottom"/>
          </w:tcPr>
          <w:p>
            <w:pPr>
              <w:spacing w:after="0"/>
              <w:rPr>
                <w:sz w:val="11"/>
                <w:szCs w:val="11"/>
                <w:color w:val="auto"/>
              </w:rPr>
            </w:pP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1"/>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($)(2)</w:t>
            </w:r>
          </w:p>
        </w:tc>
        <w:tc>
          <w:tcPr>
            <w:tcW w:w="100" w:type="dxa"/>
            <w:vAlign w:val="bottom"/>
          </w:tcPr>
          <w:p>
            <w:pPr>
              <w:spacing w:after="0"/>
              <w:rPr>
                <w:sz w:val="15"/>
                <w:szCs w:val="15"/>
                <w:color w:val="auto"/>
              </w:rPr>
            </w:pPr>
          </w:p>
        </w:tc>
        <w:tc>
          <w:tcPr>
            <w:tcW w:w="54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($)(3)</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274"/>
              <w:spacing w:after="0"/>
              <w:rPr>
                <w:sz w:val="20"/>
                <w:szCs w:val="20"/>
                <w:color w:val="auto"/>
              </w:rPr>
            </w:pPr>
            <w:r>
              <w:rPr>
                <w:rFonts w:ascii="Arial" w:cs="Arial" w:eastAsia="Arial" w:hAnsi="Arial"/>
                <w:sz w:val="8"/>
                <w:szCs w:val="8"/>
                <w:b w:val="1"/>
                <w:bCs w:val="1"/>
                <w:color w:val="auto"/>
                <w:w w:val="73"/>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5"/>
                <w:szCs w:val="15"/>
                <w:color w:val="auto"/>
              </w:rPr>
            </w:pPr>
          </w:p>
        </w:tc>
        <w:tc>
          <w:tcPr>
            <w:tcW w:w="72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1"/>
              </w:rPr>
              <w: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(f)</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4"/>
                <w:szCs w:val="14"/>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(h)</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(i)</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 Rock(5)</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$1,300,000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240,240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9,144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1,134,475</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$2,683,859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Chairman of the Board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2008</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$1,347,115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1,341,600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4,212</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820,690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$3,513,617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2007</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$1,175,000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$4,652,695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1,837,230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590,552</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$8,255,477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John Yearwood</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942,308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$4,499,994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154,000</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192,702</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$5,789,004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Chief Executive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Officer and Chief Operating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Officer</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Restrepo</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96,923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$1,497,590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9,384</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19,619</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$1,623,516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Senior Vice President, Chief</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Officer and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Treasurer</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Christopher I.S. Rivers</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543,714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$1,644,134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290,892</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139,647</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$2,618,387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and Chief Executive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Officer, M-I SWACO</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Norman A. Mckay</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125,001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$3,644,131</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56,100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53,082</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$3,878,313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Executive Vice President and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President, Smith Technologies</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Bryan L. Dudman</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637,000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$1,644,134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182,097</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$2,463,231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Executive Vice President and</w:t>
            </w:r>
          </w:p>
        </w:tc>
        <w:tc>
          <w:tcPr>
            <w:tcW w:w="46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3"/>
              </w:rPr>
              <w:t>2008</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631,092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$1,325,722</w:t>
            </w:r>
          </w:p>
        </w:tc>
        <w:tc>
          <w:tcPr>
            <w:tcW w:w="100" w:type="dxa"/>
            <w:vAlign w:val="bottom"/>
          </w:tcPr>
          <w:p>
            <w:pPr>
              <w:spacing w:after="0"/>
              <w:rPr>
                <w:sz w:val="12"/>
                <w:szCs w:val="12"/>
                <w:color w:val="auto"/>
              </w:rPr>
            </w:pP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220,513</w:t>
            </w:r>
          </w:p>
        </w:tc>
        <w:tc>
          <w:tcPr>
            <w:tcW w:w="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185,144</w:t>
            </w:r>
          </w:p>
        </w:tc>
        <w:tc>
          <w:tcPr>
            <w:tcW w:w="74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$2,362,471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Smith Drilling and</w:t>
            </w:r>
          </w:p>
        </w:tc>
        <w:tc>
          <w:tcPr>
            <w:tcW w:w="46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3"/>
              </w:rPr>
              <w:t>2007</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485,000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5"/>
              </w:rPr>
              <w:t>$1,890,611</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401,944</w:t>
            </w:r>
          </w:p>
        </w:tc>
        <w:tc>
          <w:tcPr>
            <w:tcW w:w="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162,999</w:t>
            </w:r>
          </w:p>
        </w:tc>
        <w:tc>
          <w:tcPr>
            <w:tcW w:w="74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$2,940,554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Evaluation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Margaret K. Dorman(7)</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505,465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2,863,983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$3,369,448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Former Executive Vice</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2008</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578,012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$1,493,074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391,592</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194,860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$2,657,538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President, Chief Financial</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2007</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465,000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$1,372,588</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424,126</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156,130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$2,417,844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Officer and Treasurer</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Performance-based cash bonuses paid pursuant to the AIP are included in column (g).</w:t>
      </w:r>
    </w:p>
    <w:p>
      <w:pPr>
        <w:spacing w:after="0" w:line="68" w:lineRule="exact"/>
        <w:rPr>
          <w:rFonts w:ascii="Arial" w:cs="Arial" w:eastAsia="Arial" w:hAnsi="Arial"/>
          <w:sz w:val="14"/>
          <w:szCs w:val="14"/>
          <w:color w:val="auto"/>
        </w:rPr>
      </w:pPr>
    </w:p>
    <w:p>
      <w:pPr>
        <w:ind w:left="340" w:right="140" w:hanging="332"/>
        <w:spacing w:after="0" w:line="233" w:lineRule="auto"/>
        <w:tabs>
          <w:tab w:leader="none" w:pos="3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amounts in column (e) and (f) reflect the grant date fair value computed in accordance with FASB ASC Topic 718, based on the closing price of the stock on the date of grant minus the present value of the dividend stream for the vesting period, assuming a 1-year, 2-year, 3-year and 4-year annual discount rate of 0.27%, 0.67%, 1.12% and 1.56%. The target, threshold and maximum value of equity awards granted during 2009 are shown below in the Grants of Plan-Based Awards Table.</w:t>
      </w:r>
    </w:p>
    <w:p>
      <w:pPr>
        <w:spacing w:after="0" w:line="57" w:lineRule="exact"/>
        <w:rPr>
          <w:rFonts w:ascii="Arial" w:cs="Arial" w:eastAsia="Arial" w:hAnsi="Arial"/>
          <w:sz w:val="14"/>
          <w:szCs w:val="14"/>
          <w:color w:val="auto"/>
        </w:rPr>
      </w:pPr>
    </w:p>
    <w:p>
      <w:pPr>
        <w:ind w:left="340" w:right="600" w:hanging="332"/>
        <w:spacing w:after="0" w:line="239" w:lineRule="auto"/>
        <w:tabs>
          <w:tab w:leader="none" w:pos="3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amounts in column (g) reflect the cash bonus awards paid to the named individuals in 2009 for the 2010 performance year under the AIP, which is discussed in more detail under the heading “Compensation Discussion and Analysis—Annual Cash Bonus.”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39" w:lineRule="auto"/>
        <w:tabs>
          <w:tab w:leader="none" w:pos="3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amounts in column (i) for 2009, which include Smith’s contributions to the SERP and post-2004 SERP (disclosued collectively below as the “SERP”) and the 401(k) plan and perquisites, are itemized below:</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Life</w:t>
            </w:r>
          </w:p>
        </w:tc>
      </w:tr>
      <w:tr>
        <w:trPr>
          <w:trHeight w:val="149"/>
        </w:trPr>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Perquisite</w:t>
            </w: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Insurance</w:t>
            </w:r>
          </w:p>
        </w:tc>
      </w:tr>
      <w:tr>
        <w:trPr>
          <w:trHeight w:val="161"/>
        </w:trPr>
        <w:tc>
          <w:tcPr>
            <w:tcW w:w="6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SERP</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401(k)</w:t>
            </w:r>
          </w:p>
        </w:tc>
        <w:tc>
          <w:tcPr>
            <w:tcW w:w="6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Allowance(a)</w:t>
            </w:r>
          </w:p>
        </w:tc>
        <w:tc>
          <w:tcPr>
            <w:tcW w:w="58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Premiums</w:t>
            </w:r>
          </w:p>
        </w:tc>
        <w:tc>
          <w:tcPr>
            <w:tcW w:w="20" w:type="dxa"/>
            <w:vAlign w:val="bottom"/>
          </w:tcPr>
          <w:p>
            <w:pPr>
              <w:spacing w:after="0"/>
              <w:rPr>
                <w:sz w:val="14"/>
                <w:szCs w:val="14"/>
                <w:color w:val="auto"/>
              </w:rPr>
            </w:pPr>
          </w:p>
        </w:tc>
      </w:tr>
      <w:tr>
        <w:trPr>
          <w:trHeight w:val="142"/>
        </w:trPr>
        <w:tc>
          <w:tcPr>
            <w:tcW w:w="6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 Rock</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1,064,366</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83"/>
              </w:rPr>
              <w:t>18,375</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32,800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18,897</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J. Yearwood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143,209</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11,025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32,837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5,631</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9,631</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7,027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C. Rivers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89,303</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86"/>
              </w:rPr>
              <w:t>17,437(b)</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26,500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6,407</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11,555</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41,527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B. Dudman</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136,669</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13,475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26,537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5,416</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 Dorman(c)</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134,836</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w w:val="83"/>
              </w:rPr>
              <w:t>11,025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18,529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2,079</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68580</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800" w:hanging="454"/>
        <w:spacing w:after="0" w:line="270" w:lineRule="auto"/>
        <w:tabs>
          <w:tab w:leader="none" w:pos="800" w:val="left"/>
        </w:tabs>
        <w:numPr>
          <w:ilvl w:val="1"/>
          <w:numId w:val="149"/>
        </w:numPr>
        <w:rPr>
          <w:rFonts w:ascii="Arial" w:cs="Arial" w:eastAsia="Arial" w:hAnsi="Arial"/>
          <w:sz w:val="12"/>
          <w:szCs w:val="12"/>
          <w:color w:val="auto"/>
        </w:rPr>
      </w:pPr>
      <w:r>
        <w:rPr>
          <w:rFonts w:ascii="Arial" w:cs="Arial" w:eastAsia="Arial" w:hAnsi="Arial"/>
          <w:sz w:val="12"/>
          <w:szCs w:val="12"/>
          <w:color w:val="auto"/>
        </w:rPr>
        <w:t>These amounts include a specified dollar amount for U.S. residents for an automobile allowance, financial planning and tax preparation, mobile phone, medical reimbursement, club memberships and legal counseling that may be used at the discretion of each individual and a $3,000 allowance for an annual physical that is paid for by the Company. All named executive officers except Mr. Mckay are U.S. residents. Mr. Mckay receives Smith’s non-U.S. resident perquisite package under which he received a U.S.$3,000 allowance for an annual physical that is paid for by Smith, a foreign service allowance of U.S.$12,500, a foreign cost of living allowance of U.S.$7,780, a car allowance of AED12,000 (U.S.$3,268) and a housing allowance of AED55,000 (U.S.$14,978). The car allowance and housing allowance were paid to Mr. Mckay in United Arab Emirates Dirham (AED) and converted into U.S. dollars for purposes of this disclosure based on the average conversion rate during the time that Mr. Mckay was employed by Smith in 2009. Perquisites are described in more detail under the heading “Compensation Discussion and Analysis—Perquisites.”</w:t>
      </w:r>
    </w:p>
    <w:p>
      <w:pPr>
        <w:spacing w:after="0" w:line="40" w:lineRule="exact"/>
        <w:rPr>
          <w:rFonts w:ascii="Arial" w:cs="Arial" w:eastAsia="Arial" w:hAnsi="Arial"/>
          <w:sz w:val="12"/>
          <w:szCs w:val="12"/>
          <w:color w:val="auto"/>
        </w:rPr>
      </w:pPr>
    </w:p>
    <w:p>
      <w:pPr>
        <w:ind w:left="800" w:hanging="454"/>
        <w:spacing w:after="0"/>
        <w:tabs>
          <w:tab w:leader="none" w:pos="800" w:val="left"/>
        </w:tabs>
        <w:numPr>
          <w:ilvl w:val="1"/>
          <w:numId w:val="149"/>
        </w:numPr>
        <w:rPr>
          <w:rFonts w:ascii="Arial" w:cs="Arial" w:eastAsia="Arial" w:hAnsi="Arial"/>
          <w:sz w:val="14"/>
          <w:szCs w:val="14"/>
          <w:color w:val="auto"/>
        </w:rPr>
      </w:pPr>
      <w:r>
        <w:rPr>
          <w:rFonts w:ascii="Arial" w:cs="Arial" w:eastAsia="Arial" w:hAnsi="Arial"/>
          <w:sz w:val="14"/>
          <w:szCs w:val="14"/>
          <w:color w:val="auto"/>
        </w:rPr>
        <w:t>Mr. Rivers also participates in the M-I SWACO 401(k) Plan. This amount includes $3,206 in profit sharing contributions from M-I SWACO.</w:t>
      </w:r>
    </w:p>
    <w:p>
      <w:pPr>
        <w:spacing w:after="0" w:line="68" w:lineRule="exact"/>
        <w:rPr>
          <w:rFonts w:ascii="Arial" w:cs="Arial" w:eastAsia="Arial" w:hAnsi="Arial"/>
          <w:sz w:val="14"/>
          <w:szCs w:val="14"/>
          <w:color w:val="auto"/>
        </w:rPr>
      </w:pPr>
    </w:p>
    <w:p>
      <w:pPr>
        <w:ind w:left="800" w:hanging="454"/>
        <w:spacing w:after="0"/>
        <w:tabs>
          <w:tab w:leader="none" w:pos="800" w:val="left"/>
        </w:tabs>
        <w:numPr>
          <w:ilvl w:val="1"/>
          <w:numId w:val="149"/>
        </w:numPr>
        <w:rPr>
          <w:rFonts w:ascii="Arial" w:cs="Arial" w:eastAsia="Arial" w:hAnsi="Arial"/>
          <w:sz w:val="14"/>
          <w:szCs w:val="14"/>
          <w:color w:val="auto"/>
        </w:rPr>
      </w:pPr>
      <w:r>
        <w:rPr>
          <w:rFonts w:ascii="Arial" w:cs="Arial" w:eastAsia="Arial" w:hAnsi="Arial"/>
          <w:sz w:val="14"/>
          <w:szCs w:val="14"/>
          <w:color w:val="auto"/>
        </w:rPr>
        <w:t>Ms. Dorman also received a negotiated settlement of $2,697,514 pursuant to her separation agreement.</w:t>
      </w:r>
    </w:p>
    <w:p>
      <w:pPr>
        <w:spacing w:after="0" w:line="68" w:lineRule="exact"/>
        <w:rPr>
          <w:rFonts w:ascii="Arial" w:cs="Arial" w:eastAsia="Arial" w:hAnsi="Arial"/>
          <w:sz w:val="14"/>
          <w:szCs w:val="14"/>
          <w:color w:val="auto"/>
        </w:rPr>
      </w:pPr>
    </w:p>
    <w:p>
      <w:pPr>
        <w:ind w:left="340" w:right="300" w:hanging="332"/>
        <w:spacing w:after="0" w:line="239" w:lineRule="auto"/>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Mr. Rock is Smith Chairman of the Board, which was an executive officer position during 2009. Effective May 12, 2010, Mr. Rock resigned his employment with Smith, but remains Chairman of the Board.</w:t>
      </w:r>
    </w:p>
    <w:p>
      <w:pPr>
        <w:spacing w:after="0" w:line="57" w:lineRule="exact"/>
        <w:rPr>
          <w:rFonts w:ascii="Arial" w:cs="Arial" w:eastAsia="Arial" w:hAnsi="Arial"/>
          <w:sz w:val="14"/>
          <w:szCs w:val="14"/>
          <w:color w:val="auto"/>
        </w:rPr>
      </w:pPr>
    </w:p>
    <w:p>
      <w:pPr>
        <w:ind w:left="340" w:hanging="332"/>
        <w:spacing w:after="0" w:line="233" w:lineRule="auto"/>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Due to an increase in the discount rate used in the Smith International, Inc. Restated Pension Plan, the change in pension value for the 2007 fiscal year was a negative $752. It is reflected in the above table as being zero change. The change in pension value for 2008 and 2009 were both positive and included in the above table. The restated pension plan is discussed in the narrative to the Pension Benefits Table below.</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Effective October 16, 2009, Ms. Dorman retired from Smith.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incentive awards made to the named executive officers during the 2009 fiscal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8"/>
            <w:vMerge w:val="restart"/>
          </w:tcPr>
          <w:p>
            <w:pPr>
              <w:jc w:val="center"/>
              <w:ind w:right="32"/>
              <w:spacing w:after="0"/>
              <w:rPr>
                <w:sz w:val="20"/>
                <w:szCs w:val="20"/>
                <w:color w:val="auto"/>
              </w:rPr>
            </w:pPr>
            <w:r>
              <w:rPr>
                <w:rFonts w:ascii="Arial" w:cs="Arial" w:eastAsia="Arial" w:hAnsi="Arial"/>
                <w:sz w:val="14"/>
                <w:szCs w:val="14"/>
                <w:b w:val="1"/>
                <w:bCs w:val="1"/>
                <w:color w:val="auto"/>
                <w:w w:val="84"/>
              </w:rPr>
              <w:t>Estimated Possible Payouts</w:t>
            </w:r>
          </w:p>
        </w:tc>
        <w:tc>
          <w:tcPr>
            <w:tcW w:w="200" w:type="dxa"/>
            <w:vAlign w:val="bottom"/>
          </w:tcPr>
          <w:p>
            <w:pPr>
              <w:spacing w:after="0"/>
              <w:rPr>
                <w:sz w:val="12"/>
                <w:szCs w:val="12"/>
                <w:color w:val="auto"/>
              </w:rPr>
            </w:pPr>
          </w:p>
        </w:tc>
        <w:tc>
          <w:tcPr>
            <w:tcW w:w="226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7"/>
              </w:rPr>
              <w:t>Estimated Future Payouts</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gridSpan w:val="8"/>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Under Non-Equity Incentive Plan</w:t>
            </w:r>
          </w:p>
        </w:tc>
        <w:tc>
          <w:tcPr>
            <w:tcW w:w="200" w:type="dxa"/>
            <w:vAlign w:val="bottom"/>
          </w:tcPr>
          <w:p>
            <w:pPr>
              <w:spacing w:after="0"/>
              <w:rPr>
                <w:sz w:val="7"/>
                <w:szCs w:val="7"/>
                <w:color w:val="auto"/>
              </w:rPr>
            </w:pPr>
          </w:p>
        </w:tc>
        <w:tc>
          <w:tcPr>
            <w:tcW w:w="2260" w:type="dxa"/>
            <w:vAlign w:val="bottom"/>
            <w:gridSpan w:val="6"/>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Equity Incentive Plan</w:t>
            </w:r>
          </w:p>
        </w:tc>
        <w:tc>
          <w:tcPr>
            <w:tcW w:w="6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6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5"/>
                <w:szCs w:val="5"/>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5"/>
                <w:szCs w:val="5"/>
                <w:color w:val="auto"/>
              </w:rPr>
            </w:pPr>
          </w:p>
        </w:tc>
        <w:tc>
          <w:tcPr>
            <w:tcW w:w="62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5"/>
              </w:rPr>
              <w:t>Awards(1)</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Awards(2)</w:t>
            </w: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3"/>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6"/>
                <w:szCs w:val="6"/>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2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Stock or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Grant</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82"/>
              </w:rPr>
              <w:t>Threshold</w:t>
            </w:r>
          </w:p>
        </w:tc>
        <w:tc>
          <w:tcPr>
            <w:tcW w:w="2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Maximum</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($/Sh)</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(e)</w:t>
            </w:r>
          </w:p>
        </w:tc>
        <w:tc>
          <w:tcPr>
            <w:tcW w:w="200" w:type="dxa"/>
            <w:vAlign w:val="bottom"/>
          </w:tcPr>
          <w:p>
            <w:pPr>
              <w:spacing w:after="0"/>
              <w:rPr>
                <w:sz w:val="12"/>
                <w:szCs w:val="12"/>
                <w:color w:val="auto"/>
              </w:rPr>
            </w:pPr>
          </w:p>
        </w:tc>
        <w:tc>
          <w:tcPr>
            <w:tcW w:w="58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(f)</w:t>
            </w:r>
          </w:p>
        </w:tc>
        <w:tc>
          <w:tcPr>
            <w:tcW w:w="220" w:type="dxa"/>
            <w:vAlign w:val="bottom"/>
          </w:tcPr>
          <w:p>
            <w:pPr>
              <w:spacing w:after="0"/>
              <w:rPr>
                <w:sz w:val="12"/>
                <w:szCs w:val="12"/>
                <w:color w:val="auto"/>
              </w:rPr>
            </w:pPr>
          </w:p>
        </w:tc>
        <w:tc>
          <w:tcPr>
            <w:tcW w:w="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(h)</w:t>
            </w:r>
          </w:p>
        </w:tc>
        <w:tc>
          <w:tcPr>
            <w:tcW w:w="22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(j)</w:t>
            </w:r>
          </w:p>
        </w:tc>
        <w:tc>
          <w:tcPr>
            <w:tcW w:w="20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(k)</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312,000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1,560,000</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$3,120,000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J. Yearwood</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200,000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1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84,238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168,476</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252,714</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6,749,991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58,500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292,500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585,000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9"/>
              </w:rPr>
              <w:t>13,995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27,989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41,984</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1,121,379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23,385</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C. Rivers</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99,111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495,557</w:t>
            </w:r>
          </w:p>
        </w:tc>
        <w:tc>
          <w:tcPr>
            <w:tcW w:w="100" w:type="dxa"/>
            <w:vAlign w:val="bottom"/>
          </w:tcPr>
          <w:p>
            <w:pPr>
              <w:spacing w:after="0"/>
              <w:rPr>
                <w:sz w:val="12"/>
                <w:szCs w:val="12"/>
                <w:color w:val="auto"/>
              </w:rPr>
            </w:pP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991,114</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850,000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11/02/09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74,122</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1,999,997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B. Dudman</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114,920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574,600</w:t>
            </w:r>
          </w:p>
        </w:tc>
        <w:tc>
          <w:tcPr>
            <w:tcW w:w="1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$1,149,200</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39" w:lineRule="auto"/>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Amounts represent possible payouts for the 2009 performance year under the AIP, which is discussed in more detail under the heading “Compensation Discussion and Analysis—Annual Cash Bonus.” The actual payout amount is included in column (g) of the summary compensation table.</w:t>
      </w:r>
    </w:p>
    <w:p>
      <w:pPr>
        <w:spacing w:after="0" w:line="57" w:lineRule="exact"/>
        <w:rPr>
          <w:rFonts w:ascii="Arial" w:cs="Arial" w:eastAsia="Arial" w:hAnsi="Arial"/>
          <w:sz w:val="14"/>
          <w:szCs w:val="14"/>
          <w:color w:val="auto"/>
        </w:rPr>
      </w:pPr>
    </w:p>
    <w:p>
      <w:pPr>
        <w:ind w:left="340" w:right="80" w:hanging="332"/>
        <w:spacing w:after="0" w:line="318" w:lineRule="auto"/>
        <w:tabs>
          <w:tab w:leader="none" w:pos="34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Amounts represent performance-based restricted stock unit (“PBRSU”) awards made in December 2009 for the 2010 performance year under the LTIP, which is discussed in more detail under the heading “Compensation Discussion and Analysis—Annual Restricted Stock Unit Award.” If threshold levels of performance are not met, then no shares would be issued.</w:t>
      </w:r>
    </w:p>
    <w:p>
      <w:pPr>
        <w:spacing w:after="0" w:line="12"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Amounts represent new hire time-based restricted stock unit (“TBRSU”) awards made during 2009 under the LTIP, which is discussed in more detail under the heading “Compensation Discussion and Analysis—Annual Restricted Stock Unit Award.”</w:t>
      </w:r>
    </w:p>
    <w:p>
      <w:pPr>
        <w:spacing w:after="0" w:line="57"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grant date fair market value was determined in accordance with FASB ASC Topic 718, based on the closing price of the stock on the date of grant minus the present value of the dividend stream for the vesting period, assuming a 1-year, 2-year, 3-year and 4-year annual discount rate of 0.27%, 0.67%, 1.12% and 1.56%.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 for Fiscal 2009</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table shows the number of shares covered by exercisable and unexercisable options and unvested restricted stock units held by the named executive officers on December 31, 2009. The market value of unvested awards is based on Smith’s closing market price of $27.17 per share on December 31, 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Unearned</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Market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or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0"/>
              </w:rPr>
              <w:t>Value of</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Units or</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of Stock</w:t>
            </w:r>
          </w:p>
        </w:tc>
        <w:tc>
          <w:tcPr>
            <w:tcW w:w="12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Shares or</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Units of</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Rights</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Have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That</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9"/>
              </w:rPr>
              <w:t>Exercise</w:t>
            </w:r>
          </w:p>
        </w:tc>
        <w:tc>
          <w:tcPr>
            <w:tcW w:w="2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have Not</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Grant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Unearned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Have Not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Vested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w:t>
            </w: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(e)</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(f)</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8"/>
              </w:rPr>
              <w:t>(g)</w:t>
            </w:r>
          </w:p>
        </w:tc>
        <w:tc>
          <w:tcPr>
            <w:tcW w:w="46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(h)</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rPr>
              <w:t>(i)</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(j)</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24,324(1)</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660,883</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12/07/2014(2)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J. Yearwood</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168,476(3)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$4,577,493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92,314(4)</w:t>
            </w:r>
          </w:p>
        </w:tc>
        <w:tc>
          <w:tcPr>
            <w:tcW w:w="92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$2,508,171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08/25/2008</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4,414(1)</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119,928</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27,989(3)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0"/>
              </w:rPr>
              <w:t>$  760,461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23,385(5)</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635,370</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N. Mckay</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61,555(3)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$1,672,449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5"/>
              </w:rPr>
              <w:t>11/02/2009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74,122(5)</w:t>
            </w:r>
          </w:p>
        </w:tc>
        <w:tc>
          <w:tcPr>
            <w:tcW w:w="920" w:type="dxa"/>
            <w:vAlign w:val="bottom"/>
            <w:gridSpan w:val="4"/>
          </w:tcPr>
          <w:p>
            <w:pPr>
              <w:jc w:val="right"/>
              <w:ind w:right="180"/>
              <w:spacing w:after="0"/>
              <w:rPr>
                <w:sz w:val="20"/>
                <w:szCs w:val="20"/>
                <w:color w:val="auto"/>
              </w:rPr>
            </w:pPr>
            <w:r>
              <w:rPr>
                <w:rFonts w:ascii="Arial" w:cs="Arial" w:eastAsia="Arial" w:hAnsi="Arial"/>
                <w:sz w:val="14"/>
                <w:szCs w:val="14"/>
                <w:color w:val="auto"/>
              </w:rPr>
              <w:t>$2,013,895</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Rivers</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61,555(3)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$1,672,449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27,752(4)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754,022</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12,453(6)</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338,348</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4,398(1)</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119,494</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12/07/2014(2)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12/09/2004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31.65</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12/09/2014(7)</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12/02/2003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19.41</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12/02/2013(8)</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12/03/2002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17.36</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12/03/2012(9)</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12/12/2002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22.57</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12/12/2012(10)</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11.75</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12/04/2011(11)</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12/14/2001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5,312</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26.00</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12/14/2011(12)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12/05/2000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15.38</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12/05/2010(13)</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12/19/2000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34.13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12/19/2010(14)</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B. Dudman</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61,555(3)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$1,672,449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12,453(6)</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338,348</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27,752(4)</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754,022</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9,884(1)</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268,548</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12/07/2004</w:t>
            </w:r>
          </w:p>
        </w:tc>
        <w:tc>
          <w:tcPr>
            <w:tcW w:w="720" w:type="dxa"/>
            <w:vAlign w:val="bottom"/>
          </w:tcPr>
          <w:p>
            <w:pPr>
              <w:jc w:val="right"/>
              <w:spacing w:after="0"/>
              <w:rPr>
                <w:sz w:val="20"/>
                <w:szCs w:val="20"/>
                <w:color w:val="auto"/>
              </w:rPr>
            </w:pPr>
            <w:r>
              <w:rPr>
                <w:rFonts w:ascii="Arial" w:cs="Arial" w:eastAsia="Arial" w:hAnsi="Arial"/>
                <w:sz w:val="14"/>
                <w:szCs w:val="14"/>
                <w:color w:val="auto"/>
              </w:rPr>
              <w:t>4,800</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400" w:type="dxa"/>
            <w:vAlign w:val="bottom"/>
          </w:tcPr>
          <w:p>
            <w:pPr>
              <w:jc w:val="center"/>
              <w:ind w:left="32"/>
              <w:spacing w:after="0"/>
              <w:rPr>
                <w:sz w:val="20"/>
                <w:szCs w:val="20"/>
                <w:color w:val="auto"/>
              </w:rPr>
            </w:pPr>
            <w:r>
              <w:rPr>
                <w:rFonts w:ascii="Arial" w:cs="Arial" w:eastAsia="Arial" w:hAnsi="Arial"/>
                <w:sz w:val="14"/>
                <w:szCs w:val="14"/>
                <w:color w:val="auto"/>
                <w:w w:val="85"/>
              </w:rPr>
              <w:t>28.13</w:t>
            </w:r>
          </w:p>
        </w:tc>
        <w:tc>
          <w:tcPr>
            <w:tcW w:w="1280" w:type="dxa"/>
            <w:vAlign w:val="bottom"/>
            <w:gridSpan w:val="3"/>
          </w:tcPr>
          <w:p>
            <w:pPr>
              <w:ind w:left="220"/>
              <w:spacing w:after="0"/>
              <w:rPr>
                <w:sz w:val="20"/>
                <w:szCs w:val="20"/>
                <w:color w:val="auto"/>
              </w:rPr>
            </w:pPr>
            <w:r>
              <w:rPr>
                <w:rFonts w:ascii="Arial" w:cs="Arial" w:eastAsia="Arial" w:hAnsi="Arial"/>
                <w:sz w:val="14"/>
                <w:szCs w:val="14"/>
                <w:color w:val="auto"/>
              </w:rPr>
              <w:t>12/07/2014(2)</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980" w:type="dxa"/>
            <w:vAlign w:val="bottom"/>
            <w:gridSpan w:val="3"/>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10/16/2012(2)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12/02/2003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19.41</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10/16/2012(8)</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9"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based on satisfaction of performance criteria for the 2008 year, with vesting dates of 12/31/2008, 12/6/2009 and 12/6/2010.</w:t>
      </w:r>
    </w:p>
    <w:p>
      <w:pPr>
        <w:spacing w:after="0" w:line="18" w:lineRule="exact"/>
        <w:rPr>
          <w:rFonts w:ascii="Arial" w:cs="Arial" w:eastAsia="Arial" w:hAnsi="Arial"/>
          <w:sz w:val="13"/>
          <w:szCs w:val="13"/>
          <w:color w:val="auto"/>
        </w:rPr>
      </w:pPr>
    </w:p>
    <w:p>
      <w:pPr>
        <w:ind w:left="340" w:hanging="332"/>
        <w:spacing w:after="0"/>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12/7/2005, 12/7/2006, 12/7/2007 and 12/7/2008.</w:t>
      </w:r>
    </w:p>
    <w:p>
      <w:pPr>
        <w:spacing w:after="0" w:line="38" w:lineRule="exact"/>
        <w:rPr>
          <w:rFonts w:ascii="Arial" w:cs="Arial" w:eastAsia="Arial" w:hAnsi="Arial"/>
          <w:sz w:val="14"/>
          <w:szCs w:val="14"/>
          <w:color w:val="auto"/>
        </w:rPr>
      </w:pPr>
    </w:p>
    <w:p>
      <w:pPr>
        <w:ind w:left="340" w:hanging="332"/>
        <w:spacing w:after="0"/>
        <w:tabs>
          <w:tab w:leader="none" w:pos="34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subject to satisfaction of performance criteria for the 2010 year, with vesting dates of 12/31/2010, 12/6/2011 and 12/6/2012.</w:t>
      </w:r>
    </w:p>
    <w:p>
      <w:pPr>
        <w:spacing w:after="0" w:line="18" w:lineRule="exact"/>
        <w:rPr>
          <w:rFonts w:ascii="Arial" w:cs="Arial" w:eastAsia="Arial" w:hAnsi="Arial"/>
          <w:sz w:val="13"/>
          <w:szCs w:val="13"/>
          <w:color w:val="auto"/>
        </w:rPr>
      </w:pPr>
    </w:p>
    <w:p>
      <w:pPr>
        <w:ind w:left="340" w:hanging="332"/>
        <w:spacing w:after="0"/>
        <w:tabs>
          <w:tab w:leader="none" w:pos="34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based on satisfaction of performance criteria for the 2009 year, with vesting dates of 12/31/2009, 12/6/2010 and 12/6/2011.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These are TBRSUs that vest at the rate of 25% per year, conditioned on continuous employment through the vest date, with vesting dates of 12/06/2010, 12/06/2011 and 12/06/2012 and 12/06/2013.</w:t>
      </w:r>
    </w:p>
    <w:p>
      <w:pPr>
        <w:spacing w:after="0" w:line="91" w:lineRule="exact"/>
        <w:rPr>
          <w:rFonts w:ascii="Arial" w:cs="Arial" w:eastAsia="Arial" w:hAnsi="Arial"/>
          <w:sz w:val="12"/>
          <w:szCs w:val="12"/>
          <w:color w:val="auto"/>
        </w:rPr>
      </w:pPr>
    </w:p>
    <w:p>
      <w:pPr>
        <w:ind w:left="340" w:hanging="332"/>
        <w:spacing w:after="0"/>
        <w:tabs>
          <w:tab w:leader="none" w:pos="34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These are TBRSUs that vest at the rate of 25% per year, conditioned on continuous employment through the vest date, with vesting dates of 12/06/2009, 12/06/2010, 12/06/2011 and 12/06/2012.</w:t>
      </w:r>
    </w:p>
    <w:p>
      <w:pPr>
        <w:spacing w:after="0" w:line="91" w:lineRule="exact"/>
        <w:rPr>
          <w:rFonts w:ascii="Arial" w:cs="Arial" w:eastAsia="Arial" w:hAnsi="Arial"/>
          <w:sz w:val="12"/>
          <w:szCs w:val="12"/>
          <w:color w:val="auto"/>
        </w:rPr>
      </w:pPr>
    </w:p>
    <w:p>
      <w:pPr>
        <w:jc w:val="both"/>
        <w:ind w:left="340" w:right="80" w:hanging="332"/>
        <w:spacing w:after="0" w:line="288" w:lineRule="auto"/>
        <w:tabs>
          <w:tab w:leader="none" w:pos="34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25% per year, conditioned on continuous employment through the vest date, with vesting dates of 12/9/2005, 12/9/2006, 12/9/2007, and 12/9/2008. Maximum payout is limited to 125% of the initial value of the units subject to the award. The option exercise price is tied to the price of Schlumberger stock.</w:t>
      </w:r>
    </w:p>
    <w:p>
      <w:pPr>
        <w:spacing w:after="0" w:line="29" w:lineRule="exact"/>
        <w:rPr>
          <w:rFonts w:ascii="Arial" w:cs="Arial" w:eastAsia="Arial" w:hAnsi="Arial"/>
          <w:sz w:val="12"/>
          <w:szCs w:val="12"/>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12/2/2004, 12/2/2005, 12/2/2006 and 12/2/2007.</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12/3/2003, 12/3/2004, 12/3/2005 and 12/3/2006.</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12/12/2003, 12/12/2004, 12/12/2005, 12/12/2006 and 12/12/2007. The option exercise price is tied to the price of Schlumberger stock.</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12/4/2002, 12/4/2003, 12/4/2004 and 12/4/2005.</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12/14/2002, 12/14/2003, 12/14/2004, 12/14/2005 and 12/14/2006. The option exercise price is tied to the price of Schlumberger stock.</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12/5/2001, 12/5/2002, 12/5/2003 and 12/5/2004.</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12/19/2001, 12/19/2002, 12/19/2003, 12/19/2004 and 12/19/2005. The option exercise price is tied to the price of Schlumberger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2009</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all stock options exercised and value received upon exercise, and all stock awards vested and value received upon vesting by the named executive officers during the fiscal year ended December 31, 2009.</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8"/>
              </w:rPr>
              <w:t>Option Awards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160" w:type="dxa"/>
            <w:vAlign w:val="bottom"/>
            <w:gridSpan w:val="2"/>
          </w:tcPr>
          <w:p>
            <w:pPr>
              <w:jc w:val="center"/>
              <w:ind w:right="1012"/>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gridSpan w:val="2"/>
          </w:tcPr>
          <w:p>
            <w:pPr>
              <w:jc w:val="center"/>
              <w:ind w:right="105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Realized</w:t>
            </w:r>
          </w:p>
        </w:tc>
        <w:tc>
          <w:tcPr>
            <w:tcW w:w="19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Value Realized</w:t>
            </w: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gridSpan w:val="2"/>
          </w:tcPr>
          <w:p>
            <w:pPr>
              <w:jc w:val="center"/>
              <w:ind w:right="1012"/>
              <w:spacing w:after="0" w:line="149" w:lineRule="exact"/>
              <w:rPr>
                <w:sz w:val="20"/>
                <w:szCs w:val="20"/>
                <w:color w:val="auto"/>
              </w:rPr>
            </w:pPr>
            <w:r>
              <w:rPr>
                <w:rFonts w:ascii="Arial" w:cs="Arial" w:eastAsia="Arial" w:hAnsi="Arial"/>
                <w:sz w:val="14"/>
                <w:szCs w:val="14"/>
                <w:b w:val="1"/>
                <w:bCs w:val="1"/>
                <w:color w:val="auto"/>
                <w:w w:val="83"/>
              </w:rPr>
              <w:t>Exercise</w:t>
            </w:r>
          </w:p>
        </w:tc>
        <w:tc>
          <w:tcPr>
            <w:tcW w:w="1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on Exercise</w:t>
            </w:r>
          </w:p>
        </w:tc>
        <w:tc>
          <w:tcPr>
            <w:tcW w:w="19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Vesting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on Vesting</w:t>
            </w:r>
          </w:p>
        </w:tc>
      </w:tr>
      <w:tr>
        <w:trPr>
          <w:trHeight w:val="161"/>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3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(c)</w:t>
            </w:r>
          </w:p>
        </w:tc>
        <w:tc>
          <w:tcPr>
            <w:tcW w:w="9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(e)</w:t>
            </w:r>
          </w:p>
        </w:tc>
        <w:tc>
          <w:tcPr>
            <w:tcW w:w="20" w:type="dxa"/>
            <w:vAlign w:val="bottom"/>
          </w:tcPr>
          <w:p>
            <w:pPr>
              <w:spacing w:after="0"/>
              <w:rPr>
                <w:sz w:val="12"/>
                <w:szCs w:val="12"/>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65,577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$ 1,730,577</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50,572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6"/>
              </w:rPr>
              <w:t>$ 1,370,598</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2160" w:type="dxa"/>
            <w:vAlign w:val="bottom"/>
            <w:gridSpan w:val="2"/>
          </w:tcPr>
          <w:p>
            <w:pPr>
              <w:jc w:val="right"/>
              <w:ind w:right="832"/>
              <w:spacing w:after="0"/>
              <w:rPr>
                <w:sz w:val="20"/>
                <w:szCs w:val="20"/>
                <w:color w:val="auto"/>
              </w:rPr>
            </w:pPr>
            <w:r>
              <w:rPr>
                <w:rFonts w:ascii="Arial" w:cs="Arial" w:eastAsia="Arial" w:hAnsi="Arial"/>
                <w:sz w:val="18"/>
                <w:szCs w:val="18"/>
                <w:color w:val="auto"/>
              </w:rPr>
              <w:t>10,288(1)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329,094</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29,637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792,944</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2160" w:type="dxa"/>
            <w:vAlign w:val="bottom"/>
            <w:gridSpan w:val="2"/>
          </w:tcPr>
          <w:p>
            <w:pPr>
              <w:jc w:val="right"/>
              <w:ind w:right="832"/>
              <w:spacing w:after="0"/>
              <w:rPr>
                <w:sz w:val="20"/>
                <w:szCs w:val="20"/>
                <w:color w:val="auto"/>
              </w:rPr>
            </w:pPr>
            <w:r>
              <w:rPr>
                <w:rFonts w:ascii="Arial" w:cs="Arial" w:eastAsia="Arial" w:hAnsi="Arial"/>
                <w:sz w:val="18"/>
                <w:szCs w:val="18"/>
                <w:color w:val="auto"/>
              </w:rPr>
              <w:t>5,550(1)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130,148</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35,122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937,693</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76,517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$ 2,498,280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40" w:hanging="452"/>
        <w:spacing w:after="0" w:line="332" w:lineRule="auto"/>
        <w:tabs>
          <w:tab w:leader="none" w:pos="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Represents exercise of Schlumberger Stock Appreciation Rights based on Schlumberger stock price appreciation that were awarded as part of the compensation structure at M-I SWACO prior to the time the individuals became executive officers of Smith.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2009</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shows the number of years of credited service of and present value of accumulated benefits payable to each of the named executive officers under Smith’s restated pension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5"/>
              </w:rPr>
              <w:t>Number of Years</w:t>
            </w:r>
          </w:p>
        </w:tc>
        <w:tc>
          <w:tcPr>
            <w:tcW w:w="12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Present Value of</w:t>
            </w:r>
          </w:p>
        </w:tc>
        <w:tc>
          <w:tcPr>
            <w:tcW w:w="400" w:type="dxa"/>
            <w:vAlign w:val="bottom"/>
          </w:tcPr>
          <w:p>
            <w:pPr>
              <w:spacing w:after="0"/>
              <w:rPr>
                <w:sz w:val="14"/>
                <w:szCs w:val="1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Payments During</w:t>
            </w:r>
          </w:p>
        </w:tc>
      </w:tr>
      <w:tr>
        <w:trPr>
          <w:trHeight w:val="149"/>
        </w:trPr>
        <w:tc>
          <w:tcPr>
            <w:tcW w:w="3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164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Accumulated Benefit</w:t>
            </w:r>
          </w:p>
        </w:tc>
        <w:tc>
          <w:tcPr>
            <w:tcW w:w="4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0"/>
              </w:rPr>
              <w:t>Last Fiscal Year</w:t>
            </w:r>
          </w:p>
        </w:tc>
      </w:tr>
      <w:tr>
        <w:trPr>
          <w:trHeight w:val="16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Plan Name</w:t>
            </w:r>
          </w:p>
        </w:tc>
        <w:tc>
          <w:tcPr>
            <w:tcW w:w="180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43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64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820" w:type="dxa"/>
            <w:vAlign w:val="bottom"/>
          </w:tcPr>
          <w:p>
            <w:pPr>
              <w:spacing w:after="0"/>
              <w:rPr>
                <w:sz w:val="12"/>
                <w:szCs w:val="12"/>
                <w:color w:val="auto"/>
              </w:rPr>
            </w:pPr>
          </w:p>
        </w:tc>
        <w:tc>
          <w:tcPr>
            <w:tcW w:w="980" w:type="dxa"/>
            <w:vAlign w:val="bottom"/>
            <w:tcBorders>
              <w:top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(c)</w:t>
            </w:r>
          </w:p>
        </w:tc>
        <w:tc>
          <w:tcPr>
            <w:tcW w:w="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(e)</w:t>
            </w:r>
          </w:p>
        </w:tc>
        <w:tc>
          <w:tcPr>
            <w:tcW w:w="20" w:type="dxa"/>
            <w:vAlign w:val="bottom"/>
          </w:tcPr>
          <w:p>
            <w:pPr>
              <w:spacing w:after="0"/>
              <w:rPr>
                <w:sz w:val="12"/>
                <w:szCs w:val="12"/>
                <w:color w:val="auto"/>
              </w:rPr>
            </w:pPr>
          </w:p>
        </w:tc>
      </w:tr>
      <w:tr>
        <w:trPr>
          <w:trHeight w:val="20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Smith International, Inc.</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38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Restated Pension Plan</w:t>
            </w:r>
          </w:p>
        </w:tc>
        <w:tc>
          <w:tcPr>
            <w:tcW w:w="26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79,907</w:t>
            </w: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Smith has a defined benefit pension plan (the “restated pension plan”), which is currently frozen. The benefit accruals were frozen effective March 1, 1987, and the amount of the pension benefit was fixed for all eligible employees based only upon benefit accruals from September 1, 1985 to March 1, 1987. Any benefits under the Restated Pension Plan are offset by benefits paid under a previous pension plan of Smith.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Fiscal 2009</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and narrative disclosure provides information regarding nonqualified deferred compensation with respect to each named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Executive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Registrant</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in</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Contributions in</w:t>
            </w:r>
          </w:p>
        </w:tc>
        <w:tc>
          <w:tcPr>
            <w:tcW w:w="6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Aggregate Earnings</w:t>
            </w:r>
          </w:p>
        </w:tc>
        <w:tc>
          <w:tcPr>
            <w:tcW w:w="6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Withdrawals/</w:t>
            </w:r>
          </w:p>
        </w:tc>
        <w:tc>
          <w:tcPr>
            <w:tcW w:w="3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Aggregate Balance</w:t>
            </w: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Last FY</w:t>
            </w: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Last FY</w:t>
            </w:r>
          </w:p>
        </w:tc>
        <w:tc>
          <w:tcPr>
            <w:tcW w:w="68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(Losses) in Last FY</w:t>
            </w:r>
          </w:p>
        </w:tc>
        <w:tc>
          <w:tcPr>
            <w:tcW w:w="6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Distributions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at Last FYE</w:t>
            </w:r>
          </w:p>
        </w:tc>
      </w:tr>
      <w:tr>
        <w:trPr>
          <w:trHeight w:val="16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($)(1)</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(b)</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81"/>
              </w:rPr>
              <w:t>(c)</w:t>
            </w: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(d)</w:t>
            </w: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(e)</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99"/>
              </w:rPr>
              <w:t>(f)</w:t>
            </w:r>
          </w:p>
        </w:tc>
        <w:tc>
          <w:tcPr>
            <w:tcW w:w="20" w:type="dxa"/>
            <w:vAlign w:val="bottom"/>
          </w:tcPr>
          <w:p>
            <w:pPr>
              <w:spacing w:after="0"/>
              <w:rPr>
                <w:sz w:val="12"/>
                <w:szCs w:val="12"/>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728,000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1,064,366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19,208,192</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194,422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143,209</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403,612</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476,110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89,303</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640,769</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2,787,702</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17,772</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160,257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136,669</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661,863</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3,649,721</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112,619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2,183,715</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332" w:lineRule="auto"/>
        <w:tabs>
          <w:tab w:leader="none" w:pos="4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Includes age-weighted and matching contributions made by Smith and additional Smith contributions, if any, as explained below. These amounts are reported in the All Other Compensation column for each named executive officer in the Summary Compensation Table.</w:t>
      </w:r>
    </w:p>
    <w:p>
      <w:pPr>
        <w:spacing w:after="0" w:line="8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Smith International, Inc. Post-2004 Supplemental Executive Retirement Plan. </w:t>
      </w:r>
      <w:r>
        <w:rPr>
          <w:rFonts w:ascii="Arial" w:cs="Arial" w:eastAsia="Arial" w:hAnsi="Arial"/>
          <w:sz w:val="16"/>
          <w:szCs w:val="16"/>
          <w:color w:val="auto"/>
        </w:rPr>
        <w:t>The Smith International, Inc. Post-2004 Supplemental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“post-2004 SERP”) is a non-qualified, deferred compensation plan, for the benefit of officers and certain other eligible employees of Smith as selected by the Compensation Committee. Participants may contribute, on a pre-tax basis, up to 100% of their cash compensation, as defined in the post-2004 SERP. Distributions may generally be made either as a lump sum or installment payments following the participant’s termination of employment due to death, disability, retirement or other separation from service. Distributions may also be made on a limited basis and to the extent necessary as a lump sum upon the occurrence of the participant’s unforeseeable financial emergency as approved by the Compensation Committee. The post-2004 SERP also provides for Smith contributions, as follows: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Age-Weighted Contributions. </w:t>
      </w:r>
      <w:r>
        <w:rPr>
          <w:rFonts w:ascii="Arial" w:cs="Arial" w:eastAsia="Arial" w:hAnsi="Arial"/>
          <w:sz w:val="18"/>
          <w:szCs w:val="18"/>
          <w:color w:val="auto"/>
        </w:rPr>
        <w:t>Smith provides an age-weighted contribution percentage (“AWCP”) ranging from 2% to 6% of qualified compensation, less</w:t>
      </w:r>
      <w:r>
        <w:rPr>
          <w:rFonts w:ascii="Arial" w:cs="Arial" w:eastAsia="Arial" w:hAnsi="Arial"/>
          <w:sz w:val="18"/>
          <w:szCs w:val="18"/>
          <w:i w:val="1"/>
          <w:iCs w:val="1"/>
          <w:color w:val="auto"/>
        </w:rPr>
        <w:t xml:space="preserve"> </w:t>
      </w:r>
      <w:r>
        <w:rPr>
          <w:rFonts w:ascii="Arial" w:cs="Arial" w:eastAsia="Arial" w:hAnsi="Arial"/>
          <w:sz w:val="18"/>
          <w:szCs w:val="18"/>
          <w:color w:val="auto"/>
        </w:rPr>
        <w:t>any age-weighted contributions made to the participant’s 401(k)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account. The post-2004 SERP provides that the AWCP for executive officers is 6% of qualified compensation regardless of age. The difference between a participant’s (i) “Total 401(k) Compensation” and (ii) “Net 401(k) Compensation” is multiplied by the AWCP to compute the age-weighted contribution. “Total 401(k) Compensation” generally means the total of all cash amounts paid by Smith to a participant, including deferred amounts. “Net 401(k) Compensation” generally means Total 401(k) Compensation less participant contributions to the post-2004 SERP, but not to exceed the limit set under the Code.</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Matching Contributions. </w:t>
      </w:r>
      <w:r>
        <w:rPr>
          <w:rFonts w:ascii="Arial" w:cs="Arial" w:eastAsia="Arial" w:hAnsi="Arial"/>
          <w:sz w:val="16"/>
          <w:szCs w:val="16"/>
          <w:color w:val="auto"/>
        </w:rPr>
        <w:t>Smith provides a performance-based matching contribution ranging from zero to 100% of salary deferrals that mirrors the</w:t>
      </w:r>
      <w:r>
        <w:rPr>
          <w:rFonts w:ascii="Arial" w:cs="Arial" w:eastAsia="Arial" w:hAnsi="Arial"/>
          <w:sz w:val="16"/>
          <w:szCs w:val="16"/>
          <w:i w:val="1"/>
          <w:iCs w:val="1"/>
          <w:color w:val="auto"/>
        </w:rPr>
        <w:t xml:space="preserve"> </w:t>
      </w:r>
      <w:r>
        <w:rPr>
          <w:rFonts w:ascii="Arial" w:cs="Arial" w:eastAsia="Arial" w:hAnsi="Arial"/>
          <w:sz w:val="16"/>
          <w:szCs w:val="16"/>
          <w:color w:val="auto"/>
        </w:rPr>
        <w:t>matching formulas in effect for the Smith’s 401(k) Plan, but without regard to certain Code limits applicable to the 401(k) plan. Matching contributions for all plan participants are limited to 6% of total 401(k) compensation, less the maximum dollar amount of matching contributions that could be made in their individual 401(k) accounts for that year. Executive officers receive 100% matching contributions subject to the same limitation.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Additional Company Contributions. </w:t>
      </w:r>
      <w:r>
        <w:rPr>
          <w:rFonts w:ascii="Arial" w:cs="Arial" w:eastAsia="Arial" w:hAnsi="Arial"/>
          <w:sz w:val="16"/>
          <w:szCs w:val="16"/>
          <w:color w:val="auto"/>
        </w:rPr>
        <w:t>Deferred funds are placed with the fund trustee and invested at the discretion of the participant in a variety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 money market fund. Smith guarantees that the deferrals invested in the money market fund will yield interest at 120% of the long-term applicable federal rate (“AFR”). Therefore, in addition to the contributions described above, for the portion of each participant’s account invested in the money market fund that is earning less than 120% of AFR, Smith makes a contribution equal to the difference in interest between the money market fund rate actually earned by the money market fund and 120% of the AFR, which contribution is credited to the participant’s account.</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Discretionary Profit Sharing Contributions. </w:t>
      </w:r>
      <w:r>
        <w:rPr>
          <w:rFonts w:ascii="Arial" w:cs="Arial" w:eastAsia="Arial" w:hAnsi="Arial"/>
          <w:sz w:val="18"/>
          <w:szCs w:val="18"/>
          <w:color w:val="auto"/>
        </w:rPr>
        <w:t>The Compensation Committee may, in its discretion, determine the amount of any profit sharing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plan year and how that amount is to be allocated among the accounts of the post-2004 SERP participants.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event of insolvency or bankruptcy, all assets allocable to the post-2004 SERP are available to satisfy the claims of all general unsecured creditors of Smith. Smith established a grantor trust to serve as a source of funds from which it can satisfy its obligations under the post-2004 SERP. Participants in the post-2004 SERP will have no rights to any assets held in the trust, except as general unsecured creditors of Smith. A participant’s rights to any amounts credited to an account under the post-2004 SERP cannot be anticipated, alienated, sold, assigned, pledged, encumbered or charged by the participant and may only pass upon the participant’s death pursuant to a beneficiary designation made by the participant under the post-2004 SERP. Smith may, by action of the Compensation Committee, terminate the post-2004 SERP with respect to future contributions; provided, however, such termination shall not affect any participant’s right to receive any distribution due under the post-2004 SERP.</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post-2004 SERP will be interpreted by the Compensation Committee in such manner as necessary to comply with the requirements of Code Section 409A and the authority issued thereunder.</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Smith International, Inc. Supplemental Executive Retirement Plan. </w:t>
      </w:r>
      <w:r>
        <w:rPr>
          <w:rFonts w:ascii="Arial" w:cs="Arial" w:eastAsia="Arial" w:hAnsi="Arial"/>
          <w:sz w:val="18"/>
          <w:szCs w:val="18"/>
          <w:color w:val="auto"/>
        </w:rPr>
        <w:t>In connection with the adoption of the post-2004 SERP and Code Section 409A,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Smith suspended contributions to the SERP effective December 31, 2004, other than such contributions that were earned and vested as of December 31, 2004. However, Smith may be required to make contributions to participants’ accounts to guarantee an investment return equal to 120% of the AFR on deferrals invested in the money market fund, in the same manner as explained above.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Smith insolvency or bankruptcy, participant’s rights, beneficiary designations and plan termination, the SERP is in all material respects the same as the post-2004 SERP.</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20"/>
          </w:cols>
          <w:pgMar w:left="24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and Employment Agreements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Employment Agreements. </w:t>
      </w:r>
      <w:r>
        <w:rPr>
          <w:rFonts w:ascii="Arial" w:cs="Arial" w:eastAsia="Arial" w:hAnsi="Arial"/>
          <w:sz w:val="16"/>
          <w:szCs w:val="16"/>
          <w:color w:val="auto"/>
        </w:rPr>
        <w:t>As discussed in Compensation Discussion and Analysis above, during 2009 Smith had an employment agreement from 1987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Mr. Dudman. The agreement has an initial term of three years and is automatically extended for an additional year at each anniversary date. Automatic renewals may not be suspended by Smith without triggering severance. The agreement automatically terminates when Mr. Dudman reaches age 65. The employment agreement contains salary and other conditions of employment and entitles Mr. Dudman to participate in Smith’s bonus program and other benefit programs. If the employment of Mr. Dudman is terminated by Smith (other than for cause, death or disability) or if for any reason his position is eliminated or otherwise becomes redundant, Mr. Dudman would be entitled to receive a lump sum payment in cash equal to his current annual base salary, bonus and benefits through the end of the employment period; provided, however, that in the event of a change of control, the change of control agreements discussed below would control, except with respect to any accrued obligations under the employment agreement that were not fully accrued under the applicable change of control agreement.</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Smith entered into an employment agreement with Mr. Rock upon his retirement as Chief Executive Officer, President and Chief Operating Officer (the “Rock agreement”) pursuant to which Mr. Rock would serve as a Special Executive Advisor or in such other position as determined by Smith’s board of directors for a period commencing January 1, 2009 and ending on the first day following the conclusion of Smith’s annual meeting of stockholders for the calendar year 2010. Mr. Rock remained a member of Smith’s board of directors and the Chairman of the Board after January 1, 2009. Effective as of 11:59 p.m. on December 31, 2008, the Rock agreement superseded Mr. Rock’s previous employment agreement with Smith and Mr. Rock’s previous change of control employment agreement with Smith. The Rock agreement provided for an annual base salary of $1.3 million, a target bonus of 120% of base salary with respect to Smith’s 2009 fiscal year and eligibility to participate in all Smith benefit and perquisite plans during the employment period other than Smith’s Long-Term Incentive Compensation Plan. The Rock agreement and Mr. Rock’s employment were terminable by either Smith at any time or by Mr. Rock with 30 days written notice, and terminated automatically upon a change of control (as defined in the Rock agreement). In the event that Mr. Rock’s employment was terminated as a result of his death or disability (as defined in the Rock agreement), by Smith without cause (as defined in the Rock agreement) or due to a change of control, Mr. Rock was entitled to certain accrued obligations and a termination payment equal to $108,333.33 times the number of whole months (rounded up or down as provided for in the Rock agreement) between the date of termination and the original termination date of the Rock agreement. Mr. Rock was subject to a confidentiality covenant and a non-competition covenant during the term of the Rock agreement. Mr. Rock terminated the Rock agreement effective May 12, 2010, and is no longer an employee of Smith.</w:t>
      </w:r>
    </w:p>
    <w:p>
      <w:pPr>
        <w:spacing w:after="0" w:line="12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Change of Control Agreements. </w:t>
      </w:r>
      <w:r>
        <w:rPr>
          <w:rFonts w:ascii="Arial" w:cs="Arial" w:eastAsia="Arial" w:hAnsi="Arial"/>
          <w:sz w:val="16"/>
          <w:szCs w:val="16"/>
          <w:color w:val="auto"/>
        </w:rPr>
        <w:t>Smith previously entered into change of control agreements with its executive officers (the “2009 change of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except for Messrs. Restrepo and Mckay. The 2009 change of control agreements were in effect until December 31, 2009. Effective January 1, 2010, the Company replaced all existing change of control agreements and entered into new agreements with Messrs. Restrepo and Mckay, which were identical in all respects to the 2009 change of control agreements except that the tax gross-up provision was eliminated (the “2010 change of control agreements”). Throughout this section, the agreements are referred to collectively as the “change of control agreements”, with any differences between the agreements noted. In the event of a “change of control” of Smith (as defined in the change of control agreements), the change of control agreements provide for the continued employment of the executive officers for a period of three years and provide for the continuation of salary and benefits.</w:t>
      </w:r>
    </w:p>
    <w:p>
      <w:pPr>
        <w:spacing w:after="0" w:line="118"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“Change of control” generally means (a) with certain exceptions, the acquisition of beneficial ownership of 30% or more of the outstanding shares of Smith’s common stock or the combined voting power of the outstanding voting securities of Smith; (b) with certain exceptions, a change in the majority of the Smith board of directors serving as directors as of the date of the change of control agreement; (c) the consummation of a business combination transaction where</w:t>
      </w:r>
    </w:p>
    <w:p>
      <w:pPr>
        <w:spacing w:after="0" w:line="1" w:lineRule="exact"/>
        <w:rPr>
          <w:sz w:val="20"/>
          <w:szCs w:val="20"/>
          <w:color w:val="auto"/>
        </w:rPr>
      </w:pPr>
    </w:p>
    <w:p>
      <w:pPr>
        <w:ind w:right="360" w:firstLine="8"/>
        <w:spacing w:after="0" w:line="261" w:lineRule="auto"/>
        <w:tabs>
          <w:tab w:leader="none" w:pos="21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beneficial owners of Smith’s common stock immediately prior to the business combination transaction own less than 60% of the outstanding shares of common stock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equivalent securities) of the corporation resulting from such business combination transaction (the “surviving corporation”), (ii) with certain exceptions, a person is the beneficial owner of 30% or more of the outstanding shares of common stock or the combined voting power of the outstanding voting securities of the surviving corporation, and (iii) less than a majority of the members of the board of directors (or equivalent governing body) of the surviving corporation were members of the Smith board of directors at the time of the execution of the business combination agreement, or of the action of the Smith board of directors, providing for the business combination transaction; or (d) approval by Smith’s stockholders of a complete liquidation or dissolution.</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If, after a change of control event, the executive is terminated by Smith (other than for cause, death or disability), or if the executive elects to terminate his or her employment for “good reason” (as defined in the change of control agreements), the executive is entitled to receive the following:</w:t>
      </w:r>
    </w:p>
    <w:p>
      <w:pPr>
        <w:spacing w:after="0" w:line="4" w:lineRule="exact"/>
        <w:rPr>
          <w:sz w:val="20"/>
          <w:szCs w:val="20"/>
          <w:color w:val="auto"/>
        </w:rPr>
      </w:pPr>
    </w:p>
    <w:p>
      <w:pPr>
        <w:ind w:left="660" w:hanging="206"/>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lump sum cash payment equal to:</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current annual base salary through the date of termination to the extent not paid and highest annual bonus (as explained below) prorated for the number of days worked in the year (referred to as “accrued obligations”).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compensation previously deferred by the executive and any accrued vacation pay to the extent not paid.</w:t>
      </w:r>
    </w:p>
    <w:p>
      <w:pPr>
        <w:spacing w:after="0" w:line="90" w:lineRule="exact"/>
        <w:rPr>
          <w:rFonts w:ascii="Arial" w:cs="Arial" w:eastAsia="Arial" w:hAnsi="Arial"/>
          <w:sz w:val="18"/>
          <w:szCs w:val="18"/>
          <w:color w:val="auto"/>
        </w:rPr>
      </w:pPr>
    </w:p>
    <w:p>
      <w:pPr>
        <w:jc w:val="both"/>
        <w:ind w:left="660" w:right="260" w:hanging="206"/>
        <w:spacing w:after="0" w:line="259"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sum of the executive’s annual base salary and highest annual bonus (as explained below) multiplied by the termination multiple applicable to the executive (as explained below), with annual base salary to be calculated as 12 times the highest monthly base salary paid or payable to the executive during the preceding 12 months.</w:t>
      </w:r>
    </w:p>
    <w:p>
      <w:pPr>
        <w:spacing w:after="0" w:line="59"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actuarial difference in the SERP benefit the executive would have received had the executive’s employment continued for the number of years after the date of the executive’s termination multiplied by the termination multiples applicable to the executive.</w:t>
      </w:r>
    </w:p>
    <w:p>
      <w:pPr>
        <w:spacing w:after="0" w:line="5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these calculations, the annual bonus is calculated as the highest annual bonus paid or payable to the executive for the last three full fiscal years prior to the effective date of the change of control event.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Continued coverage under applicable welfare and benefit plans for a number of years equal to the termination multiple applicable to the executive.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Outplacement services for the executive.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other amounts or benefits required to be paid or provided under any other Smith plan (referred to as “other benefits”).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 tax gross-up of any excise tax due under the Code. As discussed above, this provision was eliminated from the 2010 change of control agreements.</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the executive’s employment is terminated by reason of the executive’s death or disability, the executive or the estate of the executive shall be entitled to payment of accrued obligations and other benefits as explained above.</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Termination Multiple. </w:t>
      </w:r>
      <w:r>
        <w:rPr>
          <w:rFonts w:ascii="Arial" w:cs="Arial" w:eastAsia="Arial" w:hAnsi="Arial"/>
          <w:sz w:val="18"/>
          <w:szCs w:val="18"/>
          <w:color w:val="auto"/>
        </w:rPr>
        <w:t>The change of control agreements for all executive officers include a termination multiple of three times for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in year one after the change of control event; two times in year two; and one time in year three.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 Incentive Plan. </w:t>
      </w:r>
      <w:r>
        <w:rPr>
          <w:rFonts w:ascii="Arial" w:cs="Arial" w:eastAsia="Arial" w:hAnsi="Arial"/>
          <w:sz w:val="18"/>
          <w:szCs w:val="18"/>
          <w:color w:val="auto"/>
        </w:rPr>
        <w:t>Smith’s Third Amended and Restated 1989 Long-Term Incentive Compensation Plan provides for the vesting of all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and the satisfaction of all restrictions and conditions on restricted stock and other stock-based awards and the full vesting at 100% target levels of all performance-based awards, as of the day immediately preceding the change of control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Potential Payments upon a Change of Control. </w:t>
      </w:r>
      <w:r>
        <w:rPr>
          <w:rFonts w:ascii="Arial" w:cs="Arial" w:eastAsia="Arial" w:hAnsi="Arial"/>
          <w:sz w:val="16"/>
          <w:szCs w:val="16"/>
          <w:color w:val="auto"/>
        </w:rPr>
        <w:t>The table below shows potential payments if an executive is terminated other than for cause or voluntary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termination after a change of control event. The amounts assume that the change of control event and termination of employment were both effective on December 31, 2009, and are estimates that reflect the amounts that would be paid and the incremental value of benefits that would be enhanced through accelerated vesting of options and stock awards. The value of equity awards is based on Smith’s closing market price of $27.17 per share on December 31, 2009. As discussed above, the accelerated vesting of outstanding equity awards occurs on the day immediately preceding the change of control date, regardless of whether the executive is terminated or terminates his or her employment following the change of control event. The table also assumes that the executive has been paid in full for salary due for the fiscal year and has no deferred compensation, pro-rated perquisites payments or accrued vacation due for the year. Because the termination is assumed to be on the same day as the change of control, amounts shown use a 3x termination multiple for all executives. If the termination of employment occurred in year two after the change of control event, the termination multiple would be 2x, and if the termination of employment occurred in year three after the change of control event, the termination multiple would be 1x.</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Welfare and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Pro Rata</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Benefit Plan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Bonus for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Salary and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4"/>
              </w:rPr>
              <w:t>Current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Bonus</w:t>
            </w: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5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SERP</w:t>
            </w:r>
          </w:p>
        </w:tc>
        <w:tc>
          <w:tcPr>
            <w:tcW w:w="34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Outplacement</w:t>
            </w:r>
          </w:p>
        </w:tc>
        <w:tc>
          <w:tcPr>
            <w:tcW w:w="100" w:type="dxa"/>
            <w:vAlign w:val="bottom"/>
          </w:tcPr>
          <w:p>
            <w:pPr>
              <w:spacing w:after="0"/>
              <w:rPr>
                <w:sz w:val="12"/>
                <w:szCs w:val="12"/>
                <w:color w:val="auto"/>
              </w:rPr>
            </w:pPr>
          </w:p>
        </w:tc>
        <w:tc>
          <w:tcPr>
            <w:tcW w:w="5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Tax</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Fiscal Year(1)</w:t>
            </w:r>
          </w:p>
        </w:tc>
        <w:tc>
          <w:tcPr>
            <w:tcW w:w="32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Severance(2)</w:t>
            </w: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Awards(3)</w:t>
            </w: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Awards(4)</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Benefits(5)</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Services(6)</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Gross-Up</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Total(7)</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1"/>
              </w:rPr>
              <w:t>(c)</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(d)</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1"/>
              </w:rPr>
              <w:t>(e)</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9"/>
              </w:rPr>
              <w:t>(f)</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(h)</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rPr>
              <w:t>(i)</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Rock(8)</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240,240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433,333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673,573</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J. Yearwood</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3,750,000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7,205,593</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253,015</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4,010,897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15,571,890</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Restrepo(9)</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N. Mckay(10)</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Rivers</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385,072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2,904,240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2,884,313</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648,563</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2,154,030</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9,078,603</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B. Dudman</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401,944</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3,233,831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3,033,367</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668,633</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1,944,927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9,385,088</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Dorman(11)</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Because the termination is assumed to be effective on December 31, 2009, the amount shown represents bonus for the full year.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Amounts shown in column (c) assume a 3x termination multiple for all executives.</w:t>
      </w:r>
    </w:p>
    <w:p>
      <w:pPr>
        <w:spacing w:after="0" w:line="68" w:lineRule="exact"/>
        <w:rPr>
          <w:rFonts w:ascii="Arial" w:cs="Arial" w:eastAsia="Arial" w:hAnsi="Arial"/>
          <w:sz w:val="14"/>
          <w:szCs w:val="14"/>
          <w:color w:val="auto"/>
        </w:rPr>
      </w:pPr>
    </w:p>
    <w:p>
      <w:pPr>
        <w:ind w:left="340" w:right="40" w:hanging="332"/>
        <w:spacing w:after="0" w:line="233" w:lineRule="auto"/>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Amounts shown in column (d) represent the value of unvested options that would accelerate upon a change of control based on the difference between the closing price of Smith’s common stock at the end of fiscal 2009 and the exercise price of the respective options. The number of vested and exercisable options outstanding for each individual on December 31, 2009 is included in the Outstanding Equity Awards at Fiscal Year End table.</w:t>
      </w:r>
    </w:p>
    <w:p>
      <w:pPr>
        <w:spacing w:after="0" w:line="57"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Amounts shown in column (e) represent the value of unvested performance-based restricted stock units for the 2010 performance year at the target performance level and unvested restricted stock units, the vesting of which would accelerate upon a change of control based on the closing price of Smith’s common stock at the end of fiscal 2009.</w:t>
      </w:r>
    </w:p>
    <w:p>
      <w:pPr>
        <w:spacing w:after="0" w:line="57" w:lineRule="exact"/>
        <w:rPr>
          <w:rFonts w:ascii="Arial" w:cs="Arial" w:eastAsia="Arial" w:hAnsi="Arial"/>
          <w:sz w:val="14"/>
          <w:szCs w:val="14"/>
          <w:color w:val="auto"/>
        </w:rPr>
      </w:pPr>
    </w:p>
    <w:p>
      <w:pPr>
        <w:ind w:left="340" w:right="260" w:hanging="332"/>
        <w:spacing w:after="0" w:line="233" w:lineRule="auto"/>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Amounts shown in column (f) represent the excess of (i) the actuarial equivalent of the benefit under Smith’s current SERP and previous SERP and (ii) the actuarial equivalent of the executive’s actual benefit, if any, as of the date of termination, assuming that the executive’s base salary and contribution amounts remain at the same level as the highest monthly salary paid during fiscal year 2009. Amounts assume a 3x termination multiple for all executives.</w:t>
      </w:r>
    </w:p>
    <w:p>
      <w:pPr>
        <w:spacing w:after="0" w:line="57" w:lineRule="exact"/>
        <w:rPr>
          <w:rFonts w:ascii="Arial" w:cs="Arial" w:eastAsia="Arial" w:hAnsi="Arial"/>
          <w:sz w:val="14"/>
          <w:szCs w:val="14"/>
          <w:color w:val="auto"/>
        </w:rPr>
      </w:pPr>
    </w:p>
    <w:p>
      <w:pPr>
        <w:ind w:left="340" w:right="60" w:hanging="332"/>
        <w:spacing w:after="0" w:line="288" w:lineRule="auto"/>
        <w:tabs>
          <w:tab w:leader="none" w:pos="34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Amounts shown in column (g) represent the continuation of benefits to the executive and the executive’s family equal to those that would have been provided to them in accordance with the plans if (i) the executive’s employment had not terminated and (ii) the executive had remained employed and retired on the last day of such period, assuming full family coverage at the lowest deductible amounts under all benefit plans for each individual. Amounts assume benefits for three years for all executives. This amount also includes $50,000 in outplacement services for each executive.</w:t>
      </w:r>
    </w:p>
    <w:p>
      <w:pPr>
        <w:spacing w:after="0" w:line="29" w:lineRule="exact"/>
        <w:rPr>
          <w:rFonts w:ascii="Arial" w:cs="Arial" w:eastAsia="Arial" w:hAnsi="Arial"/>
          <w:sz w:val="12"/>
          <w:szCs w:val="12"/>
          <w:color w:val="auto"/>
        </w:rPr>
      </w:pPr>
    </w:p>
    <w:p>
      <w:pPr>
        <w:ind w:left="340" w:right="100" w:hanging="332"/>
        <w:spacing w:after="0" w:line="239" w:lineRule="auto"/>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Assuming the terms of the 2010 change of control agreements had been in effect as of December 31, 2009, none of the named executive officers would have received tax gross-up payments. Accordingly, the total paid to Messrs. Yearwood, Rivers and Dudman would have been $11,560,994, $6,924,574 and $7,440,161.</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Mr. Rock’s change of control payments were governed by the terms of the Rock agreement, discussed above. Mr. Rock resigned as an employee of Smith effective May 12,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60" w:hanging="332"/>
        <w:spacing w:after="0" w:line="239" w:lineRule="auto"/>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Mr. Restrepo did not have a 2009 change of control agreement. Assuming the terms of his 2010 change of control agreement had been in effect as of December 31, 2009, he would have received the following amounts:</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Welfare and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Pro Rata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Benefit Plan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Bonus for</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Salary and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Tax</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Current</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SERP</w:t>
            </w:r>
          </w:p>
        </w:tc>
        <w:tc>
          <w:tcPr>
            <w:tcW w:w="3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140" w:type="dxa"/>
            <w:vAlign w:val="bottom"/>
          </w:tcPr>
          <w:p>
            <w:pPr>
              <w:spacing w:after="0"/>
              <w:rPr>
                <w:sz w:val="12"/>
                <w:szCs w:val="12"/>
                <w:color w:val="auto"/>
              </w:rPr>
            </w:pPr>
          </w:p>
        </w:tc>
        <w:tc>
          <w:tcPr>
            <w:tcW w:w="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Gross-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Fiscal Year(1)</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Severance(2)</w:t>
            </w:r>
          </w:p>
        </w:tc>
        <w:tc>
          <w:tcPr>
            <w:tcW w:w="30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Awards(3)</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Awards(4)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2"/>
              </w:rPr>
              <w:t>Benefits(5)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Services(6)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Up</w:t>
            </w:r>
          </w:p>
        </w:tc>
        <w:tc>
          <w:tcPr>
            <w:tcW w:w="16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(c)</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(h)</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w:t>
            </w:r>
          </w:p>
        </w:tc>
        <w:tc>
          <w:tcPr>
            <w:tcW w:w="20" w:type="dxa"/>
            <w:vAlign w:val="bottom"/>
          </w:tcPr>
          <w:p>
            <w:pPr>
              <w:spacing w:after="0"/>
              <w:rPr>
                <w:sz w:val="12"/>
                <w:szCs w:val="12"/>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45,045</w:t>
            </w:r>
          </w:p>
        </w:tc>
        <w:tc>
          <w:tcPr>
            <w:tcW w:w="8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  1,485,135</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$1,395,832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90,734</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102,386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$3,119,131</w:t>
            </w:r>
          </w:p>
        </w:tc>
        <w:tc>
          <w:tcPr>
            <w:tcW w:w="20" w:type="dxa"/>
            <w:vAlign w:val="bottom"/>
          </w:tcPr>
          <w:p>
            <w:pPr>
              <w:spacing w:after="0"/>
              <w:rPr>
                <w:sz w:val="12"/>
                <w:szCs w:val="12"/>
                <w:color w:val="auto"/>
              </w:rPr>
            </w:pPr>
          </w:p>
        </w:tc>
      </w:tr>
    </w:tbl>
    <w:p>
      <w:pPr>
        <w:spacing w:after="0" w:line="70" w:lineRule="exact"/>
        <w:rPr>
          <w:sz w:val="20"/>
          <w:szCs w:val="20"/>
          <w:color w:val="auto"/>
        </w:rPr>
      </w:pPr>
    </w:p>
    <w:p>
      <w:pPr>
        <w:ind w:left="340" w:right="160" w:hanging="332"/>
        <w:spacing w:after="0" w:line="239" w:lineRule="auto"/>
        <w:tabs>
          <w:tab w:leader="none" w:pos="3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Mr. Mckay did not have a 2009 change of control agreement. Assuming the terms of his 2010 change of control agreement had been in effect as of December 31, 2009, he would have received the following amounts:</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Welfare and</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Pro Rata</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Benefit Plan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Bonus for</w:t>
            </w: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Salary and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6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Tax</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Current</w:t>
            </w: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SERP</w:t>
            </w: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Gross-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Fiscal Year(1)</w:t>
            </w:r>
          </w:p>
        </w:tc>
        <w:tc>
          <w:tcPr>
            <w:tcW w:w="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Severance(2)</w:t>
            </w:r>
          </w:p>
        </w:tc>
        <w:tc>
          <w:tcPr>
            <w:tcW w:w="32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Awards(3)</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Awards(4)</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Benefits(5)</w:t>
            </w:r>
          </w:p>
        </w:tc>
        <w:tc>
          <w:tcPr>
            <w:tcW w:w="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Services(6)</w:t>
            </w:r>
          </w:p>
        </w:tc>
        <w:tc>
          <w:tcPr>
            <w:tcW w:w="6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6"/>
              </w:rPr>
              <w:t>Up</w:t>
            </w:r>
          </w:p>
        </w:tc>
        <w:tc>
          <w:tcPr>
            <w:tcW w:w="32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(c)</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(e)</w:t>
            </w:r>
          </w:p>
        </w:tc>
        <w:tc>
          <w:tcPr>
            <w:tcW w:w="3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(f)</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(g)</w:t>
            </w: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(h)</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w:t>
            </w:r>
          </w:p>
        </w:tc>
        <w:tc>
          <w:tcPr>
            <w:tcW w:w="20" w:type="dxa"/>
            <w:vAlign w:val="bottom"/>
          </w:tcPr>
          <w:p>
            <w:pPr>
              <w:spacing w:after="0"/>
              <w:rPr>
                <w:sz w:val="12"/>
                <w:szCs w:val="12"/>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336,600</w:t>
            </w:r>
          </w:p>
        </w:tc>
        <w:tc>
          <w:tcPr>
            <w:tcW w:w="104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5"/>
              </w:rPr>
              <w:t>$  2,509,800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$3,686,344</w:t>
            </w:r>
          </w:p>
        </w:tc>
        <w:tc>
          <w:tcPr>
            <w:tcW w:w="94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  151,438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102,386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5"/>
              </w:rPr>
              <w:t>$6,786,568</w:t>
            </w:r>
          </w:p>
        </w:tc>
        <w:tc>
          <w:tcPr>
            <w:tcW w:w="20" w:type="dxa"/>
            <w:vAlign w:val="bottom"/>
          </w:tcPr>
          <w:p>
            <w:pPr>
              <w:spacing w:after="0"/>
              <w:rPr>
                <w:sz w:val="12"/>
                <w:szCs w:val="12"/>
                <w:color w:val="auto"/>
              </w:rPr>
            </w:pPr>
          </w:p>
        </w:tc>
      </w:tr>
    </w:tbl>
    <w:p>
      <w:pPr>
        <w:spacing w:after="0" w:line="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2"/>
          <w:szCs w:val="12"/>
          <w:color w:val="auto"/>
        </w:rPr>
        <w:t>Ms. Dorman was not an employee of Smith as of December 31, 2009.</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event of the executive’s termination of employment due to death or disability on December 31, 2009, payments would include the amounts indicated in column (b), (d) and (e) above.</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240" w:top="459" w:right="5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a summary of the dollar values of the total annual compensation attributable to each non-employee director’s service to Smith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0"/>
              </w:rPr>
              <w:t>Pension</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1"/>
              </w:rPr>
              <w:t>Fees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Value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Earned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Non-Equity</w:t>
            </w: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or Paid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All 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in Cash</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Awards</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500" w:type="dxa"/>
            <w:vAlign w:val="bottom"/>
            <w:gridSpan w:val="2"/>
          </w:tcPr>
          <w:p>
            <w:pPr>
              <w:ind w:left="400"/>
              <w:spacing w:after="0"/>
              <w:rPr>
                <w:sz w:val="20"/>
                <w:szCs w:val="20"/>
                <w:color w:val="auto"/>
              </w:rPr>
            </w:pPr>
            <w:r>
              <w:rPr>
                <w:rFonts w:ascii="Arial" w:cs="Arial" w:eastAsia="Arial" w:hAnsi="Arial"/>
                <w:sz w:val="12"/>
                <w:szCs w:val="12"/>
                <w:b w:val="1"/>
                <w:bCs w:val="1"/>
                <w:color w:val="auto"/>
                <w:w w:val="74"/>
              </w:rPr>
              <w:t>($</w:t>
            </w:r>
          </w:p>
        </w:tc>
        <w:tc>
          <w:tcPr>
            <w:tcW w:w="200" w:type="dxa"/>
            <w:vAlign w:val="bottom"/>
          </w:tcPr>
          <w:p>
            <w:pPr>
              <w:jc w:val="right"/>
              <w:ind w:right="55"/>
              <w:spacing w:after="0"/>
              <w:rPr>
                <w:sz w:val="20"/>
                <w:szCs w:val="20"/>
                <w:color w:val="auto"/>
              </w:rPr>
            </w:pPr>
            <w:r>
              <w:rPr>
                <w:rFonts w:ascii="Arial" w:cs="Arial" w:eastAsia="Arial" w:hAnsi="Arial"/>
                <w:sz w:val="14"/>
                <w:szCs w:val="14"/>
                <w:b w:val="1"/>
                <w:bCs w:val="1"/>
                <w:color w:val="auto"/>
                <w:w w:val="84"/>
              </w:rPr>
              <w:t>)</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right="117"/>
              <w:spacing w:after="0"/>
              <w:rPr>
                <w:sz w:val="20"/>
                <w:szCs w:val="20"/>
                <w:color w:val="auto"/>
              </w:rPr>
            </w:pPr>
            <w:r>
              <w:rPr>
                <w:rFonts w:ascii="Arial" w:cs="Arial" w:eastAsia="Arial" w:hAnsi="Arial"/>
                <w:sz w:val="14"/>
                <w:szCs w:val="14"/>
                <w:b w:val="1"/>
                <w:bCs w:val="1"/>
                <w:color w:val="auto"/>
                <w:w w:val="81"/>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81"/>
              </w:rPr>
              <w:t>($)</w:t>
            </w:r>
          </w:p>
        </w:tc>
        <w:tc>
          <w:tcPr>
            <w:tcW w:w="460" w:type="dxa"/>
            <w:vAlign w:val="bottom"/>
          </w:tcPr>
          <w:p>
            <w:pPr>
              <w:spacing w:after="0"/>
              <w:rPr>
                <w:sz w:val="14"/>
                <w:szCs w:val="14"/>
                <w:color w:val="auto"/>
              </w:rPr>
            </w:pPr>
          </w:p>
        </w:tc>
        <w:tc>
          <w:tcPr>
            <w:tcW w:w="94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(b)</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3"/>
              </w:rPr>
              <w:t>(c)</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top w:val="single" w:sz="8" w:color="auto"/>
            </w:tcBorders>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(d)</w:t>
            </w:r>
          </w:p>
        </w:tc>
        <w:tc>
          <w:tcPr>
            <w:tcW w:w="4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1"/>
              </w:rPr>
              <w:t>(e)</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5"/>
              </w:rPr>
              <w:t>(f)</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78"/>
              </w:rPr>
              <w:t>(g)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w:t>
            </w:r>
          </w:p>
        </w:tc>
        <w:tc>
          <w:tcPr>
            <w:tcW w:w="20" w:type="dxa"/>
            <w:vAlign w:val="bottom"/>
          </w:tcPr>
          <w:p>
            <w:pPr>
              <w:spacing w:after="0"/>
              <w:rPr>
                <w:sz w:val="12"/>
                <w:szCs w:val="12"/>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Loren Carroll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$318,003</w:t>
            </w:r>
          </w:p>
        </w:tc>
        <w:tc>
          <w:tcPr>
            <w:tcW w:w="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143,000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5,000(1)</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$348,003</w:t>
            </w:r>
          </w:p>
        </w:tc>
        <w:tc>
          <w:tcPr>
            <w:tcW w:w="2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$353,003</w:t>
            </w:r>
          </w:p>
        </w:tc>
        <w:tc>
          <w:tcPr>
            <w:tcW w:w="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Robert Kelley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1,000(1)</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$139,000</w:t>
            </w:r>
          </w:p>
        </w:tc>
        <w:tc>
          <w:tcPr>
            <w:tcW w:w="2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$306,003</w:t>
            </w:r>
          </w:p>
        </w:tc>
        <w:tc>
          <w:tcPr>
            <w:tcW w:w="20" w:type="dxa"/>
            <w:vAlign w:val="bottom"/>
          </w:tcPr>
          <w:p>
            <w:pPr>
              <w:spacing w:after="0"/>
              <w:rPr>
                <w:sz w:val="18"/>
                <w:szCs w:val="18"/>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Duane Radtke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21,647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$199,986</w:t>
            </w:r>
          </w:p>
        </w:tc>
        <w:tc>
          <w:tcPr>
            <w:tcW w:w="460" w:type="dxa"/>
            <w:vAlign w:val="bottom"/>
          </w:tcPr>
          <w:p>
            <w:pPr>
              <w:spacing w:after="0"/>
              <w:rPr>
                <w:sz w:val="19"/>
                <w:szCs w:val="19"/>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$221,633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These amounts represent matching educational gifts made on behalf of Mr. Fraser and Mr. Kelley, as indicated.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Mr. Kelley deferred the issuance of his annual common stock award until his retirement from the Smith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Employee directors receive no additional compensation other than their normal salary for serving on the Smith board of directors. Non-employee directors receive $50,000 annually and $2,000 for each board meeting attended. In addition, they are paid $10,000 per year for chairing a committee (other than the chairman of the Audit Committee who is paid $15,000 per year) and $2,000 for each committee meeting attended even if they are not members of such committee. The Lead Director is paid $15,000 per year. Expenses for company related business travel are either paid or reimbursed by Smith. Non-employee directors also receive an initial grant of shares, upon first election or appointment, along with an annual grant of shares of Smith common stock, each with a value of approximately $200,000.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Programs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Smith terminated its Directors’ Retirement Plan in 1998. Smith issued restricted stock unit grants to each of the non-employee directors in 1999 to fund the actuarial value of their accrued benefits under the retirement plan. These grants of 24,000 shares (adjusted for the two-for-one stock splits on June 20, 2002 and August 24, 2005) will vest upon retirement after ten years of service as a director. Cash dividends are not paid and do not accrue on the unvested units. The only director with outstanding restricted stock units is Mr. Gibbs.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Smith board of directors has established non-employee director stock ownership guidelines to align the interests of the directors with those of Smith’s stockholders and further promote Smith’s commitment to sound corporate governance. The guidelines are premised upon every non-employee director holding a number of shares of common stock equaling five times the director’s annual cash retainer, within three years of the date the guidelines become effective with respect to said individual.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INFORMATION ABOUT SMITH’S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DIRECTORS AND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Audit Committee has adopted a written policy which provides guidelines for monitoring and approving transactions with related parties. Pursuant to the policy, related parties include all executive and operating officers, members of the Smith board of directors and stockholders who own more than 5% of Smith’s common stock. Transactions with related parties that are entered into at prevailing prices and which comply with standard terms and conditions require no prior approval, except that all transactions with Smith’s Chief Executive Officer or Chief Financial Officer require pre-approval from the Nominating and Corporate Governance Committee. Transactions with related parties that do not reflect prevailing prices and do not comply with standard terms and conditions require pre-approval from Smith’s Chief Executive Officer or Chief Financial Officer and the Nominating and Corporate Governance Committee.</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Smith has not engaged in any transaction, or series of similar transactions, since the beginning of 2009, nor is there any currently proposed transaction, or series of similar transactions, to which Smith or any of its subsidiaries was or is to be a participant, in which the amount involved exceeds $120,000 and in which any of Smith’s directors or executive officers, members of their immediate family or any stockholder who owns more than 5% of Smith’s common stock had, or will have, a direct or indirect material interest.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16(a) of the Exchange Act requires Smith’s officers and directors, and persons who own more than 10% of Smith’s outstanding shares of common stock (collectively, “Section 16 persons”), to file with the SEC initial reports of ownership and reports of changes in ownership of Smith’s common stock and other equity securities. Section 16 persons are required by Commission regulations to furnish Smith with copies of all Section 16(a) reports they file.</w:t>
      </w:r>
    </w:p>
    <w:p>
      <w:pPr>
        <w:spacing w:after="0" w:line="107"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Based solely on its review of the copies of such reports received by it, or written representations from certain Section 16 persons that all Section 16(a) reports required to be filed for such persons had been filed, Smith believes that during 2009 the Section 16 persons complied with all Section 16(a) filing requirements applicable to them, except that Mr. Taylor, Smith’s Vice President and Controller, inadvertently filed one late report to disclose shares acquired pursuant to an equity award grant. Smith is unable to confirm whether Ms. Dorman complied with all Section 16(a) filing requirements during 2009.</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as of December 31, 2009, with respect to the Smith International, Inc. Third Amended and Restated 1989 Long-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 Incentive Compensation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6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240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9"/>
              </w:rPr>
              <w:t>(b)</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4"/>
              </w:rPr>
              <w:t>Issued upon Exercise</w:t>
            </w:r>
          </w:p>
        </w:tc>
        <w:tc>
          <w:tcPr>
            <w:tcW w:w="100" w:type="dxa"/>
            <w:vAlign w:val="bottom"/>
          </w:tcPr>
          <w:p>
            <w:pPr>
              <w:spacing w:after="0"/>
              <w:rPr>
                <w:sz w:val="12"/>
                <w:szCs w:val="12"/>
                <w:color w:val="auto"/>
              </w:rPr>
            </w:pPr>
          </w:p>
        </w:tc>
        <w:tc>
          <w:tcPr>
            <w:tcW w:w="24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100" w:type="dxa"/>
            <w:vAlign w:val="bottom"/>
          </w:tcPr>
          <w:p>
            <w:pPr>
              <w:spacing w:after="0"/>
              <w:rPr>
                <w:sz w:val="12"/>
                <w:szCs w:val="12"/>
                <w:color w:val="auto"/>
              </w:rPr>
            </w:pPr>
          </w:p>
        </w:tc>
        <w:tc>
          <w:tcPr>
            <w:tcW w:w="240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50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61"/>
        </w:trPr>
        <w:tc>
          <w:tcPr>
            <w:tcW w:w="50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46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5"/>
              </w:rPr>
              <w:t>and Rights</w:t>
            </w:r>
          </w:p>
        </w:tc>
        <w:tc>
          <w:tcPr>
            <w:tcW w:w="250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9"/>
              </w:rPr>
              <w:t>Warrants and Rights</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Column(a))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5,279,496(1)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20.05(2)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4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9"/>
              </w:rPr>
              <w:t>Not applicable</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9"/>
              </w:rPr>
              <w:t>Not applicable</w:t>
            </w:r>
          </w:p>
        </w:tc>
        <w:tc>
          <w:tcPr>
            <w:tcW w:w="124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5,279,496(1)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20.05(2)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332" w:lineRule="auto"/>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Includes an aggregate of 4,161,514 time-based restricted stock units and performance-based restricted stock units awarded to employees; 1,058,859 non-qualified stock options awarded to employees; and 59,123 restricted stock units to be awarded to directors upon their retirement from the board.</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Weighted average exercise price of outstanding options; excludes restricted stock units and performance-based restricted stock units.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Audit Committee of the Smith board of directors is comprised of three directors who are deemed to be independent under New York Stock Exchange listing standards and Securities and Exchange Commission regulations. We operate under a written charter, a copy of which is available on Smith’s website, www.smith.com. As required by the charter, we review and reassess the charter annually and recommend any changes to the Smith board of directors for approval.</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Smith’s management is responsible for the preparation and integrity of the financial statements and the independent registered public accounting firm is responsible for auditing those financial statements. The Audit Committee’s role under its charter is to provide oversight of management in carrying out their duties and to appoint, compensate, and oversee the work of the independent registered public accounting firm. The Audit Committee is not providing any expert or special assurance as to Smith’s financial statements or any professional certification as to the independent registered public accounting firm’s work.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context, we report as follows:</w:t>
      </w:r>
    </w:p>
    <w:p>
      <w:pPr>
        <w:spacing w:after="0" w:line="90" w:lineRule="exact"/>
        <w:rPr>
          <w:sz w:val="20"/>
          <w:szCs w:val="20"/>
          <w:color w:val="auto"/>
        </w:rPr>
      </w:pPr>
    </w:p>
    <w:p>
      <w:pPr>
        <w:ind w:left="660" w:right="480" w:hanging="206"/>
        <w:spacing w:after="0" w:line="357" w:lineRule="auto"/>
        <w:tabs>
          <w:tab w:leader="none" w:pos="6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We have reviewed and discussed with senior management the audited financial statements included in Smith’s Annual Report on Form 10-K. Management has confirmed to us that such financial statements have been prepared in conformity with generally accepted accounting principles.</w:t>
      </w:r>
    </w:p>
    <w:p>
      <w:pPr>
        <w:ind w:left="660" w:right="40" w:hanging="206"/>
        <w:spacing w:after="0" w:line="256"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We have discussed with Deloitte &amp; Touche LLP, Smith’s independent registered public accounting firm, the matters required to be discussed by Statement on Auditing Standards No. 114, The Auditor’s Communication With Those Charged With Governance. This Statement requires independent accountants to communicate certain matters related to the conduct of an audit to those who have responsibility for oversight of the financial reporting process, specifically the Audit Committee.</w:t>
      </w:r>
    </w:p>
    <w:p>
      <w:pPr>
        <w:spacing w:after="0" w:line="62" w:lineRule="exact"/>
        <w:rPr>
          <w:rFonts w:ascii="Arial" w:cs="Arial" w:eastAsia="Arial" w:hAnsi="Arial"/>
          <w:sz w:val="18"/>
          <w:szCs w:val="18"/>
          <w:color w:val="auto"/>
        </w:rPr>
      </w:pPr>
    </w:p>
    <w:p>
      <w:pPr>
        <w:ind w:left="660" w:hanging="206"/>
        <w:spacing w:after="0" w:line="298" w:lineRule="auto"/>
        <w:tabs>
          <w:tab w:leader="none" w:pos="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We have received and reviewed the written disclosures and the letter from the independent registered public accounting firm required by the applicable requirements of the Public Company Accounting Oversight Board regarding the independent accountant’s communications with the Audit Committee concerning independence, and have discussed with the independent accountant the independent accountant’s independence. Deloitte &amp; Touche LLP has confirmed in such letter that, in its professional judgment, it is independent of Smith within the meaning of the federal securities laws.</w:t>
      </w:r>
    </w:p>
    <w:p>
      <w:pPr>
        <w:spacing w:after="0" w:line="11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Based on the foregoing, we recommended to the Smith board of directors that the audited financial statements referred to above be included in Smith’s Annual Report on Form 10-K for the fiscal year ended December 31, 2009 filed with the Securities and Exchange Commission.</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Dod. A. Fraser,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Kelley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Luiz Rodolfo Landim Machado</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report of the Audit Committee shall not be deemed “soliciting material,” or to be “filed” with the SEC or subject to Regulation 14A or 14C or to the liabilities of Section 18 of the Exchange Act, except to the extent that we specifically request that the information be treated as soliciting material or specifically incorporate it by reference into a document filed under the Securities Act or the Exchange Act. Further, this report will not be deemed to be incorporated by reference into any filing under the Securities Act or the Exchange Act except to the extent that we specifically incorporate this information by reference.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1989 LONG-TERM INCENTIVE COMPENSATION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AMENDED AND RESTATED</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meeting, you will be asked to approve an amendment and restatement to the Smith International, Inc. 1989 Long-Term Incentive Compensation Plan (the “plan”), which incorporates previous amendments, increases by 5,000,000 the number of shares of Smith common stock reserved for the plan and makes other minor changes identified below. On [—], 2010, the last reported closing price of Smith’s common stock on the New York Stock Exchange Composite Tape was $[—].</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plan was originally approved by Smith’s stockholders at the May 9, 1989 Annual Meeting. Since 1989, as adjusted to reflect stock splits, a total of 33,040,000 shares of Smith common stock have been reserved for issuance under the plan. On April 8, 2010, the Smith board of directors approved an amendment to the plan to reserve an additional 5,000,000 shares of Smith common stock for issuance under the plan. The Smith board of directors also approved amendments to the plan to allow for awards to be paid in cash rather than equity, to defer awards and to remove the automatic vesting of outstanding awards upon a change in control event (as defined in the plan). At the annual meeting, you will be asked to approve the proposed amendments to the plan described above.</w:t>
      </w:r>
    </w:p>
    <w:p>
      <w:pPr>
        <w:spacing w:after="0" w:line="10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Of the total shares authorized for issuance under the plan, at [—], 2010, all but [—] shares have been awarded in the form of stock options or restricted stock. Should Smith’s stockholders approve the proposed amendment to the plan, a total of approximately [—] shares, or approximately [—]% of Smith’s outstanding common stock, would be reserved for issuance under the plan. In addition, of the shares that have already been awarded under the plan, [—] shares remained to be issued upon exercise of outstanding stock options or vesting of previously granted restricted stock unit awards.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Smith board of directors has found that restricted stock unit awards granted to employees have been highly effective in recruiting and retaining competent personnel. The Smith board of directors believes that the growth of the Company is dependent upon its ability to attract, employ and retain executives and employees of outstanding ability who will dedicate their maximum productive efforts toward the advancement of Smith. The growing competition among companies for capable managers makes it necessary for Smith to maintain a strong and competitive incentive program. The merger agreement restricts the ability of Smith to make new equity awards to any director, officer or employee, except in the ordinary course of business consistent with past practice or with the consent of Schlumberger. In the event that the merger with Schlumberger does not close prior to early December 2010, Smith intends to grant awards at similar levels and on the same criteria as it has done previously under the plan. Any awards granted during the pendency of the merger will not vest upon closing and a change in control but will have a double trigger that will vest the shares upon an involuntary termination other than for cause of the employee subsequent to such change in control. Currently, Smith does not have sufficient shares authorized under the plan to make these awards. When analyzing the number of shares needed for the plan, the Compensation and Benefits Committee considered the possibility that the merger with Schlumberger will not close. The additional 5,000,000 shares would allow Smith to continue its long-term incentive program for at least the next three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Plan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summary describes briefly the principal features of the plan, and is qualified in its entirety by reference to the full text of the plan, which is provided as Appendix C to this proxy statement/prospectus.</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the plan is to foster and promote the long-term financial success of Smith and to increase stockholder value by: (a) encouraging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commitment of selected key employees (as defined in the plan), (b) motivating superior performance of key employees by means of long-term performance related incentives, (c) encouraging and providing key employees with a program for obtaining ownership interests in Smith which link and align their personal interests to those of Smith’s stockholders, (d) attracting and retaining key employees by providing competitive compensation opportunities, (e) enabling key employees to share in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long-term growth and success of Smith, (f) providing additional incentives for securing and retaining qualified individuals who are not employees of Smith to serve on Smith’s board of directors (“outside directors”), and (g) to enhance Smith’s future growth by furthering outside directors’ alignment with the interests of Smith and its stockholders.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Awards Under the Plan. </w:t>
      </w:r>
      <w:r>
        <w:rPr>
          <w:rFonts w:ascii="Arial" w:cs="Arial" w:eastAsia="Arial" w:hAnsi="Arial"/>
          <w:sz w:val="16"/>
          <w:szCs w:val="16"/>
          <w:color w:val="auto"/>
        </w:rPr>
        <w:t>The plan provides for the following types of awards: (a) nonqualified stock option; (b) stock appreciation right; (c)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outside directors; (d) restricted stock (including performance-based); (e) restricted stock unit (including performance-based); (f) stock-based award;</w:t>
      </w:r>
    </w:p>
    <w:p>
      <w:pPr>
        <w:jc w:val="both"/>
        <w:ind w:right="40" w:firstLine="8"/>
        <w:spacing w:after="0" w:line="255" w:lineRule="auto"/>
        <w:tabs>
          <w:tab w:leader="none" w:pos="24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performance award settled in cash; and (h) any combination of the foregoing. The plan permits the grant of awards subject to performance objectives in order to qualify for the performance-based exception within Section 162(m) of the Internal Revenue Code. As of [—], 2010, nonqualified stock options, common stock and restricted stock units (including performance-based) have been awarded under the plan.</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Plan Administration. </w:t>
      </w:r>
      <w:r>
        <w:rPr>
          <w:rFonts w:ascii="Arial" w:cs="Arial" w:eastAsia="Arial" w:hAnsi="Arial"/>
          <w:sz w:val="16"/>
          <w:szCs w:val="16"/>
          <w:color w:val="auto"/>
        </w:rPr>
        <w:t>The plan is administered by the Compensation and Benefits Committee. However, the independent directors of the Smith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constitute the Committee under the plan with respect to awards to outside directors. Future awards are based on future performance or future stock price and, therefore, are not currently determinable. Please see the section entitled “Compensation Discussion and Analysis” for more information regarding future grants to the named executive officers; the Outstanding Equity Awards at Fiscal Year End Table for more information regarding past grants to the named executive officers; and the Director Compensation Table and related narrative discussion for more information regarding grants to outside directors.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Participation and Eligibility. </w:t>
      </w:r>
      <w:r>
        <w:rPr>
          <w:rFonts w:ascii="Arial" w:cs="Arial" w:eastAsia="Arial" w:hAnsi="Arial"/>
          <w:sz w:val="18"/>
          <w:szCs w:val="18"/>
          <w:color w:val="auto"/>
        </w:rPr>
        <w:t>All full-time salaried employees of Smith whom the Compensation and Benefits Committee determines are in a position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 to the growth, development or financial success of Smith and outside directors are eligible to receive awards under the plan. Common stock awards are only available to outside directors.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Shares Subject to Awards Under the Plan. </w:t>
      </w:r>
      <w:r>
        <w:rPr>
          <w:rFonts w:ascii="Arial" w:cs="Arial" w:eastAsia="Arial" w:hAnsi="Arial"/>
          <w:sz w:val="18"/>
          <w:szCs w:val="18"/>
          <w:color w:val="auto"/>
        </w:rPr>
        <w:t>Since 1989, as adjusted to reflect stock splits, a total of 33,040,000 shares of Smith common stock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reserved for issuance under the plan. Upon expiration, cancellation or termination of unexercised awards granted under the plan or forfeiture of shares of restricted stock, the shares of Smith common stock subject to such awards will again be available for the grant of awards under the plan. If any change occurs in Smith’s capitalization, such as a stock dividend or stock split, or if a merger takes place in which Smith is the surviving corporation, the Smith board of directors or the Compensation Committee may take such action as it deems appropriate so that the value of each outstanding award shall not be adversely affected by such corporate event.</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General Terms of the Awards. </w:t>
      </w:r>
      <w:r>
        <w:rPr>
          <w:rFonts w:ascii="Arial" w:cs="Arial" w:eastAsia="Arial" w:hAnsi="Arial"/>
          <w:sz w:val="18"/>
          <w:szCs w:val="18"/>
          <w:color w:val="auto"/>
        </w:rPr>
        <w:t>The specific terms and conditions of each award, including the vesting and termination of such awards, shall be fixed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Benefits Committee pursuant to the plan at the time the award is granted. Subject to exceptions, determined by the Compensation and Benefits Committee pursuant to the plan, the maximum stock based award that may be granted to a plan participant in a given year is 1,000,000 shares. The grant price of an option or stock appreciation right (“SAR”) may not be less than 100% of the fair market value of Smith’s common stock on the date of grant of the option. The maximum amount of compensation that may be paid under all performance-based awards denominated in cash granted to a plan participant in a given year may not exceed $5,000,000. Pursuant to the provisions of the plan and New York Stock Exchange rules, awards under the plan may not be re-priced without stockholder approval.</w:t>
      </w:r>
    </w:p>
    <w:p>
      <w:pPr>
        <w:spacing w:after="0" w:line="14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Federal Income Tax Consequences Associated with Awards Granted Under the Plan. </w:t>
      </w:r>
      <w:r>
        <w:rPr>
          <w:rFonts w:ascii="Arial" w:cs="Arial" w:eastAsia="Arial" w:hAnsi="Arial"/>
          <w:sz w:val="18"/>
          <w:szCs w:val="18"/>
          <w:color w:val="auto"/>
        </w:rPr>
        <w:t>The following is a general summary as of the date of this 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statement/prospectus of the United States federal income tax consequences associated with the grant of awards under the plan. The federal tax laws may change and the federal, state and local tax consequences for any participant will depend upon his or her individual circumstances, thus the tax consequences for any particular individual may be different. Also, this information may not be applicable to any employees of foreign subsidiaries of Smith or to participants who are not residents of the United States.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discussed above, several different types of incentive awards may be issued under the plan. The tax consequences related to the issuance of each type of award is discussed separately below.</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 xml:space="preserve">Nonqualified Stock Options and Stock Appreciation Rights (SARs). </w:t>
      </w:r>
      <w:r>
        <w:rPr>
          <w:rFonts w:ascii="Arial" w:cs="Arial" w:eastAsia="Arial" w:hAnsi="Arial"/>
          <w:sz w:val="16"/>
          <w:szCs w:val="16"/>
          <w:color w:val="auto"/>
        </w:rPr>
        <w:t>Nonqualified stock options granted under the plan are not intended to qualify as</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options” and will not qualify for any special tax benefits to the optionee. A participant receiving a nonqualified stock option or SAR that has been issued with an exercise price not less than the fair market value of Smith common stock on the grant date will not recognize income and Smith will not be allowed a deduction at the time such an option is granted. When a participant exercises a nonqualified stock option or SAR, the difference between the exercise price and any higher market value of the stock on the date of exercise will be ordinary income to the participant. When a participant disposes of shares acquired by the exercise of the option or SAR, any additional gain or loss will be a capital gain or loss.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general, there will be no federal income tax deduction allowed to Smith upon the grant or termination of a nonqualified stock option or SAR or a sale or disposition of the shares acquired upon exercise of the stock option or SAR. However, upon the exercise of a nonqualified stock option or SAR, Smith will be entitled to a deduction for federal income tax purposes equal to the amount of ordinary income that the participant is required to recognize as a result of the exercise, provided that the deduction is not otherwise disallowed under the Internal Revenue Code.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Restricted Stock Awards, Restricted Stock Unit Awards and Stock-Based Awards. </w:t>
      </w:r>
      <w:r>
        <w:rPr>
          <w:rFonts w:ascii="Arial" w:cs="Arial" w:eastAsia="Arial" w:hAnsi="Arial"/>
          <w:sz w:val="16"/>
          <w:szCs w:val="16"/>
          <w:color w:val="auto"/>
        </w:rPr>
        <w:t>Generally, the recipient of a restricted stock award or 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has no federal income tax consequences at the time of grant. Rather, at the time the shares are vested and no longer subject to a substantial risk of forfeiture, the participant will recognize ordinary income to the extent of the excess of the fair market value of the stock on the date the risk of forfeiture ceases over the amount paid, if any, by the participant for such stock. For a restricted stock award only, the participant may instead elect to be taxed at the time of grant by making an election under Section 83(b) of the Internal Revenue Code.</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year that the recipient of a restricted stock award, restricted stock unit award or stock-based award recognizes ordinary taxable income in respect of such award, Smith will be entitled to a deduction for federal income tax purposes equal to the amount of ordinary income that the participant is required to recognize, provided that the deduction is not otherwise disallowed under the Internal Revenue Code. Upon disposition of the shares received, the gain or loss recognized by the participant will be treated as capital gain or loss.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With certain exceptions, Section 162(m) of the Internal Revenue Code denies a deduction to Smith for compensation paid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executive officers in excess of $1 million per executive per taxable year. One such exception applies to certain performance-based compensation as described in Section 162(m), and certain awards granted under the plan will be intended to qualify as performance-based compensation. The plan contains provisions consistent with the requirements for performance-based compensation under Section 162(m). However, the Compensation and Benefits Committee may award non-deductible compensation when such grants are in the best interest of Smith, balancing tax efficiency with long-term strategic objectives.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Section 409A of the Internal Revenue Code provides certain new requirements for non-qualified deferred compensation arrangements.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requirements with respect to an individual’s election to defer compensation and the individual’s selection of the timing and form of distribution of deferred compensation. Section 409A also generally provides that distributions must be made on or after the occurrence of certain events (e.g., the individual’s separation from service, a predetermined date, or the individual’s death). Section 409A imposes restrictions on an individual’s ability to change his or her distribution timing or form of distribution, after the compensation has been deferred.</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Awards granted under the Plan with a deferral feature will be subject to the requirements of Section 409A. If an award is subject to and fails to satisfy the requirements of Section 409A, the recipient of that award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recognize ordinary income on the amounts deferred under the award, to the extent vested, which may be prior to when the compensation is actually or constructively received. Also, if an award that is subject to Section 409A fails to comply with Section 409A, an additional 20% federal income tax is imposed on compensation recognized as ordinary income, as well as interest on such deferred compensation.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Smith believes that the plan is not subject to any provisions of the Employee Retirement Income Security Act of 1974 (ERISA). The plan is not a</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plan under Section 401(a) of the Internal Revenue Code.</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Amendment of the Plan. </w:t>
      </w:r>
      <w:r>
        <w:rPr>
          <w:rFonts w:ascii="Arial" w:cs="Arial" w:eastAsia="Arial" w:hAnsi="Arial"/>
          <w:sz w:val="16"/>
          <w:szCs w:val="16"/>
          <w:color w:val="auto"/>
        </w:rPr>
        <w:t>The Smith board of directors may terminate, modify or amend the plan at any time without stockholder approval, except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amendments that (a) change the class of persons eligible to receive awards; (b) extend the term of the plan; (c) decrease the authority granted to the Committee under the plan; (d) increase the number of shares subject to the plan or (e) require stockholder approval under New York Stock Exchange listing standards or the Internal Revenue Code in order to maintain listing requirements or favorable tax advantages or qualifications.</w:t>
      </w:r>
    </w:p>
    <w:p>
      <w:pPr>
        <w:spacing w:after="0" w:line="11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Required Approval. </w:t>
      </w:r>
      <w:r>
        <w:rPr>
          <w:rFonts w:ascii="Arial" w:cs="Arial" w:eastAsia="Arial" w:hAnsi="Arial"/>
          <w:sz w:val="16"/>
          <w:szCs w:val="16"/>
          <w:color w:val="auto"/>
        </w:rPr>
        <w:t>The affirmative vote of a majority of the shares represented at the Smith annual meeting and entitled to vote will be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 the Plan, provided that at least a majority of the outstanding shares of Smith common stock vote on the proposal.</w:t>
      </w:r>
    </w:p>
    <w:p>
      <w:pPr>
        <w:spacing w:after="0" w:line="7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approval of the 1989 Long-Term Incentive Compensation Plan, as Amended and Restated.</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20"/>
          </w:cols>
          <w:pgMar w:left="24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DELOITTE &amp; TOUCHE LLP 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FOR SMITH</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Audit Committee of the Smith board of directors has selected Deloitte &amp; Touche LLP as its independent registered public accounting firm to audit the books and records of Smith for its fiscal year ending December 31, 2010. The services of Deloitte &amp; Touche LLP will include the audit of the effectiveness of internal controls over financial reporting. Smith has been advised by Deloitte &amp; Touche LLP that the firm has no relationship with Smith or its subsidiaries other than that arising from the firm’s engagement as independent registered public accountants and, in limited circumstances, tax advisors. Deloitte &amp; Touche LLP has audited Smith’s financial statements since April 15, 2002.</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Deloitte &amp; Touche LLP has offices in or convenient to most of the locations in the world where Smith and its subsidiaries operate. Representatives of Deloitte &amp; Touche LLP are not expected to be present at the Smith annual meeting, will not have the opportunity to make a statement and will not be available to respond to questions.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Ratification of the appointment of Deloitte &amp; Touche LLP as Smith’s independent registered public accountants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34"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continued engagement of Deloitte &amp; Touche LLP as independent registered public accounting firm to audit Smith’s books and records for the fiscal year ending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Deloitte &amp; Touche LLP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years 2009 and 2008, Smith incurred the following fees for services performed by Deloitte &amp; Touche LLP:</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2008</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5,115,000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5,720,000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Audit-Related Fees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191,000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1,193,000</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All Other Fees</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5,306,000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7,284,000</w:t>
            </w: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Audit Fees</w:t>
      </w:r>
      <w:r>
        <w:rPr>
          <w:rFonts w:ascii="Arial" w:cs="Arial" w:eastAsia="Arial" w:hAnsi="Arial"/>
          <w:sz w:val="16"/>
          <w:szCs w:val="16"/>
          <w:color w:val="auto"/>
        </w:rPr>
        <w:t>. This category includes the audit of Smith’s annual financial statements and internal control over financial reporting as required by Section 404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Sarbanes-Oxley Act, audits of statutory accounts in certain non-U.S. jurisdictions, review of financial statements included in Smith’s quarterly reports on Form 10-Q and services that are normally provided by the independent registered public accountants in connection with statutory and regulatory filings or engagements for those fiscal years. This category also includes the audit of the combined financial statements of M-I SWACO.</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Audit-Related Fees</w:t>
      </w:r>
      <w:r>
        <w:rPr>
          <w:rFonts w:ascii="Arial" w:cs="Arial" w:eastAsia="Arial" w:hAnsi="Arial"/>
          <w:sz w:val="16"/>
          <w:szCs w:val="16"/>
          <w:color w:val="auto"/>
        </w:rPr>
        <w:t>. This category consists of assurance and related services by Deloitte &amp; Touche LLP that are reasonably related to the performance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audit or review of Smith’s financial statements and are not reported above under “Audit Fees.” The services for the fees disclosed under this category primarily relate to the audit of various U.S. employee benefit plans, which were not directly related to the audit of the consolidated financial statements. The Audit Committee approved 100% of these Audit-Related Fees pursuant to its pre-approval policy.</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Tax Fees</w:t>
      </w:r>
      <w:r>
        <w:rPr>
          <w:rFonts w:ascii="Arial" w:cs="Arial" w:eastAsia="Arial" w:hAnsi="Arial"/>
          <w:sz w:val="16"/>
          <w:szCs w:val="16"/>
          <w:color w:val="auto"/>
        </w:rPr>
        <w:t>. This category includes fees for professional services performed by Deloitte &amp; Touche LLP with respect to tax return preparation, tax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advice and tax planning. The Audit Committee approved 100% of these Tax Fees pursuant to its pre-approval policy.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 by Deloitte &amp; Touche LLP</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All services rendered by Deloitte &amp; Touche LLP are permissible under applicable laws and regulations, and are pre-approved by the Audit Committee. Consideration and approval of these services generally occurs in the regularly scheduled Audit Committee meetings. Pursuant to SEC rules, the fees paid to Deloitte &amp; Touche LLP for services are disclosed in the table above under the categories listed.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ratification by stockholders is not required by law, the Audit Committee has determined that it is desirable to seek stockholder ratification of this appointment in light of the critical role played by independent registered public accountants in maintaining the integrity of Smith’s financial controls and reporting. Notwithstanding its selection, the Audit Committee, in its discretion, may appoint new independent registered public accountants at any time during the year if the Audit Committee believes that such a change would be in the best interests of the Company and its stockholders. If the stockholders do not ratify the appointment of Deloitte &amp; Touche LLP, the Audit Committee may reconsider its selection.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SMITH ANNUAL REPORT AND FINANCIAL INFORMATION</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 copy of Smith’s 2009 Annual Report to Stockholders is being mailed with this proxy statement/prospectus. Smith will provide without charge Smith’s Annual Report on Form 10-K for the fiscal year ended December 31, 2009 to any person requesting a copy in writing and stating that he or she was a beneficial holder of Smith common stock on [—], 2010. The Annual Report on Form 10-K is also available on Smith’s website at www.smith.com under the “Investor Relations” caption by following the “SEC Filings” link. Smith will also furnish copies of any exhibits to the Form 10-K. Requests and inquiries should be addressed to:</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Smith International,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 O. Box 60068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TX 77205-0068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(281) 233-5768</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Smith’s 2009 Annual Report to Stockholders should not be regarded as proxy soliciting material or as a communication for which a solicitation of proxies is to be made.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be considered for inclusion in this proxy statement/prospectus for Smith’s annual meeting, stockholder proposals must have been submitted to Smith in writing by no later than [—]. In addition, under Smith’s amended and restated bylaws, in order for a stockholder to bring any business before Smith’s annual meeting, notice must have been received by Smith in writing between [—] and [—], in accordance with and including all of the information required by Smith’s Amended and Restated Bylaws. If Smith’s annual meeting is held more than 30 days before or more than 60 days after May 12, 2010, for a stockholder to bring any matter before the annual meeting, the stockholder’s written notice must have been received no earlier than 90 days and not later than 60 days prior to the date of the annual meeting or, if the date of the annual meeting is announced less than 100 days prior to the meeting date, then not later than the 10th day after such announcement. If Smith has not received notice of a stockholder proposal in proper form within these time frames, Smith management will use its discretion to vote all the shares for which it has received proxies as the Smith board of directors may recommend.</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merger is completed, Smith does not expect to hold a 2011 annual meeting of stockholders. In that case, stockholder proposals for action by the stockholders of Schlumberger must be submitted to the Secretary of Schlumberger in accordance with the procedures implemented by Schlumberger for such meeting. If the merger is not completed, Smith will hold a 2011 annual meeting of stockholders. To be considered for inclusion in the proxy statement for next year’s annual meeting of Smith stockholders, if any, stockholder proposals must be submitted to Smith in writing by no later than [—], 2010. In addition, under Smith’s Amended and Restated Bylaws, in order for a stockholder to bring any business before next year’s annual meeting of Smith stockholders, notice must be received by Smith in writing between [—], 2011 and [—], 2011, in accordance with and including all of the information required by Smith’s Amended and Restated Bylaws. If the 2011 annual meeting of Smith stockholders is held more than 30 days before or more than 60 days after [—], 2011, for a stockholder to bring any matter before the 2011 annual meeting of Smith stockholders, the stockholder’s written notice must be received no earlier than 90 days and not later than 60 days prior to the date of the 2011 Annual Meeting or, if Smith announces the date of the 2011 annual meeting of Smith stockholders less than 100 days prior to the meeting date, then not later than the 10th day after the announcement. If Smith does not receive notice of your proposal in proper form within these time frames, Smith’s management will use its discretion to vote all the shares of Smith common stock for which Smith has received proxies as the Smith board of directors may recommend.</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Schlumberger’s Annual Report on Form 10-K for the year ended December 31, 2009 have been so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financial statements, and the related financial statement schedule, incorporated in this proxy statement/prospectus by reference from Smith’s Annual Report on Form 10-K for the year ended December 31, 2009 and the effectiveness of Smith’s internal control over financial reporting have been audited by Deloitte &amp; Touche LLP, an independent registered public accounting firm, as stated in their reports, which are incorporated herein by reference. Such financial statements and financial statement schedule have been so incorporated in reliance upon the reports of such firm given upon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validity of the Schlumberger common stock offered hereby will be passed upon for Schlumberger by Alexander C. Juden, its General Counsel and Secretary.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Schlumberger has filed a registration statement on Form S-4 to register with the SEC the shares of Schlumberger common stock to be issued to Smith stockholders in connection with the merger. This proxy statement/prospectus is a part of that registration statement and constitutes a prospectus of Schlumberger in addition to being a proxy statement of Smith for the annual meeting. The registration statement, including the attached exhibits and schedules, contains additional relevant information about Schlumberger and its common stock. The rules and regulations of the SEC allow Schlumberger and Smith to omit certain information included in the registration statement from this proxy statement/prospectus.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Schlumberger and Smith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web site that has reports, proxy statements and other information about Schlumberger and Smith. The address of that site is http://www.sec.gov. The reports and other information filed by Schlumberger and Smith with the SEC are also available at their respective internet web sites, which are http://www.schlumberger.com and http://www.smith.com. Information on these internet web sites is not part of this proxy statement/prospectus.</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SEC allows Schlumberger and Smith to “incorporate by reference” information into this proxy statement/prospectus. This means that important information can be disclosed to you by referring you to another document filed separately with the SEC. The information incorporated by reference is deemed to be part of this proxy statement/prospectus, except for any information superseded by information in this proxy statement/prospectus or in later filed documents incorporated by reference into this proxy statement/prospectus. This proxy statement/prospectus incorporates by reference the documents set forth below that Schlumberger and Smith have, respectively, previously filed with the SEC and any additional documents that either company may file with the SEC under Section 13(a), 13(c), 14 or 15(d) of the Exchange Act between the date of this proxy statement/prospectus and the date of the completion of the merger (other than, in each case, those documents, or the portions of those documents or exhibits thereto, deemed to be furnished and not filed in accordance with SEC rules). These documents contain important information about Schlumberger and Smith and their respective financial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w:t>
      </w:r>
    </w:p>
    <w:p>
      <w:pPr>
        <w:spacing w:after="0" w:line="96" w:lineRule="exact"/>
        <w:rPr>
          <w:sz w:val="20"/>
          <w:szCs w:val="20"/>
          <w:color w:val="auto"/>
        </w:rPr>
      </w:pPr>
    </w:p>
    <w:p>
      <w:pPr>
        <w:ind w:left="660" w:hanging="206"/>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Quarterly Report on Form 10-Q for the three months ended March 31, 2010;</w:t>
      </w:r>
    </w:p>
    <w:p>
      <w:pPr>
        <w:spacing w:after="0" w:line="90" w:lineRule="exact"/>
        <w:rPr>
          <w:rFonts w:ascii="Arial" w:cs="Arial" w:eastAsia="Arial" w:hAnsi="Arial"/>
          <w:sz w:val="18"/>
          <w:szCs w:val="18"/>
          <w:color w:val="auto"/>
        </w:rPr>
      </w:pPr>
    </w:p>
    <w:p>
      <w:pPr>
        <w:ind w:left="660" w:right="40" w:hanging="206"/>
        <w:spacing w:after="0" w:line="254"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22, 2010 (Linda Gillespie Stuntz’s notification of intention not to stand for reelection to Board of Directors), February 8, 2010 (Paal Kibsgaard appointed as Chief Operating Officer), February 8, 2010 (Chakib Sbiti assuming position of Senior Executive Advisor to Chairman and Chief Executive Officer), February 22, 2010 (press release regarding Smith transaction) and February 22, 2010 (execution of merger agreement with Smith), April 5, 2010 (press release regarding second request from the Antitrust Division), April 9, 2010 (results of Schlumberger’s 2010 annual meeting), June 7, 2010 (Jamie S. Gorelick’s resignation from the Board of Directors) and June 10, 2010 (update on U.S. Gulf of Mexico operations); and</w:t>
      </w:r>
    </w:p>
    <w:p>
      <w:pPr>
        <w:spacing w:after="0" w:line="63"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description of Schlumberger’s common stock, par value $0.01 per share, contained in Schlumberger’s Current Report on Form 8-K filed on April 29, 2005.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w:t>
      </w:r>
    </w:p>
    <w:p>
      <w:pPr>
        <w:spacing w:after="0" w:line="96" w:lineRule="exact"/>
        <w:rPr>
          <w:sz w:val="20"/>
          <w:szCs w:val="20"/>
          <w:color w:val="auto"/>
        </w:rPr>
      </w:pPr>
    </w:p>
    <w:p>
      <w:pPr>
        <w:ind w:left="660" w:hanging="206"/>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Annual Report on Form 10-K, as amended, for the year ended December 31, 2009;</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Quarterly Report on Form 10-Q for the three months ended March 31, 2010;</w:t>
      </w:r>
    </w:p>
    <w:p>
      <w:pPr>
        <w:spacing w:after="0" w:line="90" w:lineRule="exact"/>
        <w:rPr>
          <w:rFonts w:ascii="Arial" w:cs="Arial" w:eastAsia="Arial" w:hAnsi="Arial"/>
          <w:sz w:val="18"/>
          <w:szCs w:val="18"/>
          <w:color w:val="auto"/>
        </w:rPr>
      </w:pPr>
    </w:p>
    <w:p>
      <w:pPr>
        <w:ind w:left="660" w:right="180" w:hanging="206"/>
        <w:spacing w:after="0" w:line="306" w:lineRule="auto"/>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Current Reports on Form 8-K filed with the SEC on January 26, 2010, February 22, 2010 (press release regarding Schlumberger transaction), February 22, 2010 (execution of merger agreement with Schlumberger and amendment of rights agreement), April 5, 2010 (press release regarding second request from the Antitrust Division), April 23, 2010 (retirement of Mr. Rock) and June 9, 2010 (amendment of stockholder rights agreement);</w:t>
      </w:r>
    </w:p>
    <w:p>
      <w:pPr>
        <w:spacing w:after="0" w:line="25" w:lineRule="exact"/>
        <w:rPr>
          <w:rFonts w:ascii="Arial" w:cs="Arial" w:eastAsia="Arial" w:hAnsi="Arial"/>
          <w:sz w:val="16"/>
          <w:szCs w:val="16"/>
          <w:color w:val="auto"/>
        </w:rPr>
      </w:pPr>
    </w:p>
    <w:p>
      <w:pPr>
        <w:ind w:left="660" w:right="180" w:hanging="206"/>
        <w:spacing w:after="0" w:line="332" w:lineRule="auto"/>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description of Smith’s common stock, par value $1.00 per share, contained in Smith’s Registration Statement on Form 8-B filed with the SEC on May 25, 1983, including any subsequent amendment or any report filed for the purpose of updating such description; and</w:t>
      </w:r>
    </w:p>
    <w:p>
      <w:pPr>
        <w:spacing w:after="0" w:line="4" w:lineRule="exact"/>
        <w:rPr>
          <w:rFonts w:ascii="Arial" w:cs="Arial" w:eastAsia="Arial" w:hAnsi="Arial"/>
          <w:sz w:val="16"/>
          <w:szCs w:val="16"/>
          <w:color w:val="auto"/>
        </w:rPr>
      </w:pPr>
    </w:p>
    <w:p>
      <w:pPr>
        <w:ind w:left="660" w:right="300" w:hanging="206"/>
        <w:spacing w:after="0" w:line="268"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description of Smith’s preferred share purchase rights contained in Smith’s Registration Statement on Form 8-A filed with the SEC on June 15, 2000, including any subsequent amendment or any report filed for the purpose of updating such description.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Schlumberger has supplied all information contained in or incorporated by reference into this proxy statement/prospectus relating to Schlumberger, as well as all pro forma financial information, and Smith has supplied all such information relating to Smith.</w:t>
      </w:r>
    </w:p>
    <w:p>
      <w:pPr>
        <w:spacing w:after="0" w:line="132"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Documents incorporated by reference are available from Schlumberger or Smith, as the case may be, without charge, excluding any exhibits to those documents, unless the exhibit is specifically incorporated by reference into this proxy statement/prospectus. Stockholders may obtain these documents incorporated by reference by requesting them in writing or by telephone from the appropriate party at the following addresses and telephone numbers: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375-3535</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International,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 O. Box 60068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TX 77205-0068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(281) 443-3370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would like to request documents, please do so by [—], 2010 in order to receive them before the annual meeting.</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into this proxy statement/prospectus to vote on the merger agreement. Neither Schlumberger nor Smith has authorized anyone to provide you with information that is different from what is contained in this proxy statement/prospectus.</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This proxy statement/prospectus is dated [—], 2010. You should not assume that the information in it is accurate as of any date other than that date, and neither its mailing to stockholders nor the issuance of Schlumberger common stock in the merger shall create any implication to the contrary.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40"/>
          </w:cols>
          <w:pgMar w:left="240" w:top="459" w:right="3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TURNBERRY MERGER SUB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988695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tcPr>
          <w:p>
            <w:pPr>
              <w:spacing w:after="0"/>
              <w:rPr>
                <w:sz w:val="19"/>
                <w:szCs w:val="19"/>
                <w:color w:val="auto"/>
              </w:rPr>
            </w:pPr>
          </w:p>
        </w:tc>
        <w:tc>
          <w:tcPr>
            <w:tcW w:w="914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800" w:type="dxa"/>
            <w:vAlign w:val="bottom"/>
            <w:vMerge w:val="restart"/>
          </w:tcPr>
          <w:p>
            <w:pPr>
              <w:spacing w:after="0"/>
              <w:rPr>
                <w:sz w:val="20"/>
                <w:szCs w:val="20"/>
                <w:color w:val="auto"/>
              </w:rPr>
            </w:pPr>
            <w:r>
              <w:rPr>
                <w:rFonts w:ascii="Arial" w:cs="Arial" w:eastAsia="Arial" w:hAnsi="Arial"/>
                <w:sz w:val="18"/>
                <w:szCs w:val="18"/>
                <w:color w:val="auto"/>
                <w:w w:val="93"/>
              </w:rPr>
              <w:t>Article 1 THE MERGER</w:t>
            </w:r>
          </w:p>
        </w:tc>
        <w:tc>
          <w:tcPr>
            <w:tcW w:w="914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800" w:type="dxa"/>
            <w:vAlign w:val="bottom"/>
            <w:vMerge w:val="continue"/>
          </w:tcPr>
          <w:p>
            <w:pPr>
              <w:spacing w:after="0"/>
              <w:rPr>
                <w:sz w:val="17"/>
                <w:szCs w:val="17"/>
                <w:color w:val="auto"/>
              </w:rPr>
            </w:pPr>
          </w:p>
        </w:tc>
        <w:tc>
          <w:tcPr>
            <w:tcW w:w="9140" w:type="dxa"/>
            <w:vAlign w:val="bottom"/>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1.1</w:t>
            </w:r>
          </w:p>
        </w:tc>
        <w:tc>
          <w:tcPr>
            <w:tcW w:w="9140" w:type="dxa"/>
            <w:vAlign w:val="bottom"/>
          </w:tcPr>
          <w:p>
            <w:pPr>
              <w:ind w:left="20"/>
              <w:spacing w:after="0"/>
              <w:rPr>
                <w:sz w:val="20"/>
                <w:szCs w:val="20"/>
                <w:color w:val="auto"/>
              </w:rPr>
            </w:pPr>
            <w:r>
              <w:rPr>
                <w:rFonts w:ascii="Arial" w:cs="Arial" w:eastAsia="Arial" w:hAnsi="Arial"/>
                <w:sz w:val="18"/>
                <w:szCs w:val="18"/>
                <w:color w:val="auto"/>
              </w:rPr>
              <w:t>The Merger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1.2</w:t>
            </w:r>
          </w:p>
        </w:tc>
        <w:tc>
          <w:tcPr>
            <w:tcW w:w="9140" w:type="dxa"/>
            <w:vAlign w:val="bottom"/>
          </w:tcPr>
          <w:p>
            <w:pPr>
              <w:ind w:left="20"/>
              <w:spacing w:after="0"/>
              <w:rPr>
                <w:sz w:val="20"/>
                <w:szCs w:val="20"/>
                <w:color w:val="auto"/>
              </w:rPr>
            </w:pPr>
            <w:r>
              <w:rPr>
                <w:rFonts w:ascii="Arial" w:cs="Arial" w:eastAsia="Arial" w:hAnsi="Arial"/>
                <w:sz w:val="18"/>
                <w:szCs w:val="18"/>
                <w:color w:val="auto"/>
              </w:rPr>
              <w:t>The Closing</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1.3</w:t>
            </w:r>
          </w:p>
        </w:tc>
        <w:tc>
          <w:tcPr>
            <w:tcW w:w="9140" w:type="dxa"/>
            <w:vAlign w:val="bottom"/>
          </w:tcPr>
          <w:p>
            <w:pPr>
              <w:ind w:left="20"/>
              <w:spacing w:after="0"/>
              <w:rPr>
                <w:sz w:val="20"/>
                <w:szCs w:val="20"/>
                <w:color w:val="auto"/>
              </w:rPr>
            </w:pPr>
            <w:r>
              <w:rPr>
                <w:rFonts w:ascii="Arial" w:cs="Arial" w:eastAsia="Arial" w:hAnsi="Arial"/>
                <w:sz w:val="18"/>
                <w:szCs w:val="18"/>
                <w:color w:val="auto"/>
              </w:rPr>
              <w:t>Effective Time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w:t>
            </w:r>
          </w:p>
        </w:tc>
        <w:tc>
          <w:tcPr>
            <w:tcW w:w="9140" w:type="dxa"/>
            <w:vAlign w:val="bottom"/>
          </w:tcPr>
          <w:p>
            <w:pPr>
              <w:ind w:left="20"/>
              <w:spacing w:after="0"/>
              <w:rPr>
                <w:sz w:val="20"/>
                <w:szCs w:val="20"/>
                <w:color w:val="auto"/>
              </w:rPr>
            </w:pPr>
            <w:r>
              <w:rPr>
                <w:rFonts w:ascii="Arial" w:cs="Arial" w:eastAsia="Arial" w:hAnsi="Arial"/>
                <w:sz w:val="18"/>
                <w:szCs w:val="18"/>
                <w:color w:val="auto"/>
              </w:rPr>
              <w:t>Certificate of Incorporation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2.2</w:t>
            </w:r>
          </w:p>
        </w:tc>
        <w:tc>
          <w:tcPr>
            <w:tcW w:w="9140" w:type="dxa"/>
            <w:vAlign w:val="bottom"/>
          </w:tcPr>
          <w:p>
            <w:pPr>
              <w:ind w:left="20"/>
              <w:spacing w:after="0"/>
              <w:rPr>
                <w:sz w:val="20"/>
                <w:szCs w:val="20"/>
                <w:color w:val="auto"/>
              </w:rPr>
            </w:pPr>
            <w:r>
              <w:rPr>
                <w:rFonts w:ascii="Arial" w:cs="Arial" w:eastAsia="Arial" w:hAnsi="Arial"/>
                <w:sz w:val="18"/>
                <w:szCs w:val="18"/>
                <w:color w:val="auto"/>
              </w:rPr>
              <w:t>Bylaws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3.1</w:t>
            </w:r>
          </w:p>
        </w:tc>
        <w:tc>
          <w:tcPr>
            <w:tcW w:w="9140" w:type="dxa"/>
            <w:vAlign w:val="bottom"/>
          </w:tcPr>
          <w:p>
            <w:pPr>
              <w:ind w:left="20"/>
              <w:spacing w:after="0"/>
              <w:rPr>
                <w:sz w:val="20"/>
                <w:szCs w:val="20"/>
                <w:color w:val="auto"/>
              </w:rPr>
            </w:pPr>
            <w:r>
              <w:rPr>
                <w:rFonts w:ascii="Arial" w:cs="Arial" w:eastAsia="Arial" w:hAnsi="Arial"/>
                <w:sz w:val="18"/>
                <w:szCs w:val="18"/>
                <w:color w:val="auto"/>
              </w:rPr>
              <w:t>Board of Directors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3.2</w:t>
            </w:r>
          </w:p>
        </w:tc>
        <w:tc>
          <w:tcPr>
            <w:tcW w:w="9140" w:type="dxa"/>
            <w:vAlign w:val="bottom"/>
          </w:tcPr>
          <w:p>
            <w:pPr>
              <w:ind w:left="20"/>
              <w:spacing w:after="0"/>
              <w:rPr>
                <w:sz w:val="20"/>
                <w:szCs w:val="20"/>
                <w:color w:val="auto"/>
              </w:rPr>
            </w:pPr>
            <w:r>
              <w:rPr>
                <w:rFonts w:ascii="Arial" w:cs="Arial" w:eastAsia="Arial" w:hAnsi="Arial"/>
                <w:sz w:val="18"/>
                <w:szCs w:val="18"/>
                <w:color w:val="auto"/>
              </w:rPr>
              <w:t>Officers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4 CONVERSION OF SMITH COMMON STOCK</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4.1</w:t>
            </w:r>
          </w:p>
        </w:tc>
        <w:tc>
          <w:tcPr>
            <w:tcW w:w="9140" w:type="dxa"/>
            <w:vAlign w:val="bottom"/>
          </w:tcPr>
          <w:p>
            <w:pPr>
              <w:ind w:left="20"/>
              <w:spacing w:after="0"/>
              <w:rPr>
                <w:sz w:val="20"/>
                <w:szCs w:val="20"/>
                <w:color w:val="auto"/>
              </w:rPr>
            </w:pPr>
            <w:r>
              <w:rPr>
                <w:rFonts w:ascii="Arial" w:cs="Arial" w:eastAsia="Arial" w:hAnsi="Arial"/>
                <w:sz w:val="18"/>
                <w:szCs w:val="18"/>
                <w:color w:val="auto"/>
              </w:rPr>
              <w:t>Conversion of Equity Interests of Smith and Merger Sub.</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4.2</w:t>
            </w:r>
          </w:p>
        </w:tc>
        <w:tc>
          <w:tcPr>
            <w:tcW w:w="9140" w:type="dxa"/>
            <w:vAlign w:val="bottom"/>
          </w:tcPr>
          <w:p>
            <w:pPr>
              <w:ind w:left="20"/>
              <w:spacing w:after="0"/>
              <w:rPr>
                <w:sz w:val="20"/>
                <w:szCs w:val="20"/>
                <w:color w:val="auto"/>
              </w:rPr>
            </w:pPr>
            <w:r>
              <w:rPr>
                <w:rFonts w:ascii="Arial" w:cs="Arial" w:eastAsia="Arial" w:hAnsi="Arial"/>
                <w:sz w:val="18"/>
                <w:szCs w:val="18"/>
                <w:color w:val="auto"/>
              </w:rPr>
              <w:t>Exchange of Shares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4.3</w:t>
            </w:r>
          </w:p>
        </w:tc>
        <w:tc>
          <w:tcPr>
            <w:tcW w:w="9140" w:type="dxa"/>
            <w:vAlign w:val="bottom"/>
          </w:tcPr>
          <w:p>
            <w:pPr>
              <w:ind w:left="20"/>
              <w:spacing w:after="0"/>
              <w:rPr>
                <w:sz w:val="20"/>
                <w:szCs w:val="20"/>
                <w:color w:val="auto"/>
              </w:rPr>
            </w:pPr>
            <w:r>
              <w:rPr>
                <w:rFonts w:ascii="Arial" w:cs="Arial" w:eastAsia="Arial" w:hAnsi="Arial"/>
                <w:sz w:val="18"/>
                <w:szCs w:val="18"/>
                <w:color w:val="auto"/>
              </w:rPr>
              <w:t>Certain Adjustments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4.4</w:t>
            </w:r>
          </w:p>
        </w:tc>
        <w:tc>
          <w:tcPr>
            <w:tcW w:w="9140" w:type="dxa"/>
            <w:vAlign w:val="bottom"/>
          </w:tcPr>
          <w:p>
            <w:pPr>
              <w:ind w:left="20"/>
              <w:spacing w:after="0"/>
              <w:rPr>
                <w:sz w:val="20"/>
                <w:szCs w:val="20"/>
                <w:color w:val="auto"/>
              </w:rPr>
            </w:pPr>
            <w:r>
              <w:rPr>
                <w:rFonts w:ascii="Arial" w:cs="Arial" w:eastAsia="Arial" w:hAnsi="Arial"/>
                <w:sz w:val="18"/>
                <w:szCs w:val="18"/>
                <w:color w:val="auto"/>
              </w:rPr>
              <w:t>Associated Rights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SMITH</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w:t>
            </w:r>
          </w:p>
        </w:tc>
        <w:tc>
          <w:tcPr>
            <w:tcW w:w="9140" w:type="dxa"/>
            <w:vAlign w:val="bottom"/>
          </w:tcPr>
          <w:p>
            <w:pPr>
              <w:ind w:left="20"/>
              <w:spacing w:after="0"/>
              <w:rPr>
                <w:sz w:val="20"/>
                <w:szCs w:val="20"/>
                <w:color w:val="auto"/>
              </w:rPr>
            </w:pPr>
            <w:r>
              <w:rPr>
                <w:rFonts w:ascii="Arial" w:cs="Arial" w:eastAsia="Arial" w:hAnsi="Arial"/>
                <w:sz w:val="18"/>
                <w:szCs w:val="18"/>
                <w:color w:val="auto"/>
              </w:rPr>
              <w:t>Organization; Good Standing and Qualification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w:t>
            </w:r>
          </w:p>
        </w:tc>
        <w:tc>
          <w:tcPr>
            <w:tcW w:w="9140" w:type="dxa"/>
            <w:vAlign w:val="bottom"/>
          </w:tcPr>
          <w:p>
            <w:pPr>
              <w:ind w:left="20"/>
              <w:spacing w:after="0"/>
              <w:rPr>
                <w:sz w:val="20"/>
                <w:szCs w:val="20"/>
                <w:color w:val="auto"/>
              </w:rPr>
            </w:pPr>
            <w:r>
              <w:rPr>
                <w:rFonts w:ascii="Arial" w:cs="Arial" w:eastAsia="Arial" w:hAnsi="Arial"/>
                <w:sz w:val="18"/>
                <w:szCs w:val="18"/>
                <w:color w:val="auto"/>
              </w:rPr>
              <w:t>Authorization, Validity, Enforceability and Fairness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5.3</w:t>
            </w:r>
          </w:p>
        </w:tc>
        <w:tc>
          <w:tcPr>
            <w:tcW w:w="914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5.4</w:t>
            </w:r>
          </w:p>
        </w:tc>
        <w:tc>
          <w:tcPr>
            <w:tcW w:w="9140" w:type="dxa"/>
            <w:vAlign w:val="bottom"/>
          </w:tcPr>
          <w:p>
            <w:pPr>
              <w:ind w:left="20"/>
              <w:spacing w:after="0"/>
              <w:rPr>
                <w:sz w:val="20"/>
                <w:szCs w:val="20"/>
                <w:color w:val="auto"/>
              </w:rPr>
            </w:pPr>
            <w:r>
              <w:rPr>
                <w:rFonts w:ascii="Arial" w:cs="Arial" w:eastAsia="Arial" w:hAnsi="Arial"/>
                <w:sz w:val="18"/>
                <w:szCs w:val="18"/>
                <w:color w:val="auto"/>
              </w:rPr>
              <w:t>Compliance with Laws; Permits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5.5</w:t>
            </w:r>
          </w:p>
        </w:tc>
        <w:tc>
          <w:tcPr>
            <w:tcW w:w="9140" w:type="dxa"/>
            <w:vAlign w:val="bottom"/>
          </w:tcPr>
          <w:p>
            <w:pPr>
              <w:ind w:left="20"/>
              <w:spacing w:after="0"/>
              <w:rPr>
                <w:sz w:val="20"/>
                <w:szCs w:val="20"/>
                <w:color w:val="auto"/>
              </w:rPr>
            </w:pPr>
            <w:r>
              <w:rPr>
                <w:rFonts w:ascii="Arial" w:cs="Arial" w:eastAsia="Arial" w:hAnsi="Arial"/>
                <w:sz w:val="18"/>
                <w:szCs w:val="18"/>
                <w:color w:val="auto"/>
              </w:rPr>
              <w:t>No Conflict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5.6</w:t>
            </w:r>
          </w:p>
        </w:tc>
        <w:tc>
          <w:tcPr>
            <w:tcW w:w="9140" w:type="dxa"/>
            <w:vAlign w:val="bottom"/>
          </w:tcPr>
          <w:p>
            <w:pPr>
              <w:ind w:left="20"/>
              <w:spacing w:after="0"/>
              <w:rPr>
                <w:sz w:val="20"/>
                <w:szCs w:val="20"/>
                <w:color w:val="auto"/>
              </w:rPr>
            </w:pPr>
            <w:r>
              <w:rPr>
                <w:rFonts w:ascii="Arial" w:cs="Arial" w:eastAsia="Arial" w:hAnsi="Arial"/>
                <w:sz w:val="18"/>
                <w:szCs w:val="18"/>
                <w:color w:val="auto"/>
              </w:rPr>
              <w:t>SEC Documents; Financial Statements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5.7</w:t>
            </w:r>
          </w:p>
        </w:tc>
        <w:tc>
          <w:tcPr>
            <w:tcW w:w="914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5.8</w:t>
            </w:r>
          </w:p>
        </w:tc>
        <w:tc>
          <w:tcPr>
            <w:tcW w:w="914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5.9</w:t>
            </w:r>
          </w:p>
        </w:tc>
        <w:tc>
          <w:tcPr>
            <w:tcW w:w="9140" w:type="dxa"/>
            <w:vAlign w:val="bottom"/>
          </w:tcPr>
          <w:p>
            <w:pPr>
              <w:ind w:left="20"/>
              <w:spacing w:after="0"/>
              <w:rPr>
                <w:sz w:val="20"/>
                <w:szCs w:val="20"/>
                <w:color w:val="auto"/>
              </w:rPr>
            </w:pPr>
            <w:r>
              <w:rPr>
                <w:rFonts w:ascii="Arial" w:cs="Arial" w:eastAsia="Arial" w:hAnsi="Arial"/>
                <w:sz w:val="18"/>
                <w:szCs w:val="18"/>
                <w:color w:val="auto"/>
              </w:rPr>
              <w:t>Absence of Certain Changes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5.10</w:t>
            </w:r>
          </w:p>
        </w:tc>
        <w:tc>
          <w:tcPr>
            <w:tcW w:w="9140" w:type="dxa"/>
            <w:vAlign w:val="bottom"/>
          </w:tcPr>
          <w:p>
            <w:pPr>
              <w:ind w:left="20"/>
              <w:spacing w:after="0"/>
              <w:rPr>
                <w:sz w:val="20"/>
                <w:szCs w:val="20"/>
                <w:color w:val="auto"/>
              </w:rPr>
            </w:pPr>
            <w:r>
              <w:rPr>
                <w:rFonts w:ascii="Arial" w:cs="Arial" w:eastAsia="Arial" w:hAnsi="Arial"/>
                <w:sz w:val="18"/>
                <w:szCs w:val="18"/>
                <w:color w:val="auto"/>
              </w:rPr>
              <w:t>Taxes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5.11</w:t>
            </w:r>
          </w:p>
        </w:tc>
        <w:tc>
          <w:tcPr>
            <w:tcW w:w="9140" w:type="dxa"/>
            <w:vAlign w:val="bottom"/>
          </w:tcPr>
          <w:p>
            <w:pPr>
              <w:ind w:left="20"/>
              <w:spacing w:after="0"/>
              <w:rPr>
                <w:sz w:val="20"/>
                <w:szCs w:val="20"/>
                <w:color w:val="auto"/>
              </w:rPr>
            </w:pPr>
            <w:r>
              <w:rPr>
                <w:rFonts w:ascii="Arial" w:cs="Arial" w:eastAsia="Arial" w:hAnsi="Arial"/>
                <w:sz w:val="18"/>
                <w:szCs w:val="18"/>
                <w:color w:val="auto"/>
              </w:rPr>
              <w:t>Employee Benefit Plans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5.12</w:t>
            </w:r>
          </w:p>
        </w:tc>
        <w:tc>
          <w:tcPr>
            <w:tcW w:w="9140" w:type="dxa"/>
            <w:vAlign w:val="bottom"/>
          </w:tcPr>
          <w:p>
            <w:pPr>
              <w:ind w:left="20"/>
              <w:spacing w:after="0"/>
              <w:rPr>
                <w:sz w:val="20"/>
                <w:szCs w:val="20"/>
                <w:color w:val="auto"/>
              </w:rPr>
            </w:pPr>
            <w:r>
              <w:rPr>
                <w:rFonts w:ascii="Arial" w:cs="Arial" w:eastAsia="Arial" w:hAnsi="Arial"/>
                <w:sz w:val="18"/>
                <w:szCs w:val="18"/>
                <w:color w:val="auto"/>
              </w:rPr>
              <w:t>Labor Matters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5.13</w:t>
            </w:r>
          </w:p>
        </w:tc>
        <w:tc>
          <w:tcPr>
            <w:tcW w:w="914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5.14</w:t>
            </w:r>
          </w:p>
        </w:tc>
        <w:tc>
          <w:tcPr>
            <w:tcW w:w="9140" w:type="dxa"/>
            <w:vAlign w:val="bottom"/>
          </w:tcPr>
          <w:p>
            <w:pPr>
              <w:ind w:left="20"/>
              <w:spacing w:after="0"/>
              <w:rPr>
                <w:sz w:val="20"/>
                <w:szCs w:val="20"/>
                <w:color w:val="auto"/>
              </w:rPr>
            </w:pPr>
            <w:r>
              <w:rPr>
                <w:rFonts w:ascii="Arial" w:cs="Arial" w:eastAsia="Arial" w:hAnsi="Arial"/>
                <w:sz w:val="18"/>
                <w:szCs w:val="18"/>
                <w:color w:val="auto"/>
              </w:rPr>
              <w:t>Environmental Matters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5.15</w:t>
            </w:r>
          </w:p>
        </w:tc>
        <w:tc>
          <w:tcPr>
            <w:tcW w:w="914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5.16</w:t>
            </w:r>
          </w:p>
        </w:tc>
        <w:tc>
          <w:tcPr>
            <w:tcW w:w="9140" w:type="dxa"/>
            <w:vAlign w:val="bottom"/>
          </w:tcPr>
          <w:p>
            <w:pPr>
              <w:ind w:left="20"/>
              <w:spacing w:after="0"/>
              <w:rPr>
                <w:sz w:val="20"/>
                <w:szCs w:val="20"/>
                <w:color w:val="auto"/>
              </w:rPr>
            </w:pPr>
            <w:r>
              <w:rPr>
                <w:rFonts w:ascii="Arial" w:cs="Arial" w:eastAsia="Arial" w:hAnsi="Arial"/>
                <w:sz w:val="18"/>
                <w:szCs w:val="18"/>
                <w:color w:val="auto"/>
              </w:rPr>
              <w:t>Decrees, Etc.</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5.17</w:t>
            </w:r>
          </w:p>
        </w:tc>
        <w:tc>
          <w:tcPr>
            <w:tcW w:w="91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5.18</w:t>
            </w:r>
          </w:p>
        </w:tc>
        <w:tc>
          <w:tcPr>
            <w:tcW w:w="9140" w:type="dxa"/>
            <w:vAlign w:val="bottom"/>
          </w:tcPr>
          <w:p>
            <w:pPr>
              <w:ind w:left="20"/>
              <w:spacing w:after="0"/>
              <w:rPr>
                <w:sz w:val="20"/>
                <w:szCs w:val="20"/>
                <w:color w:val="auto"/>
              </w:rPr>
            </w:pPr>
            <w:r>
              <w:rPr>
                <w:rFonts w:ascii="Arial" w:cs="Arial" w:eastAsia="Arial" w:hAnsi="Arial"/>
                <w:sz w:val="18"/>
                <w:szCs w:val="18"/>
                <w:color w:val="auto"/>
              </w:rPr>
              <w:t>No Brokers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5.19</w:t>
            </w:r>
          </w:p>
        </w:tc>
        <w:tc>
          <w:tcPr>
            <w:tcW w:w="9140" w:type="dxa"/>
            <w:vAlign w:val="bottom"/>
          </w:tcPr>
          <w:p>
            <w:pPr>
              <w:ind w:left="20"/>
              <w:spacing w:after="0"/>
              <w:rPr>
                <w:sz w:val="20"/>
                <w:szCs w:val="20"/>
                <w:color w:val="auto"/>
              </w:rPr>
            </w:pPr>
            <w:r>
              <w:rPr>
                <w:rFonts w:ascii="Arial" w:cs="Arial" w:eastAsia="Arial" w:hAnsi="Arial"/>
                <w:sz w:val="18"/>
                <w:szCs w:val="18"/>
                <w:color w:val="auto"/>
              </w:rPr>
              <w:t>Schlumberger Stock Ownership</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5.20</w:t>
            </w:r>
          </w:p>
        </w:tc>
        <w:tc>
          <w:tcPr>
            <w:tcW w:w="9140" w:type="dxa"/>
            <w:vAlign w:val="bottom"/>
          </w:tcPr>
          <w:p>
            <w:pPr>
              <w:ind w:left="20"/>
              <w:spacing w:after="0"/>
              <w:rPr>
                <w:sz w:val="20"/>
                <w:szCs w:val="20"/>
                <w:color w:val="auto"/>
              </w:rPr>
            </w:pPr>
            <w:r>
              <w:rPr>
                <w:rFonts w:ascii="Arial" w:cs="Arial" w:eastAsia="Arial" w:hAnsi="Arial"/>
                <w:sz w:val="18"/>
                <w:szCs w:val="18"/>
                <w:color w:val="auto"/>
              </w:rPr>
              <w:t>Vote Required</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5.21</w:t>
            </w:r>
          </w:p>
        </w:tc>
        <w:tc>
          <w:tcPr>
            <w:tcW w:w="9140" w:type="dxa"/>
            <w:vAlign w:val="bottom"/>
          </w:tcPr>
          <w:p>
            <w:pPr>
              <w:ind w:left="20"/>
              <w:spacing w:after="0"/>
              <w:rPr>
                <w:sz w:val="20"/>
                <w:szCs w:val="20"/>
                <w:color w:val="auto"/>
              </w:rPr>
            </w:pPr>
            <w:r>
              <w:rPr>
                <w:rFonts w:ascii="Arial" w:cs="Arial" w:eastAsia="Arial" w:hAnsi="Arial"/>
                <w:sz w:val="18"/>
                <w:szCs w:val="18"/>
                <w:color w:val="auto"/>
              </w:rPr>
              <w:t>Certain Contracts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5.22</w:t>
            </w:r>
          </w:p>
        </w:tc>
        <w:tc>
          <w:tcPr>
            <w:tcW w:w="9140" w:type="dxa"/>
            <w:vAlign w:val="bottom"/>
          </w:tcPr>
          <w:p>
            <w:pPr>
              <w:ind w:left="20"/>
              <w:spacing w:after="0"/>
              <w:rPr>
                <w:sz w:val="20"/>
                <w:szCs w:val="20"/>
                <w:color w:val="auto"/>
              </w:rPr>
            </w:pPr>
            <w:r>
              <w:rPr>
                <w:rFonts w:ascii="Arial" w:cs="Arial" w:eastAsia="Arial" w:hAnsi="Arial"/>
                <w:sz w:val="18"/>
                <w:szCs w:val="18"/>
                <w:color w:val="auto"/>
              </w:rPr>
              <w:t>Export Controls and Trade Sanctions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5.23</w:t>
            </w:r>
          </w:p>
        </w:tc>
        <w:tc>
          <w:tcPr>
            <w:tcW w:w="9140" w:type="dxa"/>
            <w:vAlign w:val="bottom"/>
          </w:tcPr>
          <w:p>
            <w:pPr>
              <w:ind w:left="20"/>
              <w:spacing w:after="0"/>
              <w:rPr>
                <w:sz w:val="20"/>
                <w:szCs w:val="20"/>
                <w:color w:val="auto"/>
              </w:rPr>
            </w:pPr>
            <w:r>
              <w:rPr>
                <w:rFonts w:ascii="Arial" w:cs="Arial" w:eastAsia="Arial" w:hAnsi="Arial"/>
                <w:sz w:val="18"/>
                <w:szCs w:val="18"/>
                <w:color w:val="auto"/>
              </w:rPr>
              <w:t>Foreign Corrupt Practices Act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5.24</w:t>
            </w:r>
          </w:p>
        </w:tc>
        <w:tc>
          <w:tcPr>
            <w:tcW w:w="9140" w:type="dxa"/>
            <w:vAlign w:val="bottom"/>
          </w:tcPr>
          <w:p>
            <w:pPr>
              <w:ind w:left="20"/>
              <w:spacing w:after="0"/>
              <w:rPr>
                <w:sz w:val="20"/>
                <w:szCs w:val="20"/>
                <w:color w:val="auto"/>
              </w:rPr>
            </w:pPr>
            <w:r>
              <w:rPr>
                <w:rFonts w:ascii="Arial" w:cs="Arial" w:eastAsia="Arial" w:hAnsi="Arial"/>
                <w:sz w:val="18"/>
                <w:szCs w:val="18"/>
                <w:color w:val="auto"/>
              </w:rPr>
              <w:t>Stockholder Rights Agreement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5.25</w:t>
            </w:r>
          </w:p>
        </w:tc>
        <w:tc>
          <w:tcPr>
            <w:tcW w:w="9140" w:type="dxa"/>
            <w:vAlign w:val="bottom"/>
          </w:tcPr>
          <w:p>
            <w:pPr>
              <w:ind w:left="20"/>
              <w:spacing w:after="0"/>
              <w:rPr>
                <w:sz w:val="20"/>
                <w:szCs w:val="20"/>
                <w:color w:val="auto"/>
              </w:rPr>
            </w:pPr>
            <w:r>
              <w:rPr>
                <w:rFonts w:ascii="Arial" w:cs="Arial" w:eastAsia="Arial" w:hAnsi="Arial"/>
                <w:sz w:val="18"/>
                <w:szCs w:val="18"/>
                <w:color w:val="auto"/>
              </w:rPr>
              <w:t>Charter Provisions; Takeover Laws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5.26</w:t>
            </w:r>
          </w:p>
        </w:tc>
        <w:tc>
          <w:tcPr>
            <w:tcW w:w="9140" w:type="dxa"/>
            <w:vAlign w:val="bottom"/>
          </w:tcPr>
          <w:p>
            <w:pPr>
              <w:ind w:left="20"/>
              <w:spacing w:after="0"/>
              <w:rPr>
                <w:sz w:val="20"/>
                <w:szCs w:val="20"/>
                <w:color w:val="auto"/>
              </w:rPr>
            </w:pPr>
            <w:r>
              <w:rPr>
                <w:rFonts w:ascii="Arial" w:cs="Arial" w:eastAsia="Arial" w:hAnsi="Arial"/>
                <w:sz w:val="18"/>
                <w:szCs w:val="18"/>
                <w:color w:val="auto"/>
              </w:rPr>
              <w:t>Tax Treatment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AND MERGER SUB</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w:t>
            </w:r>
          </w:p>
        </w:tc>
        <w:tc>
          <w:tcPr>
            <w:tcW w:w="9140" w:type="dxa"/>
            <w:vAlign w:val="bottom"/>
          </w:tcPr>
          <w:p>
            <w:pPr>
              <w:ind w:left="20"/>
              <w:spacing w:after="0"/>
              <w:rPr>
                <w:sz w:val="20"/>
                <w:szCs w:val="20"/>
                <w:color w:val="auto"/>
              </w:rPr>
            </w:pPr>
            <w:r>
              <w:rPr>
                <w:rFonts w:ascii="Arial" w:cs="Arial" w:eastAsia="Arial" w:hAnsi="Arial"/>
                <w:sz w:val="18"/>
                <w:szCs w:val="18"/>
                <w:color w:val="auto"/>
              </w:rPr>
              <w:t>Organization; Good Standing and Qualification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6.2</w:t>
            </w:r>
          </w:p>
        </w:tc>
        <w:tc>
          <w:tcPr>
            <w:tcW w:w="9140" w:type="dxa"/>
            <w:vAlign w:val="bottom"/>
          </w:tcPr>
          <w:p>
            <w:pPr>
              <w:ind w:left="20"/>
              <w:spacing w:after="0"/>
              <w:rPr>
                <w:sz w:val="20"/>
                <w:szCs w:val="20"/>
                <w:color w:val="auto"/>
              </w:rPr>
            </w:pPr>
            <w:r>
              <w:rPr>
                <w:rFonts w:ascii="Arial" w:cs="Arial" w:eastAsia="Arial" w:hAnsi="Arial"/>
                <w:sz w:val="18"/>
                <w:szCs w:val="18"/>
                <w:color w:val="auto"/>
              </w:rPr>
              <w:t>Authorization, Validity and Enforceability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6.3</w:t>
            </w:r>
          </w:p>
        </w:tc>
        <w:tc>
          <w:tcPr>
            <w:tcW w:w="914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6.4</w:t>
            </w:r>
          </w:p>
        </w:tc>
        <w:tc>
          <w:tcPr>
            <w:tcW w:w="9160" w:type="dxa"/>
            <w:vAlign w:val="bottom"/>
            <w:vMerge w:val="restart"/>
          </w:tcPr>
          <w:p>
            <w:pPr>
              <w:ind w:left="40"/>
              <w:spacing w:after="0"/>
              <w:rPr>
                <w:sz w:val="20"/>
                <w:szCs w:val="20"/>
                <w:color w:val="auto"/>
              </w:rPr>
            </w:pPr>
            <w:r>
              <w:rPr>
                <w:rFonts w:ascii="Arial" w:cs="Arial" w:eastAsia="Arial" w:hAnsi="Arial"/>
                <w:sz w:val="18"/>
                <w:szCs w:val="18"/>
                <w:color w:val="auto"/>
              </w:rPr>
              <w:t>Compliance with Laws; Permits</w:t>
            </w: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780" w:type="dxa"/>
            <w:vAlign w:val="bottom"/>
            <w:vMerge w:val="continue"/>
          </w:tcPr>
          <w:p>
            <w:pPr>
              <w:spacing w:after="0"/>
              <w:rPr>
                <w:sz w:val="17"/>
                <w:szCs w:val="17"/>
                <w:color w:val="auto"/>
              </w:rPr>
            </w:pPr>
          </w:p>
        </w:tc>
        <w:tc>
          <w:tcPr>
            <w:tcW w:w="9160" w:type="dxa"/>
            <w:vAlign w:val="bottom"/>
            <w:vMerge w:val="continue"/>
          </w:tcPr>
          <w:p>
            <w:pPr>
              <w:spacing w:after="0"/>
              <w:rPr>
                <w:sz w:val="17"/>
                <w:szCs w:val="17"/>
                <w:color w:val="auto"/>
              </w:rPr>
            </w:pPr>
          </w:p>
        </w:tc>
        <w:tc>
          <w:tcPr>
            <w:tcW w:w="4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A-23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6.5</w:t>
            </w:r>
          </w:p>
        </w:tc>
        <w:tc>
          <w:tcPr>
            <w:tcW w:w="9160" w:type="dxa"/>
            <w:vAlign w:val="bottom"/>
          </w:tcPr>
          <w:p>
            <w:pPr>
              <w:ind w:left="40"/>
              <w:spacing w:after="0"/>
              <w:rPr>
                <w:sz w:val="20"/>
                <w:szCs w:val="20"/>
                <w:color w:val="auto"/>
              </w:rPr>
            </w:pPr>
            <w:r>
              <w:rPr>
                <w:rFonts w:ascii="Arial" w:cs="Arial" w:eastAsia="Arial" w:hAnsi="Arial"/>
                <w:sz w:val="18"/>
                <w:szCs w:val="18"/>
                <w:color w:val="auto"/>
              </w:rPr>
              <w:t>No Conflict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6.6</w:t>
            </w:r>
          </w:p>
        </w:tc>
        <w:tc>
          <w:tcPr>
            <w:tcW w:w="9160" w:type="dxa"/>
            <w:vAlign w:val="bottom"/>
          </w:tcPr>
          <w:p>
            <w:pPr>
              <w:ind w:left="40"/>
              <w:spacing w:after="0"/>
              <w:rPr>
                <w:sz w:val="20"/>
                <w:szCs w:val="20"/>
                <w:color w:val="auto"/>
              </w:rPr>
            </w:pPr>
            <w:r>
              <w:rPr>
                <w:rFonts w:ascii="Arial" w:cs="Arial" w:eastAsia="Arial" w:hAnsi="Arial"/>
                <w:sz w:val="18"/>
                <w:szCs w:val="18"/>
                <w:color w:val="auto"/>
              </w:rPr>
              <w:t>SEC Documents; Financial Statements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6.7</w:t>
            </w:r>
          </w:p>
        </w:tc>
        <w:tc>
          <w:tcPr>
            <w:tcW w:w="916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6.8</w:t>
            </w:r>
          </w:p>
        </w:tc>
        <w:tc>
          <w:tcPr>
            <w:tcW w:w="916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6.9</w:t>
            </w:r>
          </w:p>
        </w:tc>
        <w:tc>
          <w:tcPr>
            <w:tcW w:w="9160" w:type="dxa"/>
            <w:vAlign w:val="bottom"/>
          </w:tcPr>
          <w:p>
            <w:pPr>
              <w:ind w:left="40"/>
              <w:spacing w:after="0"/>
              <w:rPr>
                <w:sz w:val="20"/>
                <w:szCs w:val="20"/>
                <w:color w:val="auto"/>
              </w:rPr>
            </w:pPr>
            <w:r>
              <w:rPr>
                <w:rFonts w:ascii="Arial" w:cs="Arial" w:eastAsia="Arial" w:hAnsi="Arial"/>
                <w:sz w:val="18"/>
                <w:szCs w:val="18"/>
                <w:color w:val="auto"/>
              </w:rPr>
              <w:t>Absence of Certain Changes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6.10</w:t>
            </w:r>
          </w:p>
        </w:tc>
        <w:tc>
          <w:tcPr>
            <w:tcW w:w="9160" w:type="dxa"/>
            <w:vAlign w:val="bottom"/>
          </w:tcPr>
          <w:p>
            <w:pPr>
              <w:ind w:left="40"/>
              <w:spacing w:after="0"/>
              <w:rPr>
                <w:sz w:val="20"/>
                <w:szCs w:val="20"/>
                <w:color w:val="auto"/>
              </w:rPr>
            </w:pPr>
            <w:r>
              <w:rPr>
                <w:rFonts w:ascii="Arial" w:cs="Arial" w:eastAsia="Arial" w:hAnsi="Arial"/>
                <w:sz w:val="18"/>
                <w:szCs w:val="18"/>
                <w:color w:val="auto"/>
              </w:rPr>
              <w:t>Smith Stock Ownership</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6.11</w:t>
            </w:r>
          </w:p>
        </w:tc>
        <w:tc>
          <w:tcPr>
            <w:tcW w:w="9160" w:type="dxa"/>
            <w:vAlign w:val="bottom"/>
          </w:tcPr>
          <w:p>
            <w:pPr>
              <w:ind w:left="40"/>
              <w:spacing w:after="0"/>
              <w:rPr>
                <w:sz w:val="20"/>
                <w:szCs w:val="20"/>
                <w:color w:val="auto"/>
              </w:rPr>
            </w:pPr>
            <w:r>
              <w:rPr>
                <w:rFonts w:ascii="Arial" w:cs="Arial" w:eastAsia="Arial" w:hAnsi="Arial"/>
                <w:sz w:val="18"/>
                <w:szCs w:val="18"/>
                <w:color w:val="auto"/>
              </w:rPr>
              <w:t>No Vote Required</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6.12</w:t>
            </w:r>
          </w:p>
        </w:tc>
        <w:tc>
          <w:tcPr>
            <w:tcW w:w="9160" w:type="dxa"/>
            <w:vAlign w:val="bottom"/>
          </w:tcPr>
          <w:p>
            <w:pPr>
              <w:ind w:left="40"/>
              <w:spacing w:after="0"/>
              <w:rPr>
                <w:sz w:val="20"/>
                <w:szCs w:val="20"/>
                <w:color w:val="auto"/>
              </w:rPr>
            </w:pPr>
            <w:r>
              <w:rPr>
                <w:rFonts w:ascii="Arial" w:cs="Arial" w:eastAsia="Arial" w:hAnsi="Arial"/>
                <w:sz w:val="18"/>
                <w:szCs w:val="18"/>
                <w:color w:val="auto"/>
              </w:rPr>
              <w:t>Export Controls and Trade Sanctions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6.13</w:t>
            </w:r>
          </w:p>
        </w:tc>
        <w:tc>
          <w:tcPr>
            <w:tcW w:w="9160" w:type="dxa"/>
            <w:vAlign w:val="bottom"/>
          </w:tcPr>
          <w:p>
            <w:pPr>
              <w:ind w:left="40"/>
              <w:spacing w:after="0"/>
              <w:rPr>
                <w:sz w:val="20"/>
                <w:szCs w:val="20"/>
                <w:color w:val="auto"/>
              </w:rPr>
            </w:pPr>
            <w:r>
              <w:rPr>
                <w:rFonts w:ascii="Arial" w:cs="Arial" w:eastAsia="Arial" w:hAnsi="Arial"/>
                <w:sz w:val="18"/>
                <w:szCs w:val="18"/>
                <w:color w:val="auto"/>
              </w:rPr>
              <w:t>Foreign Corrupt Practices Act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6.14</w:t>
            </w:r>
          </w:p>
        </w:tc>
        <w:tc>
          <w:tcPr>
            <w:tcW w:w="9160" w:type="dxa"/>
            <w:vAlign w:val="bottom"/>
          </w:tcPr>
          <w:p>
            <w:pPr>
              <w:ind w:left="40"/>
              <w:spacing w:after="0"/>
              <w:rPr>
                <w:sz w:val="20"/>
                <w:szCs w:val="20"/>
                <w:color w:val="auto"/>
              </w:rPr>
            </w:pPr>
            <w:r>
              <w:rPr>
                <w:rFonts w:ascii="Arial" w:cs="Arial" w:eastAsia="Arial" w:hAnsi="Arial"/>
                <w:sz w:val="18"/>
                <w:szCs w:val="18"/>
                <w:color w:val="auto"/>
              </w:rPr>
              <w:t>Tax Treatment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6.15</w:t>
            </w:r>
          </w:p>
        </w:tc>
        <w:tc>
          <w:tcPr>
            <w:tcW w:w="9160" w:type="dxa"/>
            <w:vAlign w:val="bottom"/>
          </w:tcPr>
          <w:p>
            <w:pPr>
              <w:ind w:left="40"/>
              <w:spacing w:after="0"/>
              <w:rPr>
                <w:sz w:val="20"/>
                <w:szCs w:val="20"/>
                <w:color w:val="auto"/>
              </w:rPr>
            </w:pPr>
            <w:r>
              <w:rPr>
                <w:rFonts w:ascii="Arial" w:cs="Arial" w:eastAsia="Arial" w:hAnsi="Arial"/>
                <w:sz w:val="18"/>
                <w:szCs w:val="18"/>
                <w:color w:val="auto"/>
              </w:rPr>
              <w:t>Status of Merger Sub</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6.16</w:t>
            </w:r>
          </w:p>
        </w:tc>
        <w:tc>
          <w:tcPr>
            <w:tcW w:w="9160" w:type="dxa"/>
            <w:vAlign w:val="bottom"/>
          </w:tcPr>
          <w:p>
            <w:pPr>
              <w:ind w:left="40"/>
              <w:spacing w:after="0"/>
              <w:rPr>
                <w:sz w:val="20"/>
                <w:szCs w:val="20"/>
                <w:color w:val="auto"/>
              </w:rPr>
            </w:pPr>
            <w:r>
              <w:rPr>
                <w:rFonts w:ascii="Arial" w:cs="Arial" w:eastAsia="Arial" w:hAnsi="Arial"/>
                <w:sz w:val="18"/>
                <w:szCs w:val="18"/>
                <w:color w:val="auto"/>
              </w:rPr>
              <w:t>Decrees, Etc</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6.17</w:t>
            </w:r>
          </w:p>
        </w:tc>
        <w:tc>
          <w:tcPr>
            <w:tcW w:w="916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0"/>
                <w:szCs w:val="20"/>
                <w:color w:val="auto"/>
              </w:rPr>
            </w:pPr>
            <w:r>
              <w:rPr>
                <w:rFonts w:ascii="Arial" w:cs="Arial" w:eastAsia="Arial" w:hAnsi="Arial"/>
                <w:sz w:val="18"/>
                <w:szCs w:val="18"/>
                <w:color w:val="auto"/>
                <w:w w:val="96"/>
              </w:rPr>
              <w:t>Article 7 COVENANTS</w:t>
            </w:r>
          </w:p>
        </w:tc>
        <w:tc>
          <w:tcPr>
            <w:tcW w:w="91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A-29</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w:t>
            </w:r>
          </w:p>
        </w:tc>
        <w:tc>
          <w:tcPr>
            <w:tcW w:w="9160" w:type="dxa"/>
            <w:vAlign w:val="bottom"/>
          </w:tcPr>
          <w:p>
            <w:pPr>
              <w:ind w:left="40"/>
              <w:spacing w:after="0"/>
              <w:rPr>
                <w:sz w:val="20"/>
                <w:szCs w:val="20"/>
                <w:color w:val="auto"/>
              </w:rPr>
            </w:pPr>
            <w:r>
              <w:rPr>
                <w:rFonts w:ascii="Arial" w:cs="Arial" w:eastAsia="Arial" w:hAnsi="Arial"/>
                <w:sz w:val="18"/>
                <w:szCs w:val="18"/>
                <w:color w:val="auto"/>
              </w:rPr>
              <w:t>Conduct of Business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A-29</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w:t>
            </w:r>
          </w:p>
        </w:tc>
        <w:tc>
          <w:tcPr>
            <w:tcW w:w="9160" w:type="dxa"/>
            <w:vAlign w:val="bottom"/>
          </w:tcPr>
          <w:p>
            <w:pPr>
              <w:ind w:left="40"/>
              <w:spacing w:after="0"/>
              <w:rPr>
                <w:sz w:val="20"/>
                <w:szCs w:val="20"/>
                <w:color w:val="auto"/>
              </w:rPr>
            </w:pPr>
            <w:r>
              <w:rPr>
                <w:rFonts w:ascii="Arial" w:cs="Arial" w:eastAsia="Arial" w:hAnsi="Arial"/>
                <w:sz w:val="18"/>
                <w:szCs w:val="18"/>
                <w:color w:val="auto"/>
              </w:rPr>
              <w:t>Smith Stockholders Meeting</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7.3</w:t>
            </w:r>
          </w:p>
        </w:tc>
        <w:tc>
          <w:tcPr>
            <w:tcW w:w="9160" w:type="dxa"/>
            <w:vAlign w:val="bottom"/>
          </w:tcPr>
          <w:p>
            <w:pPr>
              <w:ind w:left="40"/>
              <w:spacing w:after="0"/>
              <w:rPr>
                <w:sz w:val="20"/>
                <w:szCs w:val="20"/>
                <w:color w:val="auto"/>
              </w:rPr>
            </w:pPr>
            <w:r>
              <w:rPr>
                <w:rFonts w:ascii="Arial" w:cs="Arial" w:eastAsia="Arial" w:hAnsi="Arial"/>
                <w:sz w:val="18"/>
                <w:szCs w:val="18"/>
                <w:color w:val="auto"/>
              </w:rPr>
              <w:t>No Solicitation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7.4</w:t>
            </w:r>
          </w:p>
        </w:tc>
        <w:tc>
          <w:tcPr>
            <w:tcW w:w="9160" w:type="dxa"/>
            <w:vAlign w:val="bottom"/>
          </w:tcPr>
          <w:p>
            <w:pPr>
              <w:ind w:left="40"/>
              <w:spacing w:after="0"/>
              <w:rPr>
                <w:sz w:val="20"/>
                <w:szCs w:val="20"/>
                <w:color w:val="auto"/>
              </w:rPr>
            </w:pPr>
            <w:r>
              <w:rPr>
                <w:rFonts w:ascii="Arial" w:cs="Arial" w:eastAsia="Arial" w:hAnsi="Arial"/>
                <w:sz w:val="18"/>
                <w:szCs w:val="18"/>
                <w:color w:val="auto"/>
              </w:rPr>
              <w:t>Reasonable Best Efforts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7.5</w:t>
            </w:r>
          </w:p>
        </w:tc>
        <w:tc>
          <w:tcPr>
            <w:tcW w:w="9160" w:type="dxa"/>
            <w:vAlign w:val="bottom"/>
          </w:tcPr>
          <w:p>
            <w:pPr>
              <w:ind w:left="40"/>
              <w:spacing w:after="0"/>
              <w:rPr>
                <w:sz w:val="20"/>
                <w:szCs w:val="20"/>
                <w:color w:val="auto"/>
              </w:rPr>
            </w:pPr>
            <w:r>
              <w:rPr>
                <w:rFonts w:ascii="Arial" w:cs="Arial" w:eastAsia="Arial" w:hAnsi="Arial"/>
                <w:sz w:val="18"/>
                <w:szCs w:val="18"/>
                <w:color w:val="auto"/>
              </w:rPr>
              <w:t>Preparation of Proxy Statement/Prospectus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7.6</w:t>
            </w:r>
          </w:p>
        </w:tc>
        <w:tc>
          <w:tcPr>
            <w:tcW w:w="9160" w:type="dxa"/>
            <w:vAlign w:val="bottom"/>
          </w:tcPr>
          <w:p>
            <w:pPr>
              <w:ind w:left="40"/>
              <w:spacing w:after="0"/>
              <w:rPr>
                <w:sz w:val="20"/>
                <w:szCs w:val="20"/>
                <w:color w:val="auto"/>
              </w:rPr>
            </w:pPr>
            <w:r>
              <w:rPr>
                <w:rFonts w:ascii="Arial" w:cs="Arial" w:eastAsia="Arial" w:hAnsi="Arial"/>
                <w:sz w:val="18"/>
                <w:szCs w:val="18"/>
                <w:color w:val="auto"/>
              </w:rPr>
              <w:t>Filings, Etc</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7.7</w:t>
            </w:r>
          </w:p>
        </w:tc>
        <w:tc>
          <w:tcPr>
            <w:tcW w:w="9160" w:type="dxa"/>
            <w:vAlign w:val="bottom"/>
          </w:tcPr>
          <w:p>
            <w:pPr>
              <w:ind w:left="40"/>
              <w:spacing w:after="0"/>
              <w:rPr>
                <w:sz w:val="20"/>
                <w:szCs w:val="20"/>
                <w:color w:val="auto"/>
              </w:rPr>
            </w:pPr>
            <w:r>
              <w:rPr>
                <w:rFonts w:ascii="Arial" w:cs="Arial" w:eastAsia="Arial" w:hAnsi="Arial"/>
                <w:sz w:val="18"/>
                <w:szCs w:val="18"/>
                <w:color w:val="auto"/>
              </w:rPr>
              <w:t>Listing Application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7.8</w:t>
            </w:r>
          </w:p>
        </w:tc>
        <w:tc>
          <w:tcPr>
            <w:tcW w:w="9160" w:type="dxa"/>
            <w:vAlign w:val="bottom"/>
          </w:tcPr>
          <w:p>
            <w:pPr>
              <w:ind w:left="40"/>
              <w:spacing w:after="0"/>
              <w:rPr>
                <w:sz w:val="20"/>
                <w:szCs w:val="20"/>
                <w:color w:val="auto"/>
              </w:rPr>
            </w:pPr>
            <w:r>
              <w:rPr>
                <w:rFonts w:ascii="Arial" w:cs="Arial" w:eastAsia="Arial" w:hAnsi="Arial"/>
                <w:sz w:val="18"/>
                <w:szCs w:val="18"/>
                <w:color w:val="auto"/>
              </w:rPr>
              <w:t>Section 16 Matters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7.9</w:t>
            </w:r>
          </w:p>
        </w:tc>
        <w:tc>
          <w:tcPr>
            <w:tcW w:w="9160" w:type="dxa"/>
            <w:vAlign w:val="bottom"/>
          </w:tcPr>
          <w:p>
            <w:pPr>
              <w:ind w:left="40"/>
              <w:spacing w:after="0"/>
              <w:rPr>
                <w:sz w:val="20"/>
                <w:szCs w:val="20"/>
                <w:color w:val="auto"/>
              </w:rPr>
            </w:pPr>
            <w:r>
              <w:rPr>
                <w:rFonts w:ascii="Arial" w:cs="Arial" w:eastAsia="Arial" w:hAnsi="Arial"/>
                <w:sz w:val="18"/>
                <w:szCs w:val="18"/>
                <w:color w:val="auto"/>
              </w:rPr>
              <w:t>Schlumberger Options and Stock Incentive Awards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w:t>
            </w:r>
          </w:p>
        </w:tc>
        <w:tc>
          <w:tcPr>
            <w:tcW w:w="9160" w:type="dxa"/>
            <w:vAlign w:val="bottom"/>
          </w:tcPr>
          <w:p>
            <w:pPr>
              <w:ind w:left="40"/>
              <w:spacing w:after="0"/>
              <w:rPr>
                <w:sz w:val="20"/>
                <w:szCs w:val="20"/>
                <w:color w:val="auto"/>
              </w:rPr>
            </w:pPr>
            <w:r>
              <w:rPr>
                <w:rFonts w:ascii="Arial" w:cs="Arial" w:eastAsia="Arial" w:hAnsi="Arial"/>
                <w:sz w:val="18"/>
                <w:szCs w:val="18"/>
                <w:color w:val="auto"/>
              </w:rPr>
              <w:t>Coordination of Dividends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7.11</w:t>
            </w:r>
          </w:p>
        </w:tc>
        <w:tc>
          <w:tcPr>
            <w:tcW w:w="9160" w:type="dxa"/>
            <w:vAlign w:val="bottom"/>
          </w:tcPr>
          <w:p>
            <w:pPr>
              <w:ind w:left="40"/>
              <w:spacing w:after="0"/>
              <w:rPr>
                <w:sz w:val="20"/>
                <w:szCs w:val="20"/>
                <w:color w:val="auto"/>
              </w:rPr>
            </w:pPr>
            <w:r>
              <w:rPr>
                <w:rFonts w:ascii="Arial" w:cs="Arial" w:eastAsia="Arial" w:hAnsi="Arial"/>
                <w:sz w:val="18"/>
                <w:szCs w:val="18"/>
                <w:color w:val="auto"/>
              </w:rPr>
              <w:t>Inspection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7.12</w:t>
            </w:r>
          </w:p>
        </w:tc>
        <w:tc>
          <w:tcPr>
            <w:tcW w:w="9160" w:type="dxa"/>
            <w:vAlign w:val="bottom"/>
          </w:tcPr>
          <w:p>
            <w:pPr>
              <w:ind w:left="40"/>
              <w:spacing w:after="0"/>
              <w:rPr>
                <w:sz w:val="20"/>
                <w:szCs w:val="20"/>
                <w:color w:val="auto"/>
              </w:rPr>
            </w:pPr>
            <w:r>
              <w:rPr>
                <w:rFonts w:ascii="Arial" w:cs="Arial" w:eastAsia="Arial" w:hAnsi="Arial"/>
                <w:sz w:val="18"/>
                <w:szCs w:val="18"/>
                <w:color w:val="auto"/>
              </w:rPr>
              <w:t>Publicity</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7.13</w:t>
            </w:r>
          </w:p>
        </w:tc>
        <w:tc>
          <w:tcPr>
            <w:tcW w:w="9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7.14</w:t>
            </w:r>
          </w:p>
        </w:tc>
        <w:tc>
          <w:tcPr>
            <w:tcW w:w="9160" w:type="dxa"/>
            <w:vAlign w:val="bottom"/>
          </w:tcPr>
          <w:p>
            <w:pPr>
              <w:ind w:left="40"/>
              <w:spacing w:after="0"/>
              <w:rPr>
                <w:sz w:val="20"/>
                <w:szCs w:val="20"/>
                <w:color w:val="auto"/>
              </w:rPr>
            </w:pPr>
            <w:r>
              <w:rPr>
                <w:rFonts w:ascii="Arial" w:cs="Arial" w:eastAsia="Arial" w:hAnsi="Arial"/>
                <w:sz w:val="18"/>
                <w:szCs w:val="18"/>
                <w:color w:val="auto"/>
              </w:rPr>
              <w:t>Rights Agreement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7.15</w:t>
            </w:r>
          </w:p>
        </w:tc>
        <w:tc>
          <w:tcPr>
            <w:tcW w:w="9160" w:type="dxa"/>
            <w:vAlign w:val="bottom"/>
          </w:tcPr>
          <w:p>
            <w:pPr>
              <w:ind w:left="40"/>
              <w:spacing w:after="0"/>
              <w:rPr>
                <w:sz w:val="20"/>
                <w:szCs w:val="20"/>
                <w:color w:val="auto"/>
              </w:rPr>
            </w:pPr>
            <w:r>
              <w:rPr>
                <w:rFonts w:ascii="Arial" w:cs="Arial" w:eastAsia="Arial" w:hAnsi="Arial"/>
                <w:sz w:val="18"/>
                <w:szCs w:val="18"/>
                <w:color w:val="auto"/>
              </w:rPr>
              <w:t>State Takeover Laws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7.16</w:t>
            </w:r>
          </w:p>
        </w:tc>
        <w:tc>
          <w:tcPr>
            <w:tcW w:w="9160" w:type="dxa"/>
            <w:vAlign w:val="bottom"/>
          </w:tcPr>
          <w:p>
            <w:pPr>
              <w:ind w:left="40"/>
              <w:spacing w:after="0"/>
              <w:rPr>
                <w:sz w:val="20"/>
                <w:szCs w:val="20"/>
                <w:color w:val="auto"/>
              </w:rPr>
            </w:pPr>
            <w:r>
              <w:rPr>
                <w:rFonts w:ascii="Arial" w:cs="Arial" w:eastAsia="Arial" w:hAnsi="Arial"/>
                <w:sz w:val="18"/>
                <w:szCs w:val="18"/>
                <w:color w:val="auto"/>
              </w:rPr>
              <w:t>Stockholder Litigation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7.17</w:t>
            </w:r>
          </w:p>
        </w:tc>
        <w:tc>
          <w:tcPr>
            <w:tcW w:w="9160" w:type="dxa"/>
            <w:vAlign w:val="bottom"/>
          </w:tcPr>
          <w:p>
            <w:pPr>
              <w:ind w:left="40"/>
              <w:spacing w:after="0"/>
              <w:rPr>
                <w:sz w:val="20"/>
                <w:szCs w:val="20"/>
                <w:color w:val="auto"/>
              </w:rPr>
            </w:pPr>
            <w:r>
              <w:rPr>
                <w:rFonts w:ascii="Arial" w:cs="Arial" w:eastAsia="Arial" w:hAnsi="Arial"/>
                <w:sz w:val="18"/>
                <w:szCs w:val="18"/>
                <w:color w:val="auto"/>
              </w:rPr>
              <w:t>Indemnification and Insurance</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7.18</w:t>
            </w:r>
          </w:p>
        </w:tc>
        <w:tc>
          <w:tcPr>
            <w:tcW w:w="9160" w:type="dxa"/>
            <w:vAlign w:val="bottom"/>
          </w:tcPr>
          <w:p>
            <w:pPr>
              <w:ind w:left="40"/>
              <w:spacing w:after="0"/>
              <w:rPr>
                <w:sz w:val="20"/>
                <w:szCs w:val="20"/>
                <w:color w:val="auto"/>
              </w:rPr>
            </w:pPr>
            <w:r>
              <w:rPr>
                <w:rFonts w:ascii="Arial" w:cs="Arial" w:eastAsia="Arial" w:hAnsi="Arial"/>
                <w:sz w:val="18"/>
                <w:szCs w:val="18"/>
                <w:color w:val="auto"/>
              </w:rPr>
              <w:t>Certain Benefits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A-43</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7.19</w:t>
            </w:r>
          </w:p>
        </w:tc>
        <w:tc>
          <w:tcPr>
            <w:tcW w:w="9160" w:type="dxa"/>
            <w:vAlign w:val="bottom"/>
          </w:tcPr>
          <w:p>
            <w:pPr>
              <w:ind w:left="40"/>
              <w:spacing w:after="0"/>
              <w:rPr>
                <w:sz w:val="20"/>
                <w:szCs w:val="20"/>
                <w:color w:val="auto"/>
              </w:rPr>
            </w:pPr>
            <w:r>
              <w:rPr>
                <w:rFonts w:ascii="Arial" w:cs="Arial" w:eastAsia="Arial" w:hAnsi="Arial"/>
                <w:sz w:val="18"/>
                <w:szCs w:val="18"/>
                <w:color w:val="auto"/>
              </w:rPr>
              <w:t>Certain Transfer Taxes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7.20</w:t>
            </w:r>
          </w:p>
        </w:tc>
        <w:tc>
          <w:tcPr>
            <w:tcW w:w="916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0"/>
                <w:szCs w:val="20"/>
                <w:color w:val="auto"/>
              </w:rPr>
            </w:pPr>
            <w:r>
              <w:rPr>
                <w:rFonts w:ascii="Arial" w:cs="Arial" w:eastAsia="Arial" w:hAnsi="Arial"/>
                <w:sz w:val="18"/>
                <w:szCs w:val="18"/>
                <w:color w:val="auto"/>
                <w:w w:val="96"/>
              </w:rPr>
              <w:t>Article 8 CONDITIONS</w:t>
            </w:r>
          </w:p>
        </w:tc>
        <w:tc>
          <w:tcPr>
            <w:tcW w:w="91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8.1</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8.2</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Obligation of Smith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A-46</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8.3</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Obligation of Schlumberger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9 TERMINATION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9.1</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Mutual Consent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9.2</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Schlumberger or Smith</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9.3</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Smith</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9.4</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Schlumberger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A-48</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9.5</w:t>
            </w:r>
          </w:p>
        </w:tc>
        <w:tc>
          <w:tcPr>
            <w:tcW w:w="916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A-49</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10 GENERAL PROVISIONS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w:t>
            </w:r>
          </w:p>
        </w:tc>
        <w:tc>
          <w:tcPr>
            <w:tcW w:w="9160" w:type="dxa"/>
            <w:vAlign w:val="bottom"/>
          </w:tcPr>
          <w:p>
            <w:pPr>
              <w:ind w:left="40"/>
              <w:spacing w:after="0"/>
              <w:rPr>
                <w:sz w:val="20"/>
                <w:szCs w:val="20"/>
                <w:color w:val="auto"/>
              </w:rPr>
            </w:pPr>
            <w:r>
              <w:rPr>
                <w:rFonts w:ascii="Arial" w:cs="Arial" w:eastAsia="Arial" w:hAnsi="Arial"/>
                <w:sz w:val="18"/>
                <w:szCs w:val="18"/>
                <w:color w:val="auto"/>
              </w:rPr>
              <w:t>Nonsurvival of Representations, Warranties and Agreements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10.2</w:t>
            </w:r>
          </w:p>
        </w:tc>
        <w:tc>
          <w:tcPr>
            <w:tcW w:w="9160" w:type="dxa"/>
            <w:vAlign w:val="bottom"/>
          </w:tcPr>
          <w:p>
            <w:pPr>
              <w:ind w:left="40"/>
              <w:spacing w:after="0"/>
              <w:rPr>
                <w:sz w:val="20"/>
                <w:szCs w:val="20"/>
                <w:color w:val="auto"/>
              </w:rPr>
            </w:pPr>
            <w:r>
              <w:rPr>
                <w:rFonts w:ascii="Arial" w:cs="Arial" w:eastAsia="Arial" w:hAnsi="Arial"/>
                <w:sz w:val="18"/>
                <w:szCs w:val="18"/>
                <w:color w:val="auto"/>
              </w:rPr>
              <w:t>Notices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10.3</w:t>
            </w:r>
          </w:p>
        </w:tc>
        <w:tc>
          <w:tcPr>
            <w:tcW w:w="9160" w:type="dxa"/>
            <w:vAlign w:val="bottom"/>
          </w:tcPr>
          <w:p>
            <w:pPr>
              <w:ind w:left="40"/>
              <w:spacing w:after="0"/>
              <w:rPr>
                <w:sz w:val="20"/>
                <w:szCs w:val="20"/>
                <w:color w:val="auto"/>
              </w:rPr>
            </w:pPr>
            <w:r>
              <w:rPr>
                <w:rFonts w:ascii="Arial" w:cs="Arial" w:eastAsia="Arial" w:hAnsi="Arial"/>
                <w:sz w:val="18"/>
                <w:szCs w:val="18"/>
                <w:color w:val="auto"/>
              </w:rPr>
              <w:t>Assignment; Binding Effect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10.4</w:t>
            </w:r>
          </w:p>
        </w:tc>
        <w:tc>
          <w:tcPr>
            <w:tcW w:w="3480" w:type="dxa"/>
            <w:vAlign w:val="bottom"/>
            <w:vMerge w:val="restart"/>
          </w:tcPr>
          <w:p>
            <w:pPr>
              <w:ind w:left="480"/>
              <w:spacing w:after="0"/>
              <w:rPr>
                <w:sz w:val="20"/>
                <w:szCs w:val="20"/>
                <w:color w:val="auto"/>
              </w:rPr>
            </w:pPr>
            <w:r>
              <w:rPr>
                <w:rFonts w:ascii="Arial" w:cs="Arial" w:eastAsia="Arial" w:hAnsi="Arial"/>
                <w:sz w:val="18"/>
                <w:szCs w:val="18"/>
                <w:color w:val="auto"/>
              </w:rPr>
              <w:t>Third-Party Beneficiaries</w:t>
            </w:r>
          </w:p>
        </w:tc>
        <w:tc>
          <w:tcPr>
            <w:tcW w:w="612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340" w:type="dxa"/>
            <w:vAlign w:val="bottom"/>
            <w:vMerge w:val="continue"/>
          </w:tcPr>
          <w:p>
            <w:pPr>
              <w:spacing w:after="0"/>
              <w:rPr>
                <w:sz w:val="17"/>
                <w:szCs w:val="17"/>
                <w:color w:val="auto"/>
              </w:rPr>
            </w:pPr>
          </w:p>
        </w:tc>
        <w:tc>
          <w:tcPr>
            <w:tcW w:w="3480" w:type="dxa"/>
            <w:vAlign w:val="bottom"/>
            <w:vMerge w:val="continue"/>
          </w:tcPr>
          <w:p>
            <w:pPr>
              <w:spacing w:after="0"/>
              <w:rPr>
                <w:sz w:val="17"/>
                <w:szCs w:val="17"/>
                <w:color w:val="auto"/>
              </w:rPr>
            </w:pPr>
          </w:p>
        </w:tc>
        <w:tc>
          <w:tcPr>
            <w:tcW w:w="6120" w:type="dxa"/>
            <w:vAlign w:val="bottom"/>
          </w:tcPr>
          <w:p>
            <w:pPr>
              <w:spacing w:after="0"/>
              <w:rPr>
                <w:sz w:val="17"/>
                <w:szCs w:val="17"/>
                <w:color w:val="auto"/>
              </w:rPr>
            </w:pPr>
          </w:p>
        </w:tc>
        <w:tc>
          <w:tcPr>
            <w:tcW w:w="4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A-52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10.5</w:t>
            </w:r>
          </w:p>
        </w:tc>
        <w:tc>
          <w:tcPr>
            <w:tcW w:w="3480" w:type="dxa"/>
            <w:vAlign w:val="bottom"/>
          </w:tcPr>
          <w:p>
            <w:pPr>
              <w:ind w:left="480"/>
              <w:spacing w:after="0"/>
              <w:rPr>
                <w:sz w:val="20"/>
                <w:szCs w:val="20"/>
                <w:color w:val="auto"/>
              </w:rPr>
            </w:pPr>
            <w:r>
              <w:rPr>
                <w:rFonts w:ascii="Arial" w:cs="Arial" w:eastAsia="Arial" w:hAnsi="Arial"/>
                <w:sz w:val="18"/>
                <w:szCs w:val="18"/>
                <w:color w:val="auto"/>
              </w:rPr>
              <w:t>Entire Agreement</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10.6</w:t>
            </w:r>
          </w:p>
        </w:tc>
        <w:tc>
          <w:tcPr>
            <w:tcW w:w="3480" w:type="dxa"/>
            <w:vAlign w:val="bottom"/>
          </w:tcPr>
          <w:p>
            <w:pPr>
              <w:ind w:left="480"/>
              <w:spacing w:after="0"/>
              <w:rPr>
                <w:sz w:val="20"/>
                <w:szCs w:val="20"/>
                <w:color w:val="auto"/>
              </w:rPr>
            </w:pPr>
            <w:r>
              <w:rPr>
                <w:rFonts w:ascii="Arial" w:cs="Arial" w:eastAsia="Arial" w:hAnsi="Arial"/>
                <w:sz w:val="18"/>
                <w:szCs w:val="18"/>
                <w:color w:val="auto"/>
              </w:rPr>
              <w:t>Amendments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10.7</w:t>
            </w:r>
          </w:p>
        </w:tc>
        <w:tc>
          <w:tcPr>
            <w:tcW w:w="3480" w:type="dxa"/>
            <w:vAlign w:val="bottom"/>
          </w:tcPr>
          <w:p>
            <w:pPr>
              <w:ind w:left="480"/>
              <w:spacing w:after="0"/>
              <w:rPr>
                <w:sz w:val="20"/>
                <w:szCs w:val="20"/>
                <w:color w:val="auto"/>
              </w:rPr>
            </w:pPr>
            <w:r>
              <w:rPr>
                <w:rFonts w:ascii="Arial" w:cs="Arial" w:eastAsia="Arial" w:hAnsi="Arial"/>
                <w:sz w:val="18"/>
                <w:szCs w:val="18"/>
                <w:color w:val="auto"/>
              </w:rPr>
              <w:t>Governing Law</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10.8</w:t>
            </w:r>
          </w:p>
        </w:tc>
        <w:tc>
          <w:tcPr>
            <w:tcW w:w="3480" w:type="dxa"/>
            <w:vAlign w:val="bottom"/>
          </w:tcPr>
          <w:p>
            <w:pPr>
              <w:ind w:left="480"/>
              <w:spacing w:after="0"/>
              <w:rPr>
                <w:sz w:val="20"/>
                <w:szCs w:val="20"/>
                <w:color w:val="auto"/>
              </w:rPr>
            </w:pPr>
            <w:r>
              <w:rPr>
                <w:rFonts w:ascii="Arial" w:cs="Arial" w:eastAsia="Arial" w:hAnsi="Arial"/>
                <w:sz w:val="18"/>
                <w:szCs w:val="18"/>
                <w:color w:val="auto"/>
              </w:rPr>
              <w:t>Counterparts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10.9</w:t>
            </w:r>
          </w:p>
        </w:tc>
        <w:tc>
          <w:tcPr>
            <w:tcW w:w="3480" w:type="dxa"/>
            <w:vAlign w:val="bottom"/>
          </w:tcPr>
          <w:p>
            <w:pPr>
              <w:ind w:left="480"/>
              <w:spacing w:after="0"/>
              <w:rPr>
                <w:sz w:val="20"/>
                <w:szCs w:val="20"/>
                <w:color w:val="auto"/>
              </w:rPr>
            </w:pPr>
            <w:r>
              <w:rPr>
                <w:rFonts w:ascii="Arial" w:cs="Arial" w:eastAsia="Arial" w:hAnsi="Arial"/>
                <w:sz w:val="18"/>
                <w:szCs w:val="18"/>
                <w:color w:val="auto"/>
              </w:rPr>
              <w:t>Headings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10.10</w:t>
            </w:r>
          </w:p>
        </w:tc>
        <w:tc>
          <w:tcPr>
            <w:tcW w:w="3480" w:type="dxa"/>
            <w:vAlign w:val="bottom"/>
          </w:tcPr>
          <w:p>
            <w:pPr>
              <w:ind w:left="480"/>
              <w:spacing w:after="0"/>
              <w:rPr>
                <w:sz w:val="20"/>
                <w:szCs w:val="20"/>
                <w:color w:val="auto"/>
              </w:rPr>
            </w:pPr>
            <w:r>
              <w:rPr>
                <w:rFonts w:ascii="Arial" w:cs="Arial" w:eastAsia="Arial" w:hAnsi="Arial"/>
                <w:sz w:val="18"/>
                <w:szCs w:val="18"/>
                <w:color w:val="auto"/>
              </w:rPr>
              <w:t>Interpretation; Disclosure Letter</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10.11</w:t>
            </w:r>
          </w:p>
        </w:tc>
        <w:tc>
          <w:tcPr>
            <w:tcW w:w="3480" w:type="dxa"/>
            <w:vAlign w:val="bottom"/>
          </w:tcPr>
          <w:p>
            <w:pPr>
              <w:ind w:left="480"/>
              <w:spacing w:after="0"/>
              <w:rPr>
                <w:sz w:val="20"/>
                <w:szCs w:val="20"/>
                <w:color w:val="auto"/>
              </w:rPr>
            </w:pPr>
            <w:r>
              <w:rPr>
                <w:rFonts w:ascii="Arial" w:cs="Arial" w:eastAsia="Arial" w:hAnsi="Arial"/>
                <w:sz w:val="18"/>
                <w:szCs w:val="18"/>
                <w:color w:val="auto"/>
              </w:rPr>
              <w:t>Definitions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10.12</w:t>
            </w:r>
          </w:p>
        </w:tc>
        <w:tc>
          <w:tcPr>
            <w:tcW w:w="3480" w:type="dxa"/>
            <w:vAlign w:val="bottom"/>
          </w:tcPr>
          <w:p>
            <w:pPr>
              <w:ind w:left="480"/>
              <w:spacing w:after="0"/>
              <w:rPr>
                <w:sz w:val="20"/>
                <w:szCs w:val="20"/>
                <w:color w:val="auto"/>
              </w:rPr>
            </w:pPr>
            <w:r>
              <w:rPr>
                <w:rFonts w:ascii="Arial" w:cs="Arial" w:eastAsia="Arial" w:hAnsi="Arial"/>
                <w:sz w:val="18"/>
                <w:szCs w:val="18"/>
                <w:color w:val="auto"/>
              </w:rPr>
              <w:t>Extensions; Waiver</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A-54</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10.13</w:t>
            </w:r>
          </w:p>
        </w:tc>
        <w:tc>
          <w:tcPr>
            <w:tcW w:w="3480" w:type="dxa"/>
            <w:vAlign w:val="bottom"/>
          </w:tcPr>
          <w:p>
            <w:pPr>
              <w:ind w:left="480"/>
              <w:spacing w:after="0"/>
              <w:rPr>
                <w:sz w:val="20"/>
                <w:szCs w:val="20"/>
                <w:color w:val="auto"/>
              </w:rPr>
            </w:pPr>
            <w:r>
              <w:rPr>
                <w:rFonts w:ascii="Arial" w:cs="Arial" w:eastAsia="Arial" w:hAnsi="Arial"/>
                <w:sz w:val="18"/>
                <w:szCs w:val="18"/>
                <w:color w:val="auto"/>
              </w:rPr>
              <w:t>Severability</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A-54</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10.14</w:t>
            </w:r>
          </w:p>
        </w:tc>
        <w:tc>
          <w:tcPr>
            <w:tcW w:w="3480" w:type="dxa"/>
            <w:vAlign w:val="bottom"/>
          </w:tcPr>
          <w:p>
            <w:pPr>
              <w:ind w:left="480"/>
              <w:spacing w:after="0"/>
              <w:rPr>
                <w:sz w:val="20"/>
                <w:szCs w:val="20"/>
                <w:color w:val="auto"/>
              </w:rPr>
            </w:pPr>
            <w:r>
              <w:rPr>
                <w:rFonts w:ascii="Arial" w:cs="Arial" w:eastAsia="Arial" w:hAnsi="Arial"/>
                <w:sz w:val="18"/>
                <w:szCs w:val="18"/>
                <w:color w:val="auto"/>
              </w:rPr>
              <w:t>Enforcement of Agreement</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A-55</w:t>
            </w:r>
          </w:p>
        </w:tc>
        <w:tc>
          <w:tcPr>
            <w:tcW w:w="0" w:type="dxa"/>
            <w:vAlign w:val="bottom"/>
          </w:tcPr>
          <w:p>
            <w:pPr>
              <w:spacing w:after="0"/>
              <w:rPr>
                <w:sz w:val="1"/>
                <w:szCs w:val="1"/>
                <w:color w:val="auto"/>
              </w:rPr>
            </w:pPr>
          </w:p>
        </w:tc>
      </w:tr>
      <w:tr>
        <w:trPr>
          <w:trHeight w:val="222"/>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10.15</w:t>
            </w:r>
          </w:p>
        </w:tc>
        <w:tc>
          <w:tcPr>
            <w:tcW w:w="3480" w:type="dxa"/>
            <w:vAlign w:val="bottom"/>
          </w:tcPr>
          <w:p>
            <w:pPr>
              <w:ind w:left="480"/>
              <w:spacing w:after="0"/>
              <w:rPr>
                <w:sz w:val="20"/>
                <w:szCs w:val="20"/>
                <w:color w:val="auto"/>
              </w:rPr>
            </w:pPr>
            <w:r>
              <w:rPr>
                <w:rFonts w:ascii="Arial" w:cs="Arial" w:eastAsia="Arial" w:hAnsi="Arial"/>
                <w:sz w:val="18"/>
                <w:szCs w:val="18"/>
                <w:color w:val="auto"/>
              </w:rPr>
              <w:t>Waiver of Jury Trial</w:t>
            </w:r>
          </w:p>
        </w:tc>
        <w:tc>
          <w:tcPr>
            <w:tcW w:w="612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A-55</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4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340" w:type="dxa"/>
            <w:vAlign w:val="bottom"/>
          </w:tcPr>
          <w:p>
            <w:pPr>
              <w:spacing w:after="0"/>
              <w:rPr>
                <w:sz w:val="20"/>
                <w:szCs w:val="20"/>
                <w:color w:val="auto"/>
              </w:rPr>
            </w:pPr>
            <w:r>
              <w:rPr>
                <w:rFonts w:ascii="Arial" w:cs="Arial" w:eastAsia="Arial" w:hAnsi="Arial"/>
                <w:sz w:val="18"/>
                <w:szCs w:val="18"/>
                <w:color w:val="auto"/>
              </w:rPr>
              <w:t>Exhibit A</w:t>
            </w:r>
          </w:p>
        </w:tc>
        <w:tc>
          <w:tcPr>
            <w:tcW w:w="3480" w:type="dxa"/>
            <w:vAlign w:val="bottom"/>
          </w:tcPr>
          <w:p>
            <w:pPr>
              <w:ind w:left="40"/>
              <w:spacing w:after="0"/>
              <w:rPr>
                <w:sz w:val="20"/>
                <w:szCs w:val="20"/>
                <w:color w:val="auto"/>
              </w:rPr>
            </w:pPr>
            <w:r>
              <w:rPr>
                <w:rFonts w:ascii="Arial" w:cs="Arial" w:eastAsia="Arial" w:hAnsi="Arial"/>
                <w:sz w:val="18"/>
                <w:szCs w:val="18"/>
                <w:color w:val="auto"/>
              </w:rPr>
              <w:t>Certificate of Incorporation</w:t>
            </w:r>
          </w:p>
        </w:tc>
        <w:tc>
          <w:tcPr>
            <w:tcW w:w="6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620" w:type="dxa"/>
            <w:vAlign w:val="bottom"/>
            <w:gridSpan w:val="3"/>
          </w:tcPr>
          <w:p>
            <w:pPr>
              <w:ind w:left="720"/>
              <w:spacing w:after="0"/>
              <w:rPr>
                <w:sz w:val="20"/>
                <w:szCs w:val="20"/>
                <w:color w:val="auto"/>
              </w:rPr>
            </w:pPr>
            <w:r>
              <w:rPr>
                <w:rFonts w:ascii="Arial" w:cs="Arial" w:eastAsia="Arial" w:hAnsi="Arial"/>
                <w:sz w:val="18"/>
                <w:szCs w:val="18"/>
                <w:color w:val="auto"/>
              </w:rPr>
              <w:t>A-iii</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0" w:type="dxa"/>
            <w:vAlign w:val="bottom"/>
            <w:gridSpan w:val="2"/>
          </w:tcPr>
          <w:p>
            <w:pPr>
              <w:jc w:val="center"/>
              <w:ind w:right="3142"/>
              <w:spacing w:after="0"/>
              <w:rPr>
                <w:sz w:val="20"/>
                <w:szCs w:val="20"/>
                <w:color w:val="auto"/>
              </w:rPr>
            </w:pPr>
            <w:r>
              <w:rPr>
                <w:rFonts w:ascii="Arial" w:cs="Arial" w:eastAsia="Arial" w:hAnsi="Arial"/>
                <w:sz w:val="18"/>
                <w:szCs w:val="18"/>
                <w:b w:val="1"/>
                <w:bCs w:val="1"/>
                <w:color w:val="auto"/>
                <w:w w:val="96"/>
              </w:rPr>
              <w:t>GLOSSARY OF DEFINED TERMS</w:t>
            </w:r>
          </w:p>
        </w:tc>
      </w:tr>
      <w:tr>
        <w:trPr>
          <w:trHeight w:val="353"/>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Defined Terms</w:t>
            </w:r>
          </w:p>
        </w:tc>
        <w:tc>
          <w:tcPr>
            <w:tcW w:w="23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9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8.1(c) Jurisdiction</w:t>
            </w:r>
          </w:p>
        </w:tc>
        <w:tc>
          <w:tcPr>
            <w:tcW w:w="624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Section 8.1(d)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7.3(f)</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Preamble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7.18(d)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COBRA</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5.11(b)(xii)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Code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5.21(a)(iii)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Covered Employees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7.18(a)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Debt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Delaware Court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10.7</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Detriment Limit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7.6(d)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DGCL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EC Merger Regulation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ERISA</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Corrupt Practices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Government Official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Franklin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10.11(g)</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GAAP</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5.6(b)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10.11(c)</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Initial Termination Date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9.2(b)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Intellectual Property Rights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5.15</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IRS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Joint Venture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Article 5 Preface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Liens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5.3(b)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Material Adverse Effect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5.21(a)(xi)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4.1(a)</w:t>
            </w: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Preamble</w:t>
            </w:r>
          </w:p>
        </w:tc>
      </w:tr>
      <w:tr>
        <w:trPr>
          <w:trHeight w:val="365"/>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0" w:type="dxa"/>
            <w:vAlign w:val="bottom"/>
            <w:gridSpan w:val="2"/>
          </w:tcPr>
          <w:p>
            <w:pPr>
              <w:jc w:val="center"/>
              <w:ind w:right="3122"/>
              <w:spacing w:after="0"/>
              <w:rPr>
                <w:sz w:val="20"/>
                <w:szCs w:val="20"/>
                <w:color w:val="auto"/>
              </w:rPr>
            </w:pPr>
            <w:r>
              <w:rPr>
                <w:rFonts w:ascii="Arial" w:cs="Arial" w:eastAsia="Arial" w:hAnsi="Arial"/>
                <w:sz w:val="18"/>
                <w:szCs w:val="18"/>
                <w:color w:val="auto"/>
              </w:rPr>
              <w:t>A-iv</w:t>
            </w: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Defined Terms</w:t>
            </w:r>
          </w:p>
        </w:tc>
        <w:tc>
          <w:tcPr>
            <w:tcW w:w="5220" w:type="dxa"/>
            <w:vAlign w:val="bottom"/>
          </w:tcPr>
          <w:p>
            <w:pPr>
              <w:spacing w:after="0"/>
              <w:rPr>
                <w:sz w:val="14"/>
                <w:szCs w:val="14"/>
                <w:color w:val="auto"/>
              </w:rPr>
            </w:pPr>
          </w:p>
        </w:tc>
        <w:tc>
          <w:tcPr>
            <w:tcW w:w="1860" w:type="dxa"/>
            <w:vAlign w:val="bottom"/>
          </w:tcPr>
          <w:p>
            <w:pPr>
              <w:ind w:left="50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Plans</w:t>
            </w:r>
          </w:p>
        </w:tc>
        <w:tc>
          <w:tcPr>
            <w:tcW w:w="34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Section 7.18(b)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NYSE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OFAC</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5.22(a)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Old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7.18(b)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Permitted Lien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person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Proceeding</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7.1(b)(xii)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Prohibited Person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5.22(a)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Proxy Statement/Prospectus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7.2</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Regulatory Laws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7.6(f)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Related Persons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9.5(a)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Returns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5.10(a)(i)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Reverse Termination Fee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9.5(b)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Rights Agreement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4.4</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Sarbanes-Oxley Act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5.7(a)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Approvals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Common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Disclosure Letter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6 Preface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Material Adverse Effect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Preferred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6.3</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Reports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Securities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6.3</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Stock Incentive Award</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Approvals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Benefit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Board</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Common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Disclosure Letter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5 Preface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ERISA affiliate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5.11(b)(x)</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Excluded Shares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Foreign Benefit Plan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Material Adverse Effect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Permits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5.4(b)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Post-Signing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Post-Signing Stock Incentive Awards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Preferred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Recommendation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Reports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Rights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4.4</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Securities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 Incentive Awards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Stockholder Approval</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5.20</w:t>
            </w:r>
          </w:p>
        </w:tc>
      </w:tr>
      <w:tr>
        <w:trPr>
          <w:trHeight w:val="222"/>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Stockholders Meeting</w:t>
            </w:r>
          </w:p>
        </w:tc>
        <w:tc>
          <w:tcPr>
            <w:tcW w:w="52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7.2</w:t>
            </w:r>
          </w:p>
        </w:tc>
      </w:tr>
      <w:tr>
        <w:trPr>
          <w:trHeight w:val="365"/>
        </w:trPr>
        <w:tc>
          <w:tcPr>
            <w:tcW w:w="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80" w:type="dxa"/>
            <w:vAlign w:val="bottom"/>
            <w:gridSpan w:val="2"/>
          </w:tcPr>
          <w:p>
            <w:pPr>
              <w:ind w:left="1240"/>
              <w:spacing w:after="0"/>
              <w:rPr>
                <w:sz w:val="20"/>
                <w:szCs w:val="20"/>
                <w:color w:val="auto"/>
              </w:rPr>
            </w:pPr>
            <w:r>
              <w:rPr>
                <w:rFonts w:ascii="Arial" w:cs="Arial" w:eastAsia="Arial" w:hAnsi="Arial"/>
                <w:sz w:val="18"/>
                <w:szCs w:val="18"/>
                <w:color w:val="auto"/>
              </w:rPr>
              <w:t>A-v</w:t>
            </w: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Defined Terms</w:t>
            </w:r>
          </w:p>
        </w:tc>
        <w:tc>
          <w:tcPr>
            <w:tcW w:w="30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Smith Subsidiary Securities</w:t>
            </w:r>
          </w:p>
        </w:tc>
        <w:tc>
          <w:tcPr>
            <w:tcW w:w="5860" w:type="dxa"/>
            <w:vAlign w:val="bottom"/>
          </w:tcPr>
          <w:p>
            <w:pPr>
              <w:spacing w:after="0"/>
              <w:rPr>
                <w:sz w:val="17"/>
                <w:szCs w:val="17"/>
                <w:color w:val="auto"/>
              </w:rPr>
            </w:pP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Section 5.3(b)</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Smith Surviving Shares</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4.1(b)</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Smith U.S. Benefit Plan</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10.11(g)</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Superior Proposal</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7.3(f)</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Surviving Entity Common Stock</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4.1(d)</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Taxes</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10.11(h)</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9.2(a)</w:t>
            </w: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Termination Fee</w:t>
            </w:r>
          </w:p>
        </w:tc>
        <w:tc>
          <w:tcPr>
            <w:tcW w:w="58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9.5(a)</w:t>
            </w:r>
          </w:p>
        </w:tc>
      </w:tr>
      <w:tr>
        <w:trPr>
          <w:trHeight w:val="365"/>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480" w:type="dxa"/>
            <w:vAlign w:val="bottom"/>
            <w:gridSpan w:val="2"/>
          </w:tcPr>
          <w:p>
            <w:pPr>
              <w:ind w:left="1620"/>
              <w:spacing w:after="0"/>
              <w:rPr>
                <w:sz w:val="20"/>
                <w:szCs w:val="20"/>
                <w:color w:val="auto"/>
              </w:rPr>
            </w:pPr>
            <w:r>
              <w:rPr>
                <w:rFonts w:ascii="Arial" w:cs="Arial" w:eastAsia="Arial" w:hAnsi="Arial"/>
                <w:sz w:val="18"/>
                <w:szCs w:val="18"/>
                <w:color w:val="auto"/>
              </w:rPr>
              <w:t>A-vi</w:t>
            </w: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ind w:left="460" w:right="140" w:firstLine="876"/>
        <w:spacing w:after="0" w:line="310"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21, 2010, is by and among Schlumberger Limited (Schlumberger N.V.), a company organized under the laws of the Netherlands Antilles (“</w:t>
      </w:r>
      <w:r>
        <w:rPr>
          <w:rFonts w:ascii="Arial" w:cs="Arial" w:eastAsia="Arial" w:hAnsi="Arial"/>
          <w:sz w:val="16"/>
          <w:szCs w:val="16"/>
          <w:b w:val="1"/>
          <w:bCs w:val="1"/>
          <w:color w:val="auto"/>
        </w:rPr>
        <w:t>Schlumberger</w:t>
      </w:r>
      <w:r>
        <w:rPr>
          <w:rFonts w:ascii="Arial" w:cs="Arial" w:eastAsia="Arial" w:hAnsi="Arial"/>
          <w:sz w:val="16"/>
          <w:szCs w:val="16"/>
          <w:color w:val="auto"/>
        </w:rPr>
        <w:t>”), Turnberry Merger Sub Inc., a Delaware corporation and a direct wholly owned subsidiary of Schlumberger (“</w:t>
      </w:r>
      <w:r>
        <w:rPr>
          <w:rFonts w:ascii="Arial" w:cs="Arial" w:eastAsia="Arial" w:hAnsi="Arial"/>
          <w:sz w:val="16"/>
          <w:szCs w:val="16"/>
          <w:b w:val="1"/>
          <w:bCs w:val="1"/>
          <w:color w:val="auto"/>
        </w:rPr>
        <w:t>Merger Sub</w:t>
      </w:r>
      <w:r>
        <w:rPr>
          <w:rFonts w:ascii="Arial" w:cs="Arial" w:eastAsia="Arial" w:hAnsi="Arial"/>
          <w:sz w:val="16"/>
          <w:szCs w:val="16"/>
          <w:color w:val="auto"/>
        </w:rPr>
        <w:t>”), and Smith International, Inc., a Delaware corporation (“</w:t>
      </w:r>
      <w:r>
        <w:rPr>
          <w:rFonts w:ascii="Arial" w:cs="Arial" w:eastAsia="Arial" w:hAnsi="Arial"/>
          <w:sz w:val="16"/>
          <w:szCs w:val="16"/>
          <w:b w:val="1"/>
          <w:bCs w:val="1"/>
          <w:color w:val="auto"/>
        </w:rPr>
        <w:t>Smith</w:t>
      </w:r>
      <w:r>
        <w:rPr>
          <w:rFonts w:ascii="Arial" w:cs="Arial" w:eastAsia="Arial" w:hAnsi="Arial"/>
          <w:sz w:val="16"/>
          <w:szCs w:val="16"/>
          <w:color w:val="auto"/>
        </w:rPr>
        <w: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WHEREAS, the respective Boards of Directors of Smith, Schlumberger and Merger Sub have deemed it advisable and in the best interests of their respective companies and equity holders that Smith and Schlumberger engage in a business combination whereby Schlumberger will acquire all of the outstanding capital stock of Smith in exchange for shares of Schlumberger common stock, par value $0.01 per share (the “</w:t>
      </w:r>
      <w:r>
        <w:rPr>
          <w:rFonts w:ascii="Arial" w:cs="Arial" w:eastAsia="Arial" w:hAnsi="Arial"/>
          <w:sz w:val="18"/>
          <w:szCs w:val="18"/>
          <w:b w:val="1"/>
          <w:bCs w:val="1"/>
          <w:color w:val="auto"/>
        </w:rPr>
        <w:t>Schlumberger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43" w:lineRule="exact"/>
        <w:rPr>
          <w:sz w:val="20"/>
          <w:szCs w:val="20"/>
          <w:color w:val="auto"/>
        </w:rPr>
      </w:pPr>
    </w:p>
    <w:p>
      <w:pPr>
        <w:ind w:left="460" w:right="240" w:firstLine="876"/>
        <w:spacing w:after="0" w:line="306" w:lineRule="auto"/>
        <w:rPr>
          <w:sz w:val="20"/>
          <w:szCs w:val="20"/>
          <w:color w:val="auto"/>
        </w:rPr>
      </w:pPr>
      <w:r>
        <w:rPr>
          <w:rFonts w:ascii="Arial" w:cs="Arial" w:eastAsia="Arial" w:hAnsi="Arial"/>
          <w:sz w:val="16"/>
          <w:szCs w:val="16"/>
          <w:color w:val="auto"/>
        </w:rPr>
        <w:t>WHEREAS, in furtherance thereof, the respective Boards of Directors of Smith, Schlumberger and Merger Sub have approved and declared advisable (1) this Agreement and (2) the merger of Merger Sub with and into Smith (the “</w:t>
      </w:r>
      <w:r>
        <w:rPr>
          <w:rFonts w:ascii="Arial" w:cs="Arial" w:eastAsia="Arial" w:hAnsi="Arial"/>
          <w:sz w:val="16"/>
          <w:szCs w:val="16"/>
          <w:b w:val="1"/>
          <w:bCs w:val="1"/>
          <w:color w:val="auto"/>
        </w:rPr>
        <w:t>Merger</w:t>
      </w:r>
      <w:r>
        <w:rPr>
          <w:rFonts w:ascii="Arial" w:cs="Arial" w:eastAsia="Arial" w:hAnsi="Arial"/>
          <w:sz w:val="16"/>
          <w:szCs w:val="16"/>
          <w:color w:val="auto"/>
        </w:rPr>
        <w:t>”) in accordance with the applicable provisions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and upon the terms and conditions set forth in this Agreement; and</w:t>
      </w:r>
    </w:p>
    <w:p>
      <w:pPr>
        <w:spacing w:after="0" w:line="107" w:lineRule="exact"/>
        <w:rPr>
          <w:sz w:val="20"/>
          <w:szCs w:val="20"/>
          <w:color w:val="auto"/>
        </w:rPr>
      </w:pPr>
    </w:p>
    <w:p>
      <w:pPr>
        <w:ind w:left="460" w:right="480" w:firstLine="876"/>
        <w:spacing w:after="0" w:line="259" w:lineRule="auto"/>
        <w:rPr>
          <w:sz w:val="20"/>
          <w:szCs w:val="20"/>
          <w:color w:val="auto"/>
        </w:rPr>
      </w:pPr>
      <w:r>
        <w:rPr>
          <w:rFonts w:ascii="Arial" w:cs="Arial" w:eastAsia="Arial" w:hAnsi="Arial"/>
          <w:sz w:val="18"/>
          <w:szCs w:val="18"/>
          <w:color w:val="auto"/>
        </w:rPr>
        <w:t>WHEREAS, Schlumberger and Smith intend that, for United States federal income tax purposes, the Merger shall qualify (i) as a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(ii) for an exception to the general rule of Section 367(a)(1) of the Code;</w:t>
      </w:r>
    </w:p>
    <w:p>
      <w:pPr>
        <w:spacing w:after="0" w:line="140"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NOW, THEREFORE, in consideration of the foregoing and their respective representations, warranties, covenants and agreements set forth in this Agreement, the parties agree as follows: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jc w:val="both"/>
        <w:ind w:left="460" w:right="140" w:firstLine="876"/>
        <w:spacing w:after="0" w:line="30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Upon the terms and subject to conditions of this Agreement, at the Effective Time, Merger Sub shall be merged with and into Smith in accordance with this Agreement, and the separate corporate existence of Merger Sub shall thereupon cease. Smith shall be the surviving entity in the Merger (the “</w:t>
      </w:r>
      <w:r>
        <w:rPr>
          <w:rFonts w:ascii="Arial" w:cs="Arial" w:eastAsia="Arial" w:hAnsi="Arial"/>
          <w:sz w:val="16"/>
          <w:szCs w:val="16"/>
          <w:b w:val="1"/>
          <w:bCs w:val="1"/>
          <w:color w:val="auto"/>
        </w:rPr>
        <w:t>Surviving Entity</w:t>
      </w:r>
      <w:r>
        <w:rPr>
          <w:rFonts w:ascii="Arial" w:cs="Arial" w:eastAsia="Arial" w:hAnsi="Arial"/>
          <w:sz w:val="16"/>
          <w:szCs w:val="16"/>
          <w:color w:val="auto"/>
        </w:rPr>
        <w:t>”). The Merger shall have the effects specified herein and in the DGCL.</w:t>
      </w:r>
    </w:p>
    <w:p>
      <w:pPr>
        <w:spacing w:after="0" w:line="101" w:lineRule="exact"/>
        <w:rPr>
          <w:sz w:val="20"/>
          <w:szCs w:val="20"/>
          <w:color w:val="auto"/>
        </w:rPr>
      </w:pPr>
    </w:p>
    <w:p>
      <w:pPr>
        <w:ind w:left="460" w:firstLine="876"/>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The Closing.</w:t>
      </w:r>
      <w:r>
        <w:rPr>
          <w:rFonts w:ascii="Arial" w:cs="Arial" w:eastAsia="Arial" w:hAnsi="Arial"/>
          <w:sz w:val="16"/>
          <w:szCs w:val="16"/>
          <w:color w:val="auto"/>
        </w:rPr>
        <w:t xml:space="preserve"> Upon the terms and subject to the conditions of this Agreement,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 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8 (other than those conditions that by their nature are to be fulfilled at the Closing, but subject to fulfillment or waiver of such conditions) shall be fulfilled or waived in accordance with this Agreement or (b) at such other time, date or place as Schlumberger and Smith may agree. The date on which the Closing occurs is hereinafter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11" w:lineRule="exact"/>
        <w:rPr>
          <w:sz w:val="20"/>
          <w:szCs w:val="20"/>
          <w:color w:val="auto"/>
        </w:rPr>
      </w:pPr>
    </w:p>
    <w:p>
      <w:pPr>
        <w:ind w:left="460" w:right="140" w:firstLine="876"/>
        <w:spacing w:after="0" w:line="256"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Effective Time.</w:t>
      </w:r>
      <w:r>
        <w:rPr>
          <w:rFonts w:ascii="Arial" w:cs="Arial" w:eastAsia="Arial" w:hAnsi="Arial"/>
          <w:sz w:val="18"/>
          <w:szCs w:val="18"/>
          <w:color w:val="auto"/>
        </w:rPr>
        <w:t xml:space="preserve"> On the Closing Date, Schlumberger, Merger Sub and Smith shall cause a certificate of merger (the “</w:t>
      </w:r>
      <w:r>
        <w:rPr>
          <w:rFonts w:ascii="Arial" w:cs="Arial" w:eastAsia="Arial" w:hAnsi="Arial"/>
          <w:sz w:val="18"/>
          <w:szCs w:val="18"/>
          <w:b w:val="1"/>
          <w:b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meeting the requirements of Section 251 of the DGCL to be properly executed and filed in accordance with such sections. The Merger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effective at such time as the Certificate of Merger is duly filed with the Secretary of State of the State of Delaware in accordance with the DGCL, or at such later time that Schlumberger and Smith shall have agreed upon and designated in such filing as the effective time of the Merger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GOVERNING DOCUMENTS</w:t>
      </w:r>
    </w:p>
    <w:p>
      <w:pPr>
        <w:spacing w:after="0" w:line="177" w:lineRule="exact"/>
        <w:rPr>
          <w:sz w:val="20"/>
          <w:szCs w:val="20"/>
          <w:color w:val="auto"/>
        </w:rPr>
      </w:pPr>
    </w:p>
    <w:p>
      <w:pPr>
        <w:ind w:left="460" w:right="300" w:firstLine="87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xml:space="preserve"> As of the Effective Time, the certificate of incorporation of Smith shall be amended as set forth in Exhibit A and, as so amended, shall be the certificate of incorporation of the Surviving Entity, until thereafter duly amended as provided therein or by Applicable Law.</w:t>
      </w:r>
    </w:p>
    <w:p>
      <w:pPr>
        <w:spacing w:after="0" w:line="140" w:lineRule="exact"/>
        <w:rPr>
          <w:sz w:val="20"/>
          <w:szCs w:val="20"/>
          <w:color w:val="auto"/>
        </w:rPr>
      </w:pPr>
    </w:p>
    <w:p>
      <w:pPr>
        <w:ind w:left="460" w:right="80" w:firstLine="876"/>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xml:space="preserve"> As of the Effective Time, the bylaws of Smith, as in effect immediately prior to the Effective Time, shall be the bylaws of the Surviving Entity, until thereafter duly amended as provided therein or by Applicable Law.</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OFFICERS</w:t>
      </w:r>
    </w:p>
    <w:p>
      <w:pPr>
        <w:spacing w:after="0" w:line="177" w:lineRule="exact"/>
        <w:rPr>
          <w:sz w:val="20"/>
          <w:szCs w:val="20"/>
          <w:color w:val="auto"/>
        </w:rPr>
      </w:pPr>
    </w:p>
    <w:p>
      <w:pPr>
        <w:ind w:left="460" w:right="120" w:firstLine="87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xml:space="preserve">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140" w:lineRule="exact"/>
        <w:rPr>
          <w:sz w:val="20"/>
          <w:szCs w:val="20"/>
          <w:color w:val="auto"/>
        </w:rPr>
      </w:pPr>
    </w:p>
    <w:p>
      <w:pPr>
        <w:ind w:left="460" w:firstLine="876"/>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xml:space="preserve"> The officers of Merger Sub immediately prior to the Effective Time shall, from and after the Effective Time, be the officers of the Surviving Entity until their successors have been duly elected or appointed and qualified or until their earlier death, resignation or removal in accordance with the governing documents of the Surviving Entity.</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CONVERSION OF SMITH COMMON STOCK</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Smith and Merger Sub.</w:t>
      </w:r>
    </w:p>
    <w:p>
      <w:pPr>
        <w:spacing w:after="0" w:line="171" w:lineRule="exact"/>
        <w:rPr>
          <w:sz w:val="20"/>
          <w:szCs w:val="20"/>
          <w:color w:val="auto"/>
        </w:rPr>
      </w:pPr>
    </w:p>
    <w:p>
      <w:pPr>
        <w:ind w:left="460" w:right="140" w:firstLine="881"/>
        <w:spacing w:after="0" w:line="291" w:lineRule="auto"/>
        <w:tabs>
          <w:tab w:leader="none" w:pos="1575"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Merger Consideration</w:t>
      </w:r>
      <w:r>
        <w:rPr>
          <w:rFonts w:ascii="Arial" w:cs="Arial" w:eastAsia="Arial" w:hAnsi="Arial"/>
          <w:sz w:val="16"/>
          <w:szCs w:val="16"/>
          <w:color w:val="auto"/>
        </w:rPr>
        <w:t>. At the Effective Time, subject to the other provisions of this Agreement, each share of common stock, par value</w:t>
      </w:r>
      <w:r>
        <w:rPr>
          <w:rFonts w:ascii="Arial" w:cs="Arial" w:eastAsia="Arial" w:hAnsi="Arial"/>
          <w:sz w:val="16"/>
          <w:szCs w:val="16"/>
          <w:i w:val="1"/>
          <w:iCs w:val="1"/>
          <w:color w:val="auto"/>
        </w:rPr>
        <w:t xml:space="preserve"> </w:t>
      </w:r>
      <w:r>
        <w:rPr>
          <w:rFonts w:ascii="Arial" w:cs="Arial" w:eastAsia="Arial" w:hAnsi="Arial"/>
          <w:sz w:val="16"/>
          <w:szCs w:val="16"/>
          <w:color w:val="auto"/>
        </w:rPr>
        <w:t>$1.00 per share, of Smith (“</w:t>
      </w:r>
      <w:r>
        <w:rPr>
          <w:rFonts w:ascii="Arial" w:cs="Arial" w:eastAsia="Arial" w:hAnsi="Arial"/>
          <w:sz w:val="16"/>
          <w:szCs w:val="16"/>
          <w:b w:val="1"/>
          <w:bCs w:val="1"/>
          <w:color w:val="auto"/>
        </w:rPr>
        <w:t>Smith Common Stock</w:t>
      </w:r>
      <w:r>
        <w:rPr>
          <w:rFonts w:ascii="Arial" w:cs="Arial" w:eastAsia="Arial" w:hAnsi="Arial"/>
          <w:sz w:val="16"/>
          <w:szCs w:val="16"/>
          <w:color w:val="auto"/>
        </w:rPr>
        <w:t>”) issued and outstanding immediately prior to the Effective Time (excluding any Smith Excluded Shares and Smith Surviving Shares) shall, by virtue of the Merger and without any action on the part of the holder thereof, be converted into and shall thereafter represent the right to receive 0.6966 shares (the “</w:t>
      </w:r>
      <w:r>
        <w:rPr>
          <w:rFonts w:ascii="Arial" w:cs="Arial" w:eastAsia="Arial" w:hAnsi="Arial"/>
          <w:sz w:val="16"/>
          <w:szCs w:val="16"/>
          <w:b w:val="1"/>
          <w:bCs w:val="1"/>
          <w:color w:val="auto"/>
        </w:rPr>
        <w:t>Exchange Ratio</w:t>
      </w:r>
      <w:r>
        <w:rPr>
          <w:rFonts w:ascii="Arial" w:cs="Arial" w:eastAsia="Arial" w:hAnsi="Arial"/>
          <w:sz w:val="16"/>
          <w:szCs w:val="16"/>
          <w:color w:val="auto"/>
        </w:rPr>
        <w:t>”) of validly issued, fully paid and non-assessable shares of Schlumberger Common Stock, subject to adjustment in accordance with Section 4.3 (together with any cash in lieu of fractional shares of Schlumberger Common Stock to be paid pursuant to Section 4.2(e), the “</w:t>
      </w:r>
      <w:r>
        <w:rPr>
          <w:rFonts w:ascii="Arial" w:cs="Arial" w:eastAsia="Arial" w:hAnsi="Arial"/>
          <w:sz w:val="16"/>
          <w:szCs w:val="16"/>
          <w:b w:val="1"/>
          <w:bCs w:val="1"/>
          <w:color w:val="auto"/>
        </w:rPr>
        <w:t>Merger Consideration</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left="460" w:right="160" w:firstLine="881"/>
        <w:spacing w:after="0" w:line="291" w:lineRule="auto"/>
        <w:tabs>
          <w:tab w:leader="none" w:pos="1585"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Smith Excluded Shares and Smith Surviving Shares)</w:t>
      </w:r>
      <w:r>
        <w:rPr>
          <w:rFonts w:ascii="Arial" w:cs="Arial" w:eastAsia="Arial" w:hAnsi="Arial"/>
          <w:sz w:val="16"/>
          <w:szCs w:val="16"/>
          <w:color w:val="auto"/>
        </w:rPr>
        <w:t>. As a result of the Merger and without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part of the holders thereof, at the Effective Time, all shares of Smith Common Stock (other than Smith Excluded Shares and any Smith Surviving Shares) shall cease to be outstanding and shall be canceled and retired and shall cease to exist, and each certificate that immediately prior to the Effective Time represented any shares of Smith Common Stock (other than Smith Excluded Shares and any Smith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Smith Common Stock formerly represented thereby,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spacing w:after="0" w:line="301" w:lineRule="auto"/>
        <w:rPr>
          <w:sz w:val="20"/>
          <w:szCs w:val="20"/>
          <w:color w:val="auto"/>
        </w:rPr>
      </w:pPr>
      <w:r>
        <w:rPr>
          <w:rFonts w:ascii="Arial" w:cs="Arial" w:eastAsia="Arial" w:hAnsi="Arial"/>
          <w:sz w:val="16"/>
          <w:szCs w:val="16"/>
          <w:color w:val="auto"/>
        </w:rPr>
        <w:t>any dividends or other distributions to which the holders thereof are entitled pursuant to Section 4.2(c). For purposes of this Agreement, “</w:t>
      </w:r>
      <w:r>
        <w:rPr>
          <w:rFonts w:ascii="Arial" w:cs="Arial" w:eastAsia="Arial" w:hAnsi="Arial"/>
          <w:sz w:val="16"/>
          <w:szCs w:val="16"/>
          <w:b w:val="1"/>
          <w:bCs w:val="1"/>
          <w:color w:val="auto"/>
        </w:rPr>
        <w:t>Smith Excluded</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mean any shares of Smith Common Stock held by Schlumberger, Smith or any direct or indirect wholly owned subsidiary of Schlumberger,</w:t>
      </w:r>
      <w:r>
        <w:rPr>
          <w:rFonts w:ascii="Arial" w:cs="Arial" w:eastAsia="Arial" w:hAnsi="Arial"/>
          <w:sz w:val="16"/>
          <w:szCs w:val="16"/>
          <w:b w:val="1"/>
          <w:bCs w:val="1"/>
          <w:color w:val="auto"/>
        </w:rPr>
        <w:t xml:space="preserve"> </w:t>
      </w:r>
      <w:r>
        <w:rPr>
          <w:rFonts w:ascii="Arial" w:cs="Arial" w:eastAsia="Arial" w:hAnsi="Arial"/>
          <w:sz w:val="16"/>
          <w:szCs w:val="16"/>
          <w:color w:val="auto"/>
        </w:rPr>
        <w:t>in each case except for any such shares held on behalf of third parties. “</w:t>
      </w:r>
      <w:r>
        <w:rPr>
          <w:rFonts w:ascii="Arial" w:cs="Arial" w:eastAsia="Arial" w:hAnsi="Arial"/>
          <w:sz w:val="16"/>
          <w:szCs w:val="16"/>
          <w:b w:val="1"/>
          <w:bCs w:val="1"/>
          <w:color w:val="auto"/>
        </w:rPr>
        <w:t>Smith Surviving Shares</w:t>
      </w:r>
      <w:r>
        <w:rPr>
          <w:rFonts w:ascii="Arial" w:cs="Arial" w:eastAsia="Arial" w:hAnsi="Arial"/>
          <w:sz w:val="16"/>
          <w:szCs w:val="16"/>
          <w:color w:val="auto"/>
        </w:rPr>
        <w:t>” shall mean any shares of Smith Common Stock held by any direct or indirect wholly owned subsidiary of Smith except for any such shares held on behalf of third parties.</w:t>
      </w:r>
    </w:p>
    <w:p>
      <w:pPr>
        <w:spacing w:after="0" w:line="109" w:lineRule="exact"/>
        <w:rPr>
          <w:sz w:val="20"/>
          <w:szCs w:val="20"/>
          <w:color w:val="auto"/>
        </w:rPr>
      </w:pPr>
    </w:p>
    <w:p>
      <w:pPr>
        <w:ind w:left="460" w:right="220" w:firstLine="881"/>
        <w:spacing w:after="0" w:line="259" w:lineRule="auto"/>
        <w:tabs>
          <w:tab w:leader="none" w:pos="1575"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Cancellation of Smith Excluded Shares</w:t>
      </w:r>
      <w:r>
        <w:rPr>
          <w:rFonts w:ascii="Arial" w:cs="Arial" w:eastAsia="Arial" w:hAnsi="Arial"/>
          <w:sz w:val="18"/>
          <w:szCs w:val="18"/>
          <w:color w:val="auto"/>
        </w:rPr>
        <w:t>. Each Smith Excluded Share at the Effective Time shall, by virtue of the Merger and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on the part of the holder thereof, cease to be outstanding and shall be canceled and retired without payment of any consideration therefor, and no Schlumberger Common Stock or other consideration shall be delivered in exchange therefor.</w:t>
      </w:r>
    </w:p>
    <w:p>
      <w:pPr>
        <w:spacing w:after="0" w:line="140" w:lineRule="exact"/>
        <w:rPr>
          <w:rFonts w:ascii="Arial" w:cs="Arial" w:eastAsia="Arial" w:hAnsi="Arial"/>
          <w:sz w:val="18"/>
          <w:szCs w:val="18"/>
          <w:color w:val="auto"/>
        </w:rPr>
      </w:pPr>
    </w:p>
    <w:p>
      <w:pPr>
        <w:ind w:left="460" w:firstLine="881"/>
        <w:spacing w:after="0" w:line="306" w:lineRule="auto"/>
        <w:tabs>
          <w:tab w:leader="none" w:pos="1585"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Survival of Smith Surviving Shares</w:t>
      </w:r>
      <w:r>
        <w:rPr>
          <w:rFonts w:ascii="Arial" w:cs="Arial" w:eastAsia="Arial" w:hAnsi="Arial"/>
          <w:sz w:val="16"/>
          <w:szCs w:val="16"/>
          <w:color w:val="auto"/>
        </w:rPr>
        <w:t>. Each Smith Surviving Share at the Effective Time shall remain outstanding and shall continue to exist</w:t>
      </w:r>
      <w:r>
        <w:rPr>
          <w:rFonts w:ascii="Arial" w:cs="Arial" w:eastAsia="Arial" w:hAnsi="Arial"/>
          <w:sz w:val="16"/>
          <w:szCs w:val="16"/>
          <w:i w:val="1"/>
          <w:iCs w:val="1"/>
          <w:color w:val="auto"/>
        </w:rPr>
        <w:t xml:space="preserve"> </w:t>
      </w:r>
      <w:r>
        <w:rPr>
          <w:rFonts w:ascii="Arial" w:cs="Arial" w:eastAsia="Arial" w:hAnsi="Arial"/>
          <w:sz w:val="16"/>
          <w:szCs w:val="16"/>
          <w:color w:val="auto"/>
        </w:rPr>
        <w:t>as a share of common stock, par value $1.00 per share, of the Surviving Entity (“</w:t>
      </w:r>
      <w:r>
        <w:rPr>
          <w:rFonts w:ascii="Arial" w:cs="Arial" w:eastAsia="Arial" w:hAnsi="Arial"/>
          <w:sz w:val="16"/>
          <w:szCs w:val="16"/>
          <w:b w:val="1"/>
          <w:bCs w:val="1"/>
          <w:color w:val="auto"/>
        </w:rPr>
        <w:t>Surviving Entity Common Stock</w:t>
      </w:r>
      <w:r>
        <w:rPr>
          <w:rFonts w:ascii="Arial" w:cs="Arial" w:eastAsia="Arial" w:hAnsi="Arial"/>
          <w:sz w:val="16"/>
          <w:szCs w:val="16"/>
          <w:color w:val="auto"/>
        </w:rPr>
        <w:t>”) and shall not be canceled by virtue of the Merger and no Schlumberger Common Stock or other consideration shall be delivered in exchange therefor.</w:t>
      </w:r>
    </w:p>
    <w:p>
      <w:pPr>
        <w:spacing w:after="0" w:line="106" w:lineRule="exact"/>
        <w:rPr>
          <w:rFonts w:ascii="Arial" w:cs="Arial" w:eastAsia="Arial" w:hAnsi="Arial"/>
          <w:sz w:val="16"/>
          <w:szCs w:val="16"/>
          <w:color w:val="auto"/>
        </w:rPr>
      </w:pPr>
    </w:p>
    <w:p>
      <w:pPr>
        <w:ind w:left="460" w:right="40" w:firstLine="881"/>
        <w:spacing w:after="0" w:line="335" w:lineRule="auto"/>
        <w:tabs>
          <w:tab w:leader="none" w:pos="1575"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Merger Sub</w:t>
      </w:r>
      <w:r>
        <w:rPr>
          <w:rFonts w:ascii="Arial" w:cs="Arial" w:eastAsia="Arial" w:hAnsi="Arial"/>
          <w:sz w:val="15"/>
          <w:szCs w:val="15"/>
          <w:color w:val="auto"/>
        </w:rPr>
        <w:t>. At the Effective Time, the common stock of Merger Sub issued and outstanding immediately prior to the Effective Time shall,</w:t>
      </w:r>
      <w:r>
        <w:rPr>
          <w:rFonts w:ascii="Arial" w:cs="Arial" w:eastAsia="Arial" w:hAnsi="Arial"/>
          <w:sz w:val="15"/>
          <w:szCs w:val="15"/>
          <w:i w:val="1"/>
          <w:iCs w:val="1"/>
          <w:color w:val="auto"/>
        </w:rPr>
        <w:t xml:space="preserve"> </w:t>
      </w:r>
      <w:r>
        <w:rPr>
          <w:rFonts w:ascii="Arial" w:cs="Arial" w:eastAsia="Arial" w:hAnsi="Arial"/>
          <w:sz w:val="15"/>
          <w:szCs w:val="15"/>
          <w:color w:val="auto"/>
        </w:rPr>
        <w:t>by virtue of the Merger and without any action on the part of the holder thereof, be converted into and become a number of validly issued, fully paid and nonassessable shares of Surviving Entity Common Stock equal to the number of shares of Smith Common Stock converted into the Merger Consideration.</w:t>
      </w:r>
    </w:p>
    <w:p>
      <w:pPr>
        <w:spacing w:after="0" w:line="88" w:lineRule="exact"/>
        <w:rPr>
          <w:rFonts w:ascii="Arial" w:cs="Arial" w:eastAsia="Arial" w:hAnsi="Arial"/>
          <w:sz w:val="15"/>
          <w:szCs w:val="15"/>
          <w:color w:val="auto"/>
        </w:rPr>
      </w:pPr>
    </w:p>
    <w:p>
      <w:pPr>
        <w:ind w:left="460" w:right="40" w:firstLine="881"/>
        <w:spacing w:after="0" w:line="306" w:lineRule="auto"/>
        <w:tabs>
          <w:tab w:leader="none" w:pos="1556"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Smith Stock Options</w:t>
      </w:r>
      <w:r>
        <w:rPr>
          <w:rFonts w:ascii="Arial" w:cs="Arial" w:eastAsia="Arial" w:hAnsi="Arial"/>
          <w:sz w:val="15"/>
          <w:szCs w:val="15"/>
          <w:color w:val="auto"/>
        </w:rPr>
        <w:t>. At the Effective Time, all options to acquire shares of Smith Common Stock outstanding at the Effective Time under</w:t>
      </w:r>
      <w:r>
        <w:rPr>
          <w:rFonts w:ascii="Arial" w:cs="Arial" w:eastAsia="Arial" w:hAnsi="Arial"/>
          <w:sz w:val="15"/>
          <w:szCs w:val="15"/>
          <w:i w:val="1"/>
          <w:iCs w:val="1"/>
          <w:color w:val="auto"/>
        </w:rPr>
        <w:t xml:space="preserve"> </w:t>
      </w:r>
      <w:r>
        <w:rPr>
          <w:rFonts w:ascii="Arial" w:cs="Arial" w:eastAsia="Arial" w:hAnsi="Arial"/>
          <w:sz w:val="15"/>
          <w:szCs w:val="15"/>
          <w:color w:val="auto"/>
        </w:rPr>
        <w:t>Smith’s stock plans (collectively, the “</w:t>
      </w:r>
      <w:r>
        <w:rPr>
          <w:rFonts w:ascii="Arial" w:cs="Arial" w:eastAsia="Arial" w:hAnsi="Arial"/>
          <w:sz w:val="15"/>
          <w:szCs w:val="15"/>
          <w:b w:val="1"/>
          <w:bCs w:val="1"/>
          <w:color w:val="auto"/>
        </w:rPr>
        <w:t>Smith Stock Plans</w:t>
      </w:r>
      <w:r>
        <w:rPr>
          <w:rFonts w:ascii="Arial" w:cs="Arial" w:eastAsia="Arial" w:hAnsi="Arial"/>
          <w:sz w:val="15"/>
          <w:szCs w:val="15"/>
          <w:color w:val="auto"/>
        </w:rPr>
        <w:t>”, which are identified in Section 4.1(f) of the Smith Disclosure Letter), including all options to acquire shares of Smith Common Stock issued after the date hereof in accordance with Section 7.1(b)(iv) (each, a “</w:t>
      </w:r>
      <w:r>
        <w:rPr>
          <w:rFonts w:ascii="Arial" w:cs="Arial" w:eastAsia="Arial" w:hAnsi="Arial"/>
          <w:sz w:val="15"/>
          <w:szCs w:val="15"/>
          <w:b w:val="1"/>
          <w:bCs w:val="1"/>
          <w:color w:val="auto"/>
        </w:rPr>
        <w:t>Smith Post-Signing Option</w:t>
      </w:r>
      <w:r>
        <w:rPr>
          <w:rFonts w:ascii="Arial" w:cs="Arial" w:eastAsia="Arial" w:hAnsi="Arial"/>
          <w:sz w:val="15"/>
          <w:szCs w:val="15"/>
          <w:color w:val="auto"/>
        </w:rPr>
        <w:t>”, and together with any other option to acquire shares of Smith Common Stock, each a “</w:t>
      </w:r>
      <w:r>
        <w:rPr>
          <w:rFonts w:ascii="Arial" w:cs="Arial" w:eastAsia="Arial" w:hAnsi="Arial"/>
          <w:sz w:val="15"/>
          <w:szCs w:val="15"/>
          <w:b w:val="1"/>
          <w:bCs w:val="1"/>
          <w:color w:val="auto"/>
        </w:rPr>
        <w:t>Smith Option</w:t>
      </w:r>
      <w:r>
        <w:rPr>
          <w:rFonts w:ascii="Arial" w:cs="Arial" w:eastAsia="Arial" w:hAnsi="Arial"/>
          <w:sz w:val="15"/>
          <w:szCs w:val="15"/>
          <w:color w:val="auto"/>
        </w:rPr>
        <w:t>”), shall be converted automatically into an option (a “</w:t>
      </w:r>
      <w:r>
        <w:rPr>
          <w:rFonts w:ascii="Arial" w:cs="Arial" w:eastAsia="Arial" w:hAnsi="Arial"/>
          <w:sz w:val="15"/>
          <w:szCs w:val="15"/>
          <w:b w:val="1"/>
          <w:bCs w:val="1"/>
          <w:color w:val="auto"/>
        </w:rPr>
        <w:t>Schlumberger Option</w:t>
      </w:r>
      <w:r>
        <w:rPr>
          <w:rFonts w:ascii="Arial" w:cs="Arial" w:eastAsia="Arial" w:hAnsi="Arial"/>
          <w:sz w:val="15"/>
          <w:szCs w:val="15"/>
          <w:color w:val="auto"/>
        </w:rPr>
        <w:t xml:space="preserve">”) to acquire shares of Schlumberger Common Stock in amounts and at an exercise price determined as provided in this Section 4.1(f) (and otherwise subject to the terms of the Smith Stock Plans, as applicable, under which they were issued and the agreements evidencing grants thereunder): (i) the number of shares of Schlumberger Common Stock to be subject to a Schlumberger Option shall be equal to the product of the number of shares of Smith Common Stock subject to the Smith Option immediately prior to the Effective Time and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fractional shares of Schlumberger Common Stock resulting from such multiplication shall be rounded down to the nearest whole share and (ii) the exercise price per share of Schlumberger Common Stock under a Schlumberger Option shall be equal to the exercise price per share of Smith Common Stock under the original Smith Option immediately prior to the Effective Time divided by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exercise price shall be rounded up to the nearest whole cent. The duration and other terms of a Schlumberger Option shall be the same as the original Smith Option from which it was converted except that all references to “Smith” in such original Smith Option shall be deemed to be references to Schlumberger; </w:t>
      </w:r>
      <w:r>
        <w:rPr>
          <w:rFonts w:ascii="Arial" w:cs="Arial" w:eastAsia="Arial" w:hAnsi="Arial"/>
          <w:sz w:val="15"/>
          <w:szCs w:val="15"/>
          <w:i w:val="1"/>
          <w:iCs w:val="1"/>
          <w:color w:val="auto"/>
        </w:rPr>
        <w:t>provided, however</w:t>
      </w:r>
      <w:r>
        <w:rPr>
          <w:rFonts w:ascii="Arial" w:cs="Arial" w:eastAsia="Arial" w:hAnsi="Arial"/>
          <w:sz w:val="15"/>
          <w:szCs w:val="15"/>
          <w:color w:val="auto"/>
        </w:rPr>
        <w:t>, that all such Schlumberger Options, other than those issued in respect of Smith Post-Signing Options, will be fully vested and exercisable as of the Effective Time.</w:t>
      </w:r>
    </w:p>
    <w:p>
      <w:pPr>
        <w:spacing w:after="0" w:line="108" w:lineRule="exact"/>
        <w:rPr>
          <w:rFonts w:ascii="Arial" w:cs="Arial" w:eastAsia="Arial" w:hAnsi="Arial"/>
          <w:sz w:val="15"/>
          <w:szCs w:val="15"/>
          <w:color w:val="auto"/>
        </w:rPr>
      </w:pPr>
    </w:p>
    <w:p>
      <w:pPr>
        <w:ind w:left="460" w:right="20" w:firstLine="881"/>
        <w:spacing w:after="0" w:line="294" w:lineRule="auto"/>
        <w:tabs>
          <w:tab w:leader="none" w:pos="1585"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Smith Stock Incentive Awards</w:t>
      </w:r>
      <w:r>
        <w:rPr>
          <w:rFonts w:ascii="Arial" w:cs="Arial" w:eastAsia="Arial" w:hAnsi="Arial"/>
          <w:sz w:val="16"/>
          <w:szCs w:val="16"/>
          <w:color w:val="auto"/>
        </w:rPr>
        <w:t>. At the Effective Time, each restricted stock unit and performance-based restricted stock unit award</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the “</w:t>
      </w:r>
      <w:r>
        <w:rPr>
          <w:rFonts w:ascii="Arial" w:cs="Arial" w:eastAsia="Arial" w:hAnsi="Arial"/>
          <w:sz w:val="16"/>
          <w:szCs w:val="16"/>
          <w:b w:val="1"/>
          <w:bCs w:val="1"/>
          <w:color w:val="auto"/>
        </w:rPr>
        <w:t>Smith Stock Incentive Awards</w:t>
      </w:r>
      <w:r>
        <w:rPr>
          <w:rFonts w:ascii="Arial" w:cs="Arial" w:eastAsia="Arial" w:hAnsi="Arial"/>
          <w:sz w:val="16"/>
          <w:szCs w:val="16"/>
          <w:color w:val="auto"/>
        </w:rPr>
        <w:t>”) that is outstanding under any Smith Stock Plan immediately prior to the Effective Time, whether or not then vested or earned, other than Smith Stock Incentive Awards granted after the date hereof pursuant to Section 7.1(b)(iv) (“</w:t>
      </w:r>
      <w:r>
        <w:rPr>
          <w:rFonts w:ascii="Arial" w:cs="Arial" w:eastAsia="Arial" w:hAnsi="Arial"/>
          <w:sz w:val="16"/>
          <w:szCs w:val="16"/>
          <w:b w:val="1"/>
          <w:bCs w:val="1"/>
          <w:color w:val="auto"/>
        </w:rPr>
        <w:t>Smith Post-Signing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 Incentive Awards</w:t>
      </w:r>
      <w:r>
        <w:rPr>
          <w:rFonts w:ascii="Arial" w:cs="Arial" w:eastAsia="Arial" w:hAnsi="Arial"/>
          <w:sz w:val="16"/>
          <w:szCs w:val="16"/>
          <w:color w:val="auto"/>
        </w:rPr>
        <w:t>”), shall, by virtue of the Merger and without any action on the part of the holder thereof, be cancelled and converted into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receive Merger Consideration based on the total number of shares of Smith Common Stock subject to such Smith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06" w:lineRule="auto"/>
        <w:rPr>
          <w:sz w:val="20"/>
          <w:szCs w:val="20"/>
          <w:color w:val="auto"/>
        </w:rPr>
      </w:pPr>
      <w:r>
        <w:rPr>
          <w:rFonts w:ascii="Arial" w:cs="Arial" w:eastAsia="Arial" w:hAnsi="Arial"/>
          <w:sz w:val="15"/>
          <w:szCs w:val="15"/>
          <w:color w:val="auto"/>
        </w:rPr>
        <w:t>Stock Incentive Award immediately prior to the Effective Time. If the Smith Stock Incentive Award is a performance-based restricted stock unit award, the total number of shares of Smith Common Stock subject to such Smith Stock Incentive Award shall be calculated based on deemed attainment of the performance goals under the award immediately prior to the Effective Time assuming that the number of shares of Smith Common Stock subject to each such Smith Stock Incentive Award is that number of shares corresponding to 100% of the “Target Units” (as defined in the applicable agreement representing such Smith Stock Incentive Awards). Smith shall make arrangements reasonably satisfactory to Schlumberger to satisfy all employment and income tax withholding requirements with respect to each Smith Stock Incentive Award that vests pursuant to this Section 4.1(g). Any Smith Post-Signing Stock Incentive Awards shall be converted automatically into a stock unit award (a “</w:t>
      </w:r>
      <w:r>
        <w:rPr>
          <w:rFonts w:ascii="Arial" w:cs="Arial" w:eastAsia="Arial" w:hAnsi="Arial"/>
          <w:sz w:val="15"/>
          <w:szCs w:val="15"/>
          <w:b w:val="1"/>
          <w:bCs w:val="1"/>
          <w:color w:val="auto"/>
        </w:rPr>
        <w:t>Schlumberger Stock Incentive Award</w:t>
      </w:r>
      <w:r>
        <w:rPr>
          <w:rFonts w:ascii="Arial" w:cs="Arial" w:eastAsia="Arial" w:hAnsi="Arial"/>
          <w:sz w:val="15"/>
          <w:szCs w:val="15"/>
          <w:color w:val="auto"/>
        </w:rPr>
        <w:t xml:space="preserve">”) with respect to Schlumberger Common Stock in an amount equal to the product of the number of shares of Smith Common Stock subject to the Smith Post-Signing Stock Incentive Award immediately prior to the Effective Time and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fractional shares of Schlumberger Common Stock resulting from such multiplication shall be rounded to the nearest whole share. The Schlumberger Stock Incentive Awards will be otherwise subject to the terms of the Smith Stock Plans, as applicable, under which they were issued and the agreements evidencing grants thereunder without any acceleration of vesting or delivery, except that all references to “Smith” in such original Smith Stock Incentive Award shall be deemed to be references to Schlumberger.</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p>
    <w:p>
      <w:pPr>
        <w:spacing w:after="0" w:line="171" w:lineRule="exact"/>
        <w:rPr>
          <w:sz w:val="20"/>
          <w:szCs w:val="20"/>
          <w:color w:val="auto"/>
        </w:rPr>
      </w:pPr>
    </w:p>
    <w:p>
      <w:pPr>
        <w:ind w:left="460" w:right="40" w:firstLine="881"/>
        <w:spacing w:after="0" w:line="288" w:lineRule="auto"/>
        <w:tabs>
          <w:tab w:leader="none" w:pos="1575"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shall appoint a commercial bank or trust company or such other party as is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satisfactory to Smith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Schlumberger shall deposit with the Exchange Agent, in trust for the benefit of holders of shares of Smith Common Stock, the number of shares of Schlumberger Common Stock that are issuable pursuant to Section 4.1. Schlumberger shall deposit such shares of Schlumberger Common Stock with the Exchange Agent by delivering to the Exchange Agent certificates representing, or providing to the Exchange Agent an uncertificated book-entry for, such shares. In addition, Schlumberger shall make available to the Exchange Agent from time to time as needed, cash sufficient to make payments in lieu of fractional shares pursuant to Section 4.2(e) and any dividends and other distributions pursuant to Section 4.2(c). Any cash and shares of Schlumberger Common Stock deposited by Schlumberger with the Exchange Agent shall hereinafter be referred to as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Fund</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460" w:firstLine="881"/>
        <w:spacing w:after="0" w:line="286" w:lineRule="auto"/>
        <w:tabs>
          <w:tab w:leader="none" w:pos="1585"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shall cause the Exchange Agent to mail to each holder of record of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shares of Smith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Smith Common Stock shall pass, only upon delivery of the corresponding Certificates to the Exchange Agent or receipt by the Exchange Agent of an “agent’s message” with respect to Book Entry Shares, which letter shall be in customary form and have such other provisions as Schlumberger may reasonably specify, and (ii) instructions for effecting the surrender of such Certificates or Book Entry Shares in exchange for the Merger Consideration. Each holder of shares of Smith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unless a physical certificate is requested and which shall represent, in the aggregate, the whole number of shares that such holder has the right to receive pursuant to Section 4.1(a) (after taking into account all shares of Smith Common Stock then held by such holder) and (ii) a check in the amount equal to any cash that such holder has the right to receive pursuant to this Article 4, consisting of cash in lieu of any fractional shares of Schlumberger Common Stock pursuant to Section 4.2(e) and any dividends and other distributions pursuant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to Section 4.2(c). No interest will be paid or will accrue on any cash payable pursuant to Section 4.2(c) or Section 4.2(e). In the event of a transfer of ownership of Smith Common Stock that is not registered in the transfer records of Smith, one or more shares of Schlumberger Common Stock evidencing, in the aggregate, the proper number of shares of Schlumberger Common Stock and a check in the proper amount of any cash in lieu of any fractional shares of Schlumberger Common Stock pursuant to Section 4.2(e) and any dividends or other distributions to which such holder is entitled pursuant to</w:t>
      </w:r>
    </w:p>
    <w:p>
      <w:pPr>
        <w:spacing w:after="0" w:line="3" w:lineRule="exact"/>
        <w:rPr>
          <w:sz w:val="20"/>
          <w:szCs w:val="20"/>
          <w:color w:val="auto"/>
        </w:rPr>
      </w:pPr>
    </w:p>
    <w:p>
      <w:pPr>
        <w:jc w:val="both"/>
        <w:ind w:left="460" w:right="20"/>
        <w:spacing w:after="0" w:line="255" w:lineRule="auto"/>
        <w:rPr>
          <w:sz w:val="20"/>
          <w:szCs w:val="20"/>
          <w:color w:val="auto"/>
        </w:rPr>
      </w:pPr>
      <w:r>
        <w:rPr>
          <w:rFonts w:ascii="Arial" w:cs="Arial" w:eastAsia="Arial" w:hAnsi="Arial"/>
          <w:sz w:val="18"/>
          <w:szCs w:val="18"/>
          <w:color w:val="auto"/>
        </w:rPr>
        <w:t>Section 4.2(c), may be issued with respect to such Smith Common Stock, as the case may be, to such a transferee if the Certificate representing such shares of Smith Common Stock is presented to the Exchange Agent, accompanied by all documents required to evidence and effect such transfer and to evidence that any applicable stock transfer Taxes have been paid.</w:t>
      </w:r>
    </w:p>
    <w:p>
      <w:pPr>
        <w:spacing w:after="0" w:line="144" w:lineRule="exact"/>
        <w:rPr>
          <w:sz w:val="20"/>
          <w:szCs w:val="20"/>
          <w:color w:val="auto"/>
        </w:rPr>
      </w:pPr>
    </w:p>
    <w:p>
      <w:pPr>
        <w:ind w:left="460" w:firstLine="881"/>
        <w:spacing w:after="0" w:line="303" w:lineRule="auto"/>
        <w:tabs>
          <w:tab w:leader="none" w:pos="1575" w:val="left"/>
        </w:tabs>
        <w:numPr>
          <w:ilvl w:val="1"/>
          <w:numId w:val="170"/>
        </w:numPr>
        <w:rPr>
          <w:rFonts w:ascii="Arial" w:cs="Arial" w:eastAsia="Arial" w:hAnsi="Arial"/>
          <w:sz w:val="15"/>
          <w:szCs w:val="15"/>
          <w:color w:val="auto"/>
        </w:rPr>
      </w:pPr>
      <w:r>
        <w:rPr>
          <w:rFonts w:ascii="Arial" w:cs="Arial" w:eastAsia="Arial" w:hAnsi="Arial"/>
          <w:sz w:val="15"/>
          <w:szCs w:val="15"/>
          <w:i w:val="1"/>
          <w:iCs w:val="1"/>
          <w:color w:val="auto"/>
        </w:rPr>
        <w:t>Distributions with Respect to Unexchanged Shares</w:t>
      </w:r>
      <w:r>
        <w:rPr>
          <w:rFonts w:ascii="Arial" w:cs="Arial" w:eastAsia="Arial" w:hAnsi="Arial"/>
          <w:sz w:val="15"/>
          <w:szCs w:val="15"/>
          <w:color w:val="auto"/>
        </w:rPr>
        <w:t>. All shares of Schlumberger Common Stock to be issued pursuant to the Merger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deemed issued and outstanding as of the Effective Time. No dividends or other distributions declared or made in respect of Schlumberger Common Stock shall be paid to the holder of any shares of Smith Common Stock until the holder of such shares shall surrender such shares in accordance with this Article</w:t>
      </w:r>
    </w:p>
    <w:p>
      <w:pPr>
        <w:spacing w:after="0" w:line="1" w:lineRule="exact"/>
        <w:rPr>
          <w:rFonts w:ascii="Arial" w:cs="Arial" w:eastAsia="Arial" w:hAnsi="Arial"/>
          <w:sz w:val="15"/>
          <w:szCs w:val="15"/>
          <w:color w:val="auto"/>
        </w:rPr>
      </w:pPr>
    </w:p>
    <w:p>
      <w:pPr>
        <w:jc w:val="both"/>
        <w:ind w:left="460" w:right="80" w:firstLine="4"/>
        <w:spacing w:after="0" w:line="252" w:lineRule="auto"/>
        <w:tabs>
          <w:tab w:leader="none" w:pos="6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Subject to Applicable Law, following surrender of any such shares, there shall be issued and/or paid to the holder of the certificates representing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48" w:lineRule="exact"/>
        <w:rPr>
          <w:rFonts w:ascii="Arial" w:cs="Arial" w:eastAsia="Arial" w:hAnsi="Arial"/>
          <w:sz w:val="18"/>
          <w:szCs w:val="18"/>
          <w:color w:val="auto"/>
        </w:rPr>
      </w:pPr>
    </w:p>
    <w:p>
      <w:pPr>
        <w:jc w:val="both"/>
        <w:ind w:left="460" w:firstLine="881"/>
        <w:spacing w:after="0" w:line="256" w:lineRule="auto"/>
        <w:tabs>
          <w:tab w:leader="none" w:pos="1585"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No Further Ownership Rights in Smith Common Stock. </w:t>
      </w:r>
      <w:r>
        <w:rPr>
          <w:rFonts w:ascii="Arial" w:cs="Arial" w:eastAsia="Arial" w:hAnsi="Arial"/>
          <w:sz w:val="18"/>
          <w:szCs w:val="18"/>
          <w:color w:val="auto"/>
        </w:rPr>
        <w:t>All shares of Schlumberger Common Stock issued and cash paid upon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Smith Common Stock in accordance with the terms of this Article 4 (consisting of any cash paid pursuant to Section 4.2(c) or Section 4.2(e)) shall be deemed to have been issued or paid in full satisfaction of all rights pertaining to the shares of Smith Common Stock previously represented by such Certificates and/or Book Entry Shares.</w:t>
      </w:r>
    </w:p>
    <w:p>
      <w:pPr>
        <w:spacing w:after="0" w:line="143" w:lineRule="exact"/>
        <w:rPr>
          <w:rFonts w:ascii="Arial" w:cs="Arial" w:eastAsia="Arial" w:hAnsi="Arial"/>
          <w:sz w:val="18"/>
          <w:szCs w:val="18"/>
          <w:color w:val="auto"/>
        </w:rPr>
      </w:pPr>
    </w:p>
    <w:p>
      <w:pPr>
        <w:ind w:left="1580" w:hanging="239"/>
        <w:spacing w:after="0"/>
        <w:tabs>
          <w:tab w:leader="none" w:pos="158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90" w:lineRule="exact"/>
        <w:rPr>
          <w:sz w:val="20"/>
          <w:szCs w:val="20"/>
          <w:color w:val="auto"/>
        </w:rPr>
      </w:pPr>
    </w:p>
    <w:p>
      <w:pPr>
        <w:jc w:val="both"/>
        <w:ind w:left="920" w:right="100" w:firstLine="421"/>
        <w:spacing w:after="0" w:line="259" w:lineRule="auto"/>
        <w:tabs>
          <w:tab w:leader="none" w:pos="154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certificates or scrip or shares of Schlumberger Common Stock representing fractional shares of Schlumberger Common Stock or book-entry credit of the same shall be issued upon the surrender for exchange of Certificates and such fractional share interests will not entitle the owner thereof to vote or to have any rights of a stockholder of Schlumberger.</w:t>
      </w:r>
    </w:p>
    <w:p>
      <w:pPr>
        <w:spacing w:after="0" w:line="59" w:lineRule="exact"/>
        <w:rPr>
          <w:rFonts w:ascii="Arial" w:cs="Arial" w:eastAsia="Arial" w:hAnsi="Arial"/>
          <w:sz w:val="18"/>
          <w:szCs w:val="18"/>
          <w:color w:val="auto"/>
        </w:rPr>
      </w:pPr>
    </w:p>
    <w:p>
      <w:pPr>
        <w:ind w:left="920" w:right="100" w:firstLine="421"/>
        <w:spacing w:after="0" w:line="294" w:lineRule="auto"/>
        <w:tabs>
          <w:tab w:leader="none" w:pos="159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each holder of shares of Smith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 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34" w:lineRule="exact"/>
        <w:rPr>
          <w:rFonts w:ascii="Arial" w:cs="Arial" w:eastAsia="Arial" w:hAnsi="Arial"/>
          <w:sz w:val="16"/>
          <w:szCs w:val="16"/>
          <w:color w:val="auto"/>
        </w:rPr>
      </w:pPr>
    </w:p>
    <w:p>
      <w:pPr>
        <w:jc w:val="both"/>
        <w:ind w:left="920" w:right="80" w:firstLine="421"/>
        <w:spacing w:after="0" w:line="335" w:lineRule="auto"/>
        <w:tabs>
          <w:tab w:leader="none" w:pos="1647" w:val="left"/>
        </w:tabs>
        <w:numPr>
          <w:ilvl w:val="0"/>
          <w:numId w:val="172"/>
        </w:numPr>
        <w:rPr>
          <w:rFonts w:ascii="Arial" w:cs="Arial" w:eastAsia="Arial" w:hAnsi="Arial"/>
          <w:sz w:val="15"/>
          <w:szCs w:val="15"/>
          <w:color w:val="auto"/>
        </w:rPr>
      </w:pPr>
      <w:r>
        <w:rPr>
          <w:rFonts w:ascii="Arial" w:cs="Arial" w:eastAsia="Arial" w:hAnsi="Arial"/>
          <w:sz w:val="15"/>
          <w:szCs w:val="15"/>
          <w:color w:val="auto"/>
        </w:rPr>
        <w:t>As promptly as practicable after the determination of the amount of cash, if any, to be paid to holders of fractional interests, the Exchange Agent shall so notify Schlumberger, and Schlumberger shall deposit or cause the Surviving Entity to deposit such amount with the Exchange Agent and shall cause the Exchange Agent to forward payments to such holders of fractional interests subject to and in accordance with the terms hereof.</w:t>
      </w:r>
    </w:p>
    <w:p>
      <w:pPr>
        <w:spacing w:after="0" w:line="88" w:lineRule="exact"/>
        <w:rPr>
          <w:sz w:val="20"/>
          <w:szCs w:val="20"/>
          <w:color w:val="auto"/>
        </w:rPr>
      </w:pPr>
    </w:p>
    <w:p>
      <w:pPr>
        <w:ind w:left="460" w:right="280" w:firstLine="881"/>
        <w:spacing w:after="0" w:line="268" w:lineRule="auto"/>
        <w:tabs>
          <w:tab w:leader="none" w:pos="1556"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Termination of Exchange Fund</w:t>
      </w:r>
      <w:r>
        <w:rPr>
          <w:rFonts w:ascii="Arial" w:cs="Arial" w:eastAsia="Arial" w:hAnsi="Arial"/>
          <w:sz w:val="18"/>
          <w:szCs w:val="18"/>
          <w:color w:val="auto"/>
        </w:rPr>
        <w:t>. Any portion of the Exchange Fund that remains undistributed to the holders of Certificates and/or Book</w:t>
      </w:r>
      <w:r>
        <w:rPr>
          <w:rFonts w:ascii="Arial" w:cs="Arial" w:eastAsia="Arial" w:hAnsi="Arial"/>
          <w:sz w:val="18"/>
          <w:szCs w:val="18"/>
          <w:i w:val="1"/>
          <w:iCs w:val="1"/>
          <w:color w:val="auto"/>
        </w:rPr>
        <w:t xml:space="preserve"> </w:t>
      </w:r>
      <w:r>
        <w:rPr>
          <w:rFonts w:ascii="Arial" w:cs="Arial" w:eastAsia="Arial" w:hAnsi="Arial"/>
          <w:sz w:val="18"/>
          <w:szCs w:val="18"/>
          <w:color w:val="auto"/>
        </w:rPr>
        <w:t>Entry Shares as of the date six months after the Effective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shall be delivered to Schlumberger or otherwise on the instruction of Schlumberger, and any holders of the Certificates and/or Book Entry Shares who have not theretofore complied with this Article 4 shall thereafter look only to Schlumberger for the Merger Consideration with respect to the shares of Smith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Smith Common Stock five years after the Effective Time (or such earlier date immediately prior to such time as such amounts would otherwise escheat to or become property of any Governmental Entity) shall, to the extent permitted by Applicable Law, become the property of Schlumberger free and clear of any claims or interest of any person previously entitled thereto.</w:t>
      </w:r>
    </w:p>
    <w:p>
      <w:pPr>
        <w:spacing w:after="0" w:line="118" w:lineRule="exact"/>
        <w:rPr>
          <w:sz w:val="20"/>
          <w:szCs w:val="20"/>
          <w:color w:val="auto"/>
        </w:rPr>
      </w:pPr>
    </w:p>
    <w:p>
      <w:pPr>
        <w:ind w:left="460" w:firstLine="881"/>
        <w:spacing w:after="0" w:line="259" w:lineRule="auto"/>
        <w:tabs>
          <w:tab w:leader="none" w:pos="1585"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Merger Sub, Smith, the Surviving Entity, any affiliate of any of the foregoing or the Exchange Agent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liable to any person in respect of any Merger Consideration from the Exchange Fund delivered to a public official or Governmental Entity pursuant to any applicable abandoned property, escheat or similar law.</w:t>
      </w:r>
    </w:p>
    <w:p>
      <w:pPr>
        <w:spacing w:after="0" w:line="140" w:lineRule="exact"/>
        <w:rPr>
          <w:rFonts w:ascii="Arial" w:cs="Arial" w:eastAsia="Arial" w:hAnsi="Arial"/>
          <w:sz w:val="18"/>
          <w:szCs w:val="18"/>
          <w:color w:val="auto"/>
        </w:rPr>
      </w:pPr>
    </w:p>
    <w:p>
      <w:pPr>
        <w:ind w:left="460" w:right="20" w:firstLine="881"/>
        <w:spacing w:after="0" w:line="291" w:lineRule="auto"/>
        <w:tabs>
          <w:tab w:leader="none" w:pos="1585"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Investment of the Exchange Fund</w:t>
      </w:r>
      <w:r>
        <w:rPr>
          <w:rFonts w:ascii="Arial" w:cs="Arial" w:eastAsia="Arial" w:hAnsi="Arial"/>
          <w:sz w:val="16"/>
          <w:szCs w:val="16"/>
          <w:color w:val="auto"/>
        </w:rPr>
        <w:t>. The Exchange Agent shall invest any cash included in the Exchange Fund as directed by Schlumberger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a daily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gain or loss thereon shall affect the amounts payable to the stockholders of Smith pursuant to this Article 4 and that if at any time prior to the termination of the Exchange Fund pursuant to Section 4.2(f), the amount of cash included in the Exchange Fund is reduced below the amount necessary to pay any cash in lieu of fractional shares of Schlumberger Common Stock payable pursuant to Section 4.2(e), and dividends and distributions payable pursuant to Section 4.2(c), Schlumberger shall promptly deposit additional cash into the Exchange Fund sufficient to rectify this deficiency. Any interest and other income resulting from such investments shall be paid promptly to Schlumberger.</w:t>
      </w:r>
    </w:p>
    <w:p>
      <w:pPr>
        <w:spacing w:after="0" w:line="120" w:lineRule="exact"/>
        <w:rPr>
          <w:rFonts w:ascii="Arial" w:cs="Arial" w:eastAsia="Arial" w:hAnsi="Arial"/>
          <w:sz w:val="16"/>
          <w:szCs w:val="16"/>
          <w:color w:val="auto"/>
        </w:rPr>
      </w:pPr>
    </w:p>
    <w:p>
      <w:pPr>
        <w:ind w:left="460" w:right="160" w:firstLine="881"/>
        <w:spacing w:after="0" w:line="290" w:lineRule="auto"/>
        <w:tabs>
          <w:tab w:leader="none" w:pos="1546"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Lost Certificates</w:t>
      </w:r>
      <w:r>
        <w:rPr>
          <w:rFonts w:ascii="Arial" w:cs="Arial" w:eastAsia="Arial" w:hAnsi="Arial"/>
          <w:sz w:val="16"/>
          <w:szCs w:val="16"/>
          <w:color w:val="auto"/>
        </w:rPr>
        <w:t>. If any Certificate shall have been lost, stolen or destroyed, upon the making of an affidavit of that fact by the person</w:t>
      </w:r>
      <w:r>
        <w:rPr>
          <w:rFonts w:ascii="Arial" w:cs="Arial" w:eastAsia="Arial" w:hAnsi="Arial"/>
          <w:sz w:val="16"/>
          <w:szCs w:val="16"/>
          <w:i w:val="1"/>
          <w:iCs w:val="1"/>
          <w:color w:val="auto"/>
        </w:rPr>
        <w:t xml:space="preserve"> </w:t>
      </w:r>
      <w:r>
        <w:rPr>
          <w:rFonts w:ascii="Arial" w:cs="Arial" w:eastAsia="Arial" w:hAnsi="Arial"/>
          <w:sz w:val="16"/>
          <w:szCs w:val="16"/>
          <w:color w:val="auto"/>
        </w:rPr>
        <w:t>claiming such Certificate to be lost, stolen or destroyed and, if reasonably required by Schlumberger, the posting by such person of a bond in such reasonable amount as Schlumberger may direct as indemnity against any claim that may be made against it with respect to such Certificate, the Exchange Agent shall deliver in exchange for such lost, stolen or destroyed Certificate the applicable 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Smith Common Stock formerly represented by such lost, stolen or destroyed Certificate.</w:t>
      </w:r>
    </w:p>
    <w:p>
      <w:pPr>
        <w:spacing w:after="0" w:line="118" w:lineRule="exact"/>
        <w:rPr>
          <w:rFonts w:ascii="Arial" w:cs="Arial" w:eastAsia="Arial" w:hAnsi="Arial"/>
          <w:sz w:val="16"/>
          <w:szCs w:val="16"/>
          <w:color w:val="auto"/>
        </w:rPr>
      </w:pPr>
    </w:p>
    <w:p>
      <w:pPr>
        <w:ind w:left="460" w:right="80" w:firstLine="881"/>
        <w:spacing w:after="0" w:line="288" w:lineRule="auto"/>
        <w:tabs>
          <w:tab w:leader="none" w:pos="1546"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Withholding Rights</w:t>
      </w:r>
      <w:r>
        <w:rPr>
          <w:rFonts w:ascii="Arial" w:cs="Arial" w:eastAsia="Arial" w:hAnsi="Arial"/>
          <w:sz w:val="16"/>
          <w:szCs w:val="16"/>
          <w:color w:val="auto"/>
        </w:rPr>
        <w:t>. Each of the Exchange Agent, Schlumberger and the Surviving Entity shall be entitled, without duplication, to deduct</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withhold from the consideration otherwise payable pursuant to this Agreement to any holder of shares of Smith Common Stock or any other equity rights in Smith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19" w:lineRule="exact"/>
        <w:rPr>
          <w:rFonts w:ascii="Arial" w:cs="Arial" w:eastAsia="Arial" w:hAnsi="Arial"/>
          <w:sz w:val="16"/>
          <w:szCs w:val="16"/>
          <w:color w:val="auto"/>
        </w:rPr>
      </w:pPr>
    </w:p>
    <w:p>
      <w:pPr>
        <w:ind w:left="460" w:firstLine="881"/>
        <w:spacing w:after="0" w:line="268" w:lineRule="auto"/>
        <w:tabs>
          <w:tab w:leader="none" w:pos="1585"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Further Assurances</w:t>
      </w:r>
      <w:r>
        <w:rPr>
          <w:rFonts w:ascii="Arial" w:cs="Arial" w:eastAsia="Arial" w:hAnsi="Arial"/>
          <w:sz w:val="18"/>
          <w:szCs w:val="18"/>
          <w:color w:val="auto"/>
        </w:rPr>
        <w:t>. After the Effective Time, the officers and directors of the Surviving Entity will be authorized to execute and deliver,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 and on behalf of Smith, any deeds, bills of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assignments or assurances and to take and do, in the name and on behalf of Smith,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40" w:lineRule="exact"/>
        <w:rPr>
          <w:sz w:val="20"/>
          <w:szCs w:val="20"/>
          <w:color w:val="auto"/>
        </w:rPr>
      </w:pPr>
    </w:p>
    <w:p>
      <w:pPr>
        <w:ind w:left="460" w:firstLine="881"/>
        <w:spacing w:after="0" w:line="254" w:lineRule="auto"/>
        <w:tabs>
          <w:tab w:leader="none" w:pos="1546"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Stock Transfer Books</w:t>
      </w:r>
      <w:r>
        <w:rPr>
          <w:rFonts w:ascii="Arial" w:cs="Arial" w:eastAsia="Arial" w:hAnsi="Arial"/>
          <w:sz w:val="18"/>
          <w:szCs w:val="18"/>
          <w:color w:val="auto"/>
        </w:rPr>
        <w:t>. The stock transfer books of Smith shall be closed immediately upon the Effective Time and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Smith Common Stock thereafter on the records of Smith. At or after the Effective Time, any Certificates or Book Entry Shares presented to the Exchange Agent or Schlumberger for any reason shall represent the right to receive the Merger Consideration with respect to the shares of Smith Common Stock formerly represented thereby (including any cash in lieu of fractional shares of Schlumberger Common Stock to which the holders thereof are entitled to pursuant to Section 4.2(e)) and any dividends or other distributions to which the holders thereof are entitled pursuant to Section 4.2(c).</w:t>
      </w:r>
    </w:p>
    <w:p>
      <w:pPr>
        <w:spacing w:after="0" w:line="225" w:lineRule="exact"/>
        <w:rPr>
          <w:sz w:val="20"/>
          <w:szCs w:val="20"/>
          <w:color w:val="auto"/>
        </w:rPr>
      </w:pPr>
    </w:p>
    <w:p>
      <w:pPr>
        <w:ind w:left="460" w:right="200" w:firstLine="876"/>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Certain Adjustments.</w:t>
      </w:r>
      <w:r>
        <w:rPr>
          <w:rFonts w:ascii="Arial" w:cs="Arial" w:eastAsia="Arial" w:hAnsi="Arial"/>
          <w:sz w:val="18"/>
          <w:szCs w:val="18"/>
          <w:color w:val="auto"/>
        </w:rPr>
        <w:t xml:space="preserve"> If, subsequent to the date of this Agreement but prior to the Effective Time, the outstanding Schlumberger Common Stock or Smith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 occurred, the Exchange Ratio, the Merger Consideration and any other similarly dependent items, as the case may be, shall be appropriately adjusted to provide to the holders of Smith Common Stock consideration having the same economic effect as was contemplated by this Agreement prior to such event.</w:t>
      </w:r>
    </w:p>
    <w:p>
      <w:pPr>
        <w:spacing w:after="0" w:line="144"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Associated Rights</w:t>
      </w:r>
      <w:r>
        <w:rPr>
          <w:rFonts w:ascii="Arial" w:cs="Arial" w:eastAsia="Arial" w:hAnsi="Arial"/>
          <w:sz w:val="18"/>
          <w:szCs w:val="18"/>
          <w:color w:val="auto"/>
        </w:rPr>
        <w:t>. References in Article 4 of this Agreement to Smith Common Stock shall include, unless the context requires otherwise, the associated rights (the “</w:t>
      </w:r>
      <w:r>
        <w:rPr>
          <w:rFonts w:ascii="Arial" w:cs="Arial" w:eastAsia="Arial" w:hAnsi="Arial"/>
          <w:sz w:val="18"/>
          <w:szCs w:val="18"/>
          <w:b w:val="1"/>
          <w:bCs w:val="1"/>
          <w:color w:val="auto"/>
        </w:rPr>
        <w:t>Smith Rights</w:t>
      </w:r>
      <w:r>
        <w:rPr>
          <w:rFonts w:ascii="Arial" w:cs="Arial" w:eastAsia="Arial" w:hAnsi="Arial"/>
          <w:sz w:val="18"/>
          <w:szCs w:val="18"/>
          <w:color w:val="auto"/>
        </w:rPr>
        <w:t>”) distributed to the holders of Smith Common Stock pursuant to the Rights Agreement, dated as of June 8, 2000, between Smith and EquiServe Trust Company, N.A. (successor to First Chicago Trust Company of New York), as rights agent, as amended to date (the “</w:t>
      </w:r>
      <w:r>
        <w:rPr>
          <w:rFonts w:ascii="Arial" w:cs="Arial" w:eastAsia="Arial" w:hAnsi="Arial"/>
          <w:sz w:val="18"/>
          <w:szCs w:val="18"/>
          <w:b w:val="1"/>
          <w:bCs w:val="1"/>
          <w:color w:val="auto"/>
        </w:rPr>
        <w:t>Rights Agreement</w:t>
      </w:r>
      <w:r>
        <w:rPr>
          <w:rFonts w:ascii="Arial" w:cs="Arial" w:eastAsia="Arial" w:hAnsi="Arial"/>
          <w:sz w:val="18"/>
          <w:szCs w:val="18"/>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SMITH</w:t>
      </w:r>
    </w:p>
    <w:p>
      <w:pPr>
        <w:spacing w:after="0" w:line="171" w:lineRule="exact"/>
        <w:rPr>
          <w:sz w:val="20"/>
          <w:szCs w:val="20"/>
          <w:color w:val="auto"/>
        </w:rPr>
      </w:pPr>
    </w:p>
    <w:p>
      <w:pPr>
        <w:ind w:left="460" w:right="20" w:firstLine="876"/>
        <w:spacing w:after="0" w:line="254" w:lineRule="auto"/>
        <w:rPr>
          <w:sz w:val="20"/>
          <w:szCs w:val="20"/>
          <w:color w:val="auto"/>
        </w:rPr>
      </w:pPr>
      <w:r>
        <w:rPr>
          <w:rFonts w:ascii="Arial" w:cs="Arial" w:eastAsia="Arial" w:hAnsi="Arial"/>
          <w:sz w:val="18"/>
          <w:szCs w:val="18"/>
          <w:color w:val="auto"/>
        </w:rPr>
        <w:t>Except (i) as set forth in the disclosure letter delivered to Schlumberger by Smith at or prior to the execution hereof (the “</w:t>
      </w:r>
      <w:r>
        <w:rPr>
          <w:rFonts w:ascii="Arial" w:cs="Arial" w:eastAsia="Arial" w:hAnsi="Arial"/>
          <w:sz w:val="18"/>
          <w:szCs w:val="18"/>
          <w:b w:val="1"/>
          <w:bCs w:val="1"/>
          <w:color w:val="auto"/>
        </w:rPr>
        <w:t>Smith Disclosure</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 and making reference to the particular subsection of this Agreement to which exception is being taken, subject to Section 10.10, (ii) as disclosed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Smith Reports filed after December 31, 2008 and prior to the date hereof (excluding any disclosures in such Smith Reports in any risk factors section, in any section related to forward looking statements and other disclosures that are predictive or forward-looking in nature), or (iii) with respect to any Smith Subsidiaries, assets, liabilities, businesses, operations, or results of operations of the MI SWACO division of Smith (the “</w:t>
      </w:r>
      <w:r>
        <w:rPr>
          <w:rFonts w:ascii="Arial" w:cs="Arial" w:eastAsia="Arial" w:hAnsi="Arial"/>
          <w:sz w:val="18"/>
          <w:szCs w:val="18"/>
          <w:b w:val="1"/>
          <w:bCs w:val="1"/>
          <w:color w:val="auto"/>
        </w:rPr>
        <w:t>Joint Venture</w:t>
      </w:r>
      <w:r>
        <w:rPr>
          <w:rFonts w:ascii="Arial" w:cs="Arial" w:eastAsia="Arial" w:hAnsi="Arial"/>
          <w:sz w:val="18"/>
          <w:szCs w:val="18"/>
          <w:color w:val="auto"/>
        </w:rPr>
        <w:t>”), to the extent actually known to the Schlumberger representatives on the governing board of the Joint Venture, Smith represents and warrants to Schlumberger that:</w:t>
      </w:r>
    </w:p>
    <w:p>
      <w:pPr>
        <w:spacing w:after="0" w:line="147" w:lineRule="exact"/>
        <w:rPr>
          <w:sz w:val="20"/>
          <w:szCs w:val="20"/>
          <w:color w:val="auto"/>
        </w:rPr>
      </w:pPr>
    </w:p>
    <w:p>
      <w:pPr>
        <w:ind w:left="460" w:right="180" w:firstLine="876"/>
        <w:spacing w:after="0" w:line="294"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i w:val="1"/>
          <w:iCs w:val="1"/>
          <w:color w:val="auto"/>
        </w:rPr>
        <w:t>Organization; Good Standing and Qualification</w:t>
      </w:r>
      <w:r>
        <w:rPr>
          <w:rFonts w:ascii="Arial" w:cs="Arial" w:eastAsia="Arial" w:hAnsi="Arial"/>
          <w:sz w:val="16"/>
          <w:szCs w:val="16"/>
          <w:color w:val="auto"/>
        </w:rPr>
        <w:t>. Each of Smith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Smith and its Subsidiaries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has not had and would not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spacing w:after="0" w:line="332" w:lineRule="auto"/>
        <w:rPr>
          <w:sz w:val="20"/>
          <w:szCs w:val="20"/>
          <w:color w:val="auto"/>
        </w:rPr>
      </w:pPr>
      <w:r>
        <w:rPr>
          <w:rFonts w:ascii="Arial" w:cs="Arial" w:eastAsia="Arial" w:hAnsi="Arial"/>
          <w:sz w:val="16"/>
          <w:szCs w:val="16"/>
          <w:color w:val="auto"/>
        </w:rPr>
        <w:t>reasonably be expected to have, individually or in the aggregate, a Smith Material Adverse Effect. Smith has made available to Schlumberger true and correct copies of Smith’s certificate of incorporation and bylaws, each as amended to date, and each as so delivered is in full force and effect.</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r>
        <w:rPr>
          <w:rFonts w:ascii="Arial" w:cs="Arial" w:eastAsia="Arial" w:hAnsi="Arial"/>
          <w:sz w:val="18"/>
          <w:szCs w:val="18"/>
          <w:color w:val="auto"/>
        </w:rPr>
        <w:t>.</w:t>
      </w:r>
    </w:p>
    <w:p>
      <w:pPr>
        <w:spacing w:after="0" w:line="171" w:lineRule="exact"/>
        <w:rPr>
          <w:sz w:val="20"/>
          <w:szCs w:val="20"/>
          <w:color w:val="auto"/>
        </w:rPr>
      </w:pPr>
    </w:p>
    <w:p>
      <w:pPr>
        <w:ind w:left="460" w:firstLine="881"/>
        <w:spacing w:after="0" w:line="291" w:lineRule="auto"/>
        <w:tabs>
          <w:tab w:leader="none" w:pos="157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Smith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Smith Stockholder Approval. The execution and delivery of this Agreement and the consummation by Smith of the transactions contemplated hereby have been duly authorized by all requisite corporate action on behalf of Smith, other than the Smith Stockholder Approval and the filing of the Certificate of Merger. This Agreement has been duly executed and delivered by Smith and constitutes the valid and legally binding obligation of Smith, enforceable against Smith in accordance with its terms.</w:t>
      </w:r>
    </w:p>
    <w:p>
      <w:pPr>
        <w:spacing w:after="0" w:line="114" w:lineRule="exact"/>
        <w:rPr>
          <w:rFonts w:ascii="Arial" w:cs="Arial" w:eastAsia="Arial" w:hAnsi="Arial"/>
          <w:sz w:val="16"/>
          <w:szCs w:val="16"/>
          <w:color w:val="auto"/>
        </w:rPr>
      </w:pPr>
    </w:p>
    <w:p>
      <w:pPr>
        <w:ind w:left="460" w:right="80" w:firstLine="881"/>
        <w:spacing w:after="0" w:line="293" w:lineRule="auto"/>
        <w:tabs>
          <w:tab w:leader="none" w:pos="158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Board of Directors of Smith (the “</w:t>
      </w:r>
      <w:r>
        <w:rPr>
          <w:rFonts w:ascii="Arial" w:cs="Arial" w:eastAsia="Arial" w:hAnsi="Arial"/>
          <w:sz w:val="16"/>
          <w:szCs w:val="16"/>
          <w:b w:val="1"/>
          <w:bCs w:val="1"/>
          <w:color w:val="auto"/>
        </w:rPr>
        <w:t>Smith Board</w:t>
      </w:r>
      <w:r>
        <w:rPr>
          <w:rFonts w:ascii="Arial" w:cs="Arial" w:eastAsia="Arial" w:hAnsi="Arial"/>
          <w:sz w:val="16"/>
          <w:szCs w:val="16"/>
          <w:color w:val="auto"/>
        </w:rPr>
        <w:t>”), at a meeting duly called and held on or prior to the date hereof, has (i) determined that this Agreement and the Merger are advisable, (ii) approved and adopted this Agreement and the Merger, (iii) received the opinion of its financial advisor, UBS Securities LLC, to the effect that the Exchange Ratio is fair from a financial point of view to the holders of Smith Common Stock (a copy of which opinion will be provided to Schlumberger), (iv) resolved to recommend the approval and adoption of this Agreement and the Merger to the holders of Smith Common Stock (such recommendations being the “</w:t>
      </w:r>
      <w:r>
        <w:rPr>
          <w:rFonts w:ascii="Arial" w:cs="Arial" w:eastAsia="Arial" w:hAnsi="Arial"/>
          <w:sz w:val="16"/>
          <w:szCs w:val="16"/>
          <w:b w:val="1"/>
          <w:bCs w:val="1"/>
          <w:color w:val="auto"/>
        </w:rPr>
        <w:t>Smith Recommendation</w:t>
      </w:r>
      <w:r>
        <w:rPr>
          <w:rFonts w:ascii="Arial" w:cs="Arial" w:eastAsia="Arial" w:hAnsi="Arial"/>
          <w:sz w:val="16"/>
          <w:szCs w:val="16"/>
          <w:color w:val="auto"/>
        </w:rPr>
        <w:t>”), subject to Section 7.3(b) and Section 7.3(d), and (v) directed that this Agreement be submitted to the holders of Smith Common Stock for their adoption.</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4" w:lineRule="auto"/>
        <w:tabs>
          <w:tab w:leader="none" w:pos="157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authorized capital stock of Smith consists of 500,000,000 shares of Smith Common Stock and 5,000,000 shares of preferred stock, par value $1.00 per share (“</w:t>
      </w:r>
      <w:r>
        <w:rPr>
          <w:rFonts w:ascii="Arial" w:cs="Arial" w:eastAsia="Arial" w:hAnsi="Arial"/>
          <w:sz w:val="16"/>
          <w:szCs w:val="16"/>
          <w:b w:val="1"/>
          <w:bCs w:val="1"/>
          <w:color w:val="auto"/>
        </w:rPr>
        <w:t>Smith Preferred Stock</w:t>
      </w:r>
      <w:r>
        <w:rPr>
          <w:rFonts w:ascii="Arial" w:cs="Arial" w:eastAsia="Arial" w:hAnsi="Arial"/>
          <w:sz w:val="16"/>
          <w:szCs w:val="16"/>
          <w:color w:val="auto"/>
        </w:rPr>
        <w:t>”), of which 650,000 shares have been designated Series A Junior Participating Preferred Stock and reserved for issuance upon exercise of Smith Rights distributed to the holders of Smith Common Stock pursuant to the Rights Agreement. As of February 19, 2010, there were (i) 248,401,593 outstanding shares of Smith Common Stock and 17,954,481 shares of Smith Common Stock held in the treasury of Smith, (ii) 1,055,560 shares of Smith Common Stock reserved for issuance upon exercise of outstanding Smith Options, (iii) 4,010,293 shares of Smith Common Stock reserved for issuance under outstanding Smith Stock Incentive Awards, (iv) no issued or outstanding shares of restricted Smith Common Stock the restrictions on which have not previously lapsed and (v) no issued or outstanding shares of Smith Preferred Stock. All of the issued and outstanding shares of Smith Common Stock have been duly authorized and validly issued and are fully paid and nonassessable. Except as set forth in this Section 5.3 and except for changes since the close of business on February 19, 2010 resulting from the exercise of employee stock options or settlement of Smith Stock Incentive Awards outstanding on such date or other securities issued as permitted by Section 7.1, there are outstanding (A) no shares of capital stock or other voting securities of Smith, (B) no Smith Options and (C) except for the Smith Rights, (1) no options, warrants or other rights to acquire from Smith any capital stock, voting securities or other ownership interests in, or any securities convertible into or exchangeable for capital stock, voting securities or ownership interests in, Smith and (2) no preemptive or similar rights, subscription or other rights, convertible securities, agreements, arrangements or commitments of any character, relating to the capital stock of Smith, obligating Smith to issue, transfer or sell any capital stock, voting securities or other ownership interests in, or any securities convertible into or exchangeable for capital stock, voting securities or other ownership interests in, Smith or obligating Smith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Smith Securities</w:t>
      </w:r>
      <w:r>
        <w:rPr>
          <w:rFonts w:ascii="Arial" w:cs="Arial" w:eastAsia="Arial" w:hAnsi="Arial"/>
          <w:sz w:val="16"/>
          <w:szCs w:val="16"/>
          <w:color w:val="auto"/>
        </w:rPr>
        <w:t>”). Except as required by the terms of any Smith Options outstanding as of the date hereof or issued as permitted by Section 7.1, there are no outstanding obligations of Smith or any of its Subsidiaries to repurchase, redeem or otherwise acquire any Smith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881"/>
        <w:spacing w:after="0" w:line="285" w:lineRule="auto"/>
        <w:tabs>
          <w:tab w:leader="none" w:pos="158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Except for directors’ qualifying shares, all of the outstanding capital stock of, or other ownership interests in, each Subsidiary of Smith have been validly issued and are fully paid and nonassessable and are owned by Smith,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6"/>
          <w:szCs w:val="16"/>
          <w:b w:val="1"/>
          <w:bCs w:val="1"/>
          <w:color w:val="auto"/>
        </w:rPr>
        <w:t>Liens</w:t>
      </w:r>
      <w:r>
        <w:rPr>
          <w:rFonts w:ascii="Arial" w:cs="Arial" w:eastAsia="Arial" w:hAnsi="Arial"/>
          <w:sz w:val="16"/>
          <w:szCs w:val="16"/>
          <w:color w:val="auto"/>
        </w:rPr>
        <w:t>”) (including any restriction on the right to vote, sell or otherwise dispose of such capital stock or other ownership interests). There are outstanding (i) no securities of Smith or any of its Subsidiaries convertible into or exchangeable for shares of capital stock or other voting securities or ownership interests in any Subsidiary of Smith, (ii) no options, warrants or other rights to acquire from Smith or any of its Subsidiaries any capital stock, voting securities or other ownership interests in, or any securities convertible into or exchangeable for any capital stock, voting securities or ownership interests in, any Subsidiary of Smith and (iii) except as provided by Applicable Law, no preemptive or similar rights, subscription or other rights, convertible securities, agreements, arrangements or commitments of any character, relating to the capital stock of any Subsidiary of Smith, obligating Smith or any of its Subsidiaries to issue, transfer or sell, any capital stock, voting securities or other ownership interests in, or any securities convertible into or exchangeable for any capital stock, voting securities or ownership interests in, any Subsidiary of Smith or obligating Smith or any Subsidiary of Smith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6"/>
          <w:szCs w:val="16"/>
          <w:b w:val="1"/>
          <w:bCs w:val="1"/>
          <w:color w:val="auto"/>
        </w:rPr>
        <w:t>Smith Subsidiary Securities</w:t>
      </w:r>
      <w:r>
        <w:rPr>
          <w:rFonts w:ascii="Arial" w:cs="Arial" w:eastAsia="Arial" w:hAnsi="Arial"/>
          <w:sz w:val="16"/>
          <w:szCs w:val="16"/>
          <w:color w:val="auto"/>
        </w:rPr>
        <w:t>”). There are no outstanding obligations of Smith or any of its Subsidiaries to repurchase, redeem or otherwise acquire any outstanding Smith Subsidiary Securities.</w:t>
      </w:r>
    </w:p>
    <w:p>
      <w:pPr>
        <w:spacing w:after="0" w:line="128" w:lineRule="exact"/>
        <w:rPr>
          <w:rFonts w:ascii="Arial" w:cs="Arial" w:eastAsia="Arial" w:hAnsi="Arial"/>
          <w:sz w:val="16"/>
          <w:szCs w:val="16"/>
          <w:color w:val="auto"/>
        </w:rPr>
      </w:pPr>
    </w:p>
    <w:p>
      <w:pPr>
        <w:ind w:left="460" w:right="100" w:firstLine="881"/>
        <w:spacing w:after="0" w:line="335" w:lineRule="auto"/>
        <w:tabs>
          <w:tab w:leader="none" w:pos="1575" w:val="left"/>
        </w:tabs>
        <w:numPr>
          <w:ilvl w:val="0"/>
          <w:numId w:val="178"/>
        </w:numPr>
        <w:rPr>
          <w:rFonts w:ascii="Arial" w:cs="Arial" w:eastAsia="Arial" w:hAnsi="Arial"/>
          <w:sz w:val="15"/>
          <w:szCs w:val="15"/>
          <w:color w:val="auto"/>
        </w:rPr>
      </w:pPr>
      <w:r>
        <w:rPr>
          <w:rFonts w:ascii="Arial" w:cs="Arial" w:eastAsia="Arial" w:hAnsi="Arial"/>
          <w:sz w:val="15"/>
          <w:szCs w:val="15"/>
          <w:color w:val="auto"/>
        </w:rPr>
        <w:t>Except for the capital stock or other voting securities or ownership interests in any Subsidiary of Smith, neither Smith nor any of its Subsidiaries owns, directly or indirectly, any capital stock or other voting securities or ownership interests in, or any securities convertible into or exchangeable for any capital stock, voting securities or ownership interests in, any person which is material to Smith and its Subsidiaries taken as a whole.</w:t>
      </w:r>
    </w:p>
    <w:p>
      <w:pPr>
        <w:spacing w:after="0" w:line="88" w:lineRule="exact"/>
        <w:rPr>
          <w:rFonts w:ascii="Arial" w:cs="Arial" w:eastAsia="Arial" w:hAnsi="Arial"/>
          <w:sz w:val="15"/>
          <w:szCs w:val="15"/>
          <w:color w:val="auto"/>
        </w:rPr>
      </w:pPr>
    </w:p>
    <w:p>
      <w:pPr>
        <w:ind w:left="1580" w:hanging="239"/>
        <w:spacing w:after="0"/>
        <w:tabs>
          <w:tab w:leader="none" w:pos="15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Subsidiary of Smith owns any shares of Smith Common Stock.</w:t>
      </w:r>
    </w:p>
    <w:p>
      <w:pPr>
        <w:spacing w:after="0" w:line="171" w:lineRule="exact"/>
        <w:rPr>
          <w:sz w:val="20"/>
          <w:szCs w:val="20"/>
          <w:color w:val="auto"/>
        </w:rPr>
      </w:pPr>
    </w:p>
    <w:p>
      <w:pPr>
        <w:ind w:left="460" w:right="720" w:firstLine="876"/>
        <w:spacing w:after="0" w:line="26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Smith Material Adverse Effect:</w:t>
      </w:r>
    </w:p>
    <w:p>
      <w:pPr>
        <w:spacing w:after="0" w:line="51" w:lineRule="exact"/>
        <w:rPr>
          <w:sz w:val="20"/>
          <w:szCs w:val="20"/>
          <w:color w:val="auto"/>
        </w:rPr>
      </w:pPr>
    </w:p>
    <w:p>
      <w:pPr>
        <w:ind w:left="920" w:right="20" w:firstLine="421"/>
        <w:spacing w:after="0" w:line="256" w:lineRule="auto"/>
        <w:tabs>
          <w:tab w:leader="none" w:pos="157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Neither Smith nor any of its Subsidiaries is in violation of any law, rule, regulation, directive, ordinance, code, governmental determination, guideline, order, treaty, convention, governmental certification requirement or other legally enforceable requirement, U.S. or non-U.S., of any Governmental Entity (collectively, “</w:t>
      </w:r>
      <w:r>
        <w:rPr>
          <w:rFonts w:ascii="Arial" w:cs="Arial" w:eastAsia="Arial" w:hAnsi="Arial"/>
          <w:sz w:val="18"/>
          <w:szCs w:val="18"/>
          <w:b w:val="1"/>
          <w:bCs w:val="1"/>
          <w:color w:val="auto"/>
        </w:rPr>
        <w:t>Applicable Laws</w:t>
      </w:r>
      <w:r>
        <w:rPr>
          <w:rFonts w:ascii="Arial" w:cs="Arial" w:eastAsia="Arial" w:hAnsi="Arial"/>
          <w:sz w:val="18"/>
          <w:szCs w:val="18"/>
          <w:color w:val="auto"/>
        </w:rPr>
        <w:t>”), and no claim is pending or, to the knowledge of Smith, threatened with respect to any such matters.</w:t>
      </w:r>
    </w:p>
    <w:p>
      <w:pPr>
        <w:spacing w:after="0" w:line="62" w:lineRule="exact"/>
        <w:rPr>
          <w:rFonts w:ascii="Arial" w:cs="Arial" w:eastAsia="Arial" w:hAnsi="Arial"/>
          <w:sz w:val="18"/>
          <w:szCs w:val="18"/>
          <w:color w:val="auto"/>
        </w:rPr>
      </w:pPr>
    </w:p>
    <w:p>
      <w:pPr>
        <w:ind w:left="920" w:right="60" w:firstLine="421"/>
        <w:spacing w:after="0" w:line="255" w:lineRule="auto"/>
        <w:tabs>
          <w:tab w:leader="none" w:pos="158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Smith and each Subsidiary of Smith hold all permits, licenses, certifications, variations, exemptions, orders, franchises and approvals of all Governmental Entities necessary for the conduct of their respective businesses (the “</w:t>
      </w:r>
      <w:r>
        <w:rPr>
          <w:rFonts w:ascii="Arial" w:cs="Arial" w:eastAsia="Arial" w:hAnsi="Arial"/>
          <w:sz w:val="18"/>
          <w:szCs w:val="18"/>
          <w:b w:val="1"/>
          <w:bCs w:val="1"/>
          <w:color w:val="auto"/>
        </w:rPr>
        <w:t>Smith Permits</w:t>
      </w:r>
      <w:r>
        <w:rPr>
          <w:rFonts w:ascii="Arial" w:cs="Arial" w:eastAsia="Arial" w:hAnsi="Arial"/>
          <w:sz w:val="18"/>
          <w:szCs w:val="18"/>
          <w:color w:val="auto"/>
        </w:rPr>
        <w:t>”). All Smith Permits are in full force and effect and there exists no default thereunder or breach thereof, and Smith has no notice or knowledge that such Smith Permits will not be renewed in the ordinary course after the Effective Time. No Governmental Entity has given, or to the knowledge of Smith, threatened to give, any action to terminate, cancel or reform any Smith Permit.</w:t>
      </w:r>
    </w:p>
    <w:p>
      <w:pPr>
        <w:spacing w:after="0" w:line="61" w:lineRule="exact"/>
        <w:rPr>
          <w:rFonts w:ascii="Arial" w:cs="Arial" w:eastAsia="Arial" w:hAnsi="Arial"/>
          <w:sz w:val="18"/>
          <w:szCs w:val="18"/>
          <w:color w:val="auto"/>
        </w:rPr>
      </w:pPr>
    </w:p>
    <w:p>
      <w:pPr>
        <w:ind w:left="920" w:right="60" w:firstLine="421"/>
        <w:spacing w:after="0" w:line="323" w:lineRule="auto"/>
        <w:tabs>
          <w:tab w:leader="none" w:pos="1579" w:val="left"/>
        </w:tabs>
        <w:numPr>
          <w:ilvl w:val="0"/>
          <w:numId w:val="179"/>
        </w:numPr>
        <w:rPr>
          <w:rFonts w:ascii="Arial" w:cs="Arial" w:eastAsia="Arial" w:hAnsi="Arial"/>
          <w:sz w:val="15"/>
          <w:szCs w:val="15"/>
          <w:color w:val="auto"/>
        </w:rPr>
      </w:pPr>
      <w:r>
        <w:rPr>
          <w:rFonts w:ascii="Arial" w:cs="Arial" w:eastAsia="Arial" w:hAnsi="Arial"/>
          <w:sz w:val="15"/>
          <w:szCs w:val="15"/>
          <w:color w:val="auto"/>
        </w:rPr>
        <w:t>Smith and each Subsidiary of Smith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Smith, threatened to take, any action to terminate, cancel or reform any such permit, license, operating authority, order, exemption, franchise, variance, consent, approval or other authorization.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171" w:lineRule="exact"/>
        <w:rPr>
          <w:sz w:val="20"/>
          <w:szCs w:val="20"/>
          <w:color w:val="auto"/>
        </w:rPr>
      </w:pPr>
    </w:p>
    <w:p>
      <w:pPr>
        <w:ind w:left="460" w:firstLine="881"/>
        <w:spacing w:after="0" w:line="286" w:lineRule="auto"/>
        <w:tabs>
          <w:tab w:leader="none" w:pos="157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execution, delivery and performance by Smith of this Agreement do not, and the consummation by Smith of the Merger and the other transactions contemplated by this Agreement in accordance with the terms hereof will not, (i) subject to receipt of the Smith Stockholder Approval, conflict with or result in a breach of any provisions of the certificate of incorporation or bylaws of Smith,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Smith or its Subsidiaries under, or result in being declared void, voidable, or without further binding effect, or otherwise result in a detriment to Smith or any of its Subsidiaries under, any of the terms, conditions or provisions of, any loan or credit agreement, note, bond, mortgage, indenture, deed of trust, license, concession, franchise, permit, lease, contract, agreement, joint venture or other instrument or obligation to which Smith or any of its Subsidiaries is a party, or by which Smith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Smith Material Adverse Effect.</w:t>
      </w:r>
    </w:p>
    <w:p>
      <w:pPr>
        <w:spacing w:after="0" w:line="124" w:lineRule="exact"/>
        <w:rPr>
          <w:rFonts w:ascii="Arial" w:cs="Arial" w:eastAsia="Arial" w:hAnsi="Arial"/>
          <w:sz w:val="16"/>
          <w:szCs w:val="16"/>
          <w:color w:val="auto"/>
        </w:rPr>
      </w:pPr>
    </w:p>
    <w:p>
      <w:pPr>
        <w:ind w:left="460" w:right="60" w:firstLine="881"/>
        <w:spacing w:after="0" w:line="283" w:lineRule="auto"/>
        <w:tabs>
          <w:tab w:leader="none" w:pos="158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with respect to the filing of the Certificate of Merger, (ii) rules and regulations of the New York Stock Exchange, Inc. (the “</w:t>
      </w:r>
      <w:r>
        <w:rPr>
          <w:rFonts w:ascii="Arial" w:cs="Arial" w:eastAsia="Arial" w:hAnsi="Arial"/>
          <w:sz w:val="16"/>
          <w:szCs w:val="16"/>
          <w:b w:val="1"/>
          <w:bCs w:val="1"/>
          <w:color w:val="auto"/>
        </w:rPr>
        <w:t>NYSE</w:t>
      </w:r>
      <w:r>
        <w:rPr>
          <w:rFonts w:ascii="Arial" w:cs="Arial" w:eastAsia="Arial" w:hAnsi="Arial"/>
          <w:sz w:val="16"/>
          <w:szCs w:val="16"/>
          <w:color w:val="auto"/>
        </w:rPr>
        <w:t>”), (iii) the Hart-Scott-Rodino Antitrust Improvements Act of 1976, as amended (the “</w:t>
      </w:r>
      <w:r>
        <w:rPr>
          <w:rFonts w:ascii="Arial" w:cs="Arial" w:eastAsia="Arial" w:hAnsi="Arial"/>
          <w:sz w:val="16"/>
          <w:szCs w:val="16"/>
          <w:b w:val="1"/>
          <w:bCs w:val="1"/>
          <w:color w:val="auto"/>
        </w:rPr>
        <w:t>HSR</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Council Regulation (EC) No. 139/2004 of 20 January 2004 on the control of concentrations between undertakings (published in the Official Journal</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European Union on January 29, 2004 at L 24/1) (the “</w:t>
      </w:r>
      <w:r>
        <w:rPr>
          <w:rFonts w:ascii="Arial" w:cs="Arial" w:eastAsia="Arial" w:hAnsi="Arial"/>
          <w:sz w:val="16"/>
          <w:szCs w:val="16"/>
          <w:b w:val="1"/>
          <w:bCs w:val="1"/>
          <w:color w:val="auto"/>
        </w:rPr>
        <w:t>EC Merger Regulation</w:t>
      </w:r>
      <w:r>
        <w:rPr>
          <w:rFonts w:ascii="Arial" w:cs="Arial" w:eastAsia="Arial" w:hAnsi="Arial"/>
          <w:sz w:val="16"/>
          <w:szCs w:val="16"/>
          <w:color w:val="auto"/>
        </w:rPr>
        <w:t>”) and such applicable competition, antitrust or premerger notification laws of the other jurisdictions set forth in Section 5.5 of the Smith Disclosure Letter, (iv)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60" w:right="20" w:firstLine="4"/>
        <w:spacing w:after="0" w:line="290" w:lineRule="auto"/>
        <w:tabs>
          <w:tab w:leader="none" w:pos="70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(vi) state securities or “Blue Sky” laws and (vii) other Governmental Entities having jurisdiction over the Merger set forth in Section 5.5 of the Smith Disclosure Letter ((i) through (vii) collectively, the “</w:t>
      </w:r>
      <w:r>
        <w:rPr>
          <w:rFonts w:ascii="Arial" w:cs="Arial" w:eastAsia="Arial" w:hAnsi="Arial"/>
          <w:sz w:val="16"/>
          <w:szCs w:val="16"/>
          <w:b w:val="1"/>
          <w:bCs w:val="1"/>
          <w:color w:val="auto"/>
        </w:rPr>
        <w:t>Smith Approvals</w:t>
      </w:r>
      <w:r>
        <w:rPr>
          <w:rFonts w:ascii="Arial" w:cs="Arial" w:eastAsia="Arial" w:hAnsi="Arial"/>
          <w:sz w:val="16"/>
          <w:szCs w:val="16"/>
          <w:color w:val="auto"/>
        </w:rPr>
        <w:t>”), neither the execution, delivery or performance by Smith of this Agreement, nor the consummation by Smith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Smith Material Adverse Effect.</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91" w:lineRule="auto"/>
        <w:tabs>
          <w:tab w:leader="none" w:pos="157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Smith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since January 1, 2006 (collectively, the “</w:t>
      </w:r>
      <w:r>
        <w:rPr>
          <w:rFonts w:ascii="Arial" w:cs="Arial" w:eastAsia="Arial" w:hAnsi="Arial"/>
          <w:sz w:val="16"/>
          <w:szCs w:val="16"/>
          <w:b w:val="1"/>
          <w:bCs w:val="1"/>
          <w:color w:val="auto"/>
        </w:rPr>
        <w:t>Smith Reports</w:t>
      </w:r>
      <w:r>
        <w:rPr>
          <w:rFonts w:ascii="Arial" w:cs="Arial" w:eastAsia="Arial" w:hAnsi="Arial"/>
          <w:sz w:val="16"/>
          <w:szCs w:val="16"/>
          <w:color w:val="auto"/>
        </w:rPr>
        <w:t>”) and has made available to Schlumberger each such document it has so filed or furnished, in the form filed with or furnished to the SEC. Smith has made available to Schlumberger copies of all material comment letters from the SEC and Smith’s responses thereto since January 1, 2006 through the date hereof. As of the date of this Agreement, there are no outstanding or unresolved comments received from the SEC staff with respect to the Smith Reports. No Subsidiary of Smith is required to file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registration statement, prospectus, report, schedule, form, statement or any other document with the SEC. No Subsidiary of Smith is, or since</w:t>
      </w:r>
    </w:p>
    <w:p>
      <w:pPr>
        <w:spacing w:after="0" w:line="38" w:lineRule="exact"/>
        <w:rPr>
          <w:sz w:val="20"/>
          <w:szCs w:val="20"/>
          <w:color w:val="auto"/>
        </w:rPr>
      </w:pPr>
    </w:p>
    <w:p>
      <w:pPr>
        <w:ind w:left="460" w:right="20"/>
        <w:spacing w:after="0" w:line="315" w:lineRule="auto"/>
        <w:rPr>
          <w:sz w:val="20"/>
          <w:szCs w:val="20"/>
          <w:color w:val="auto"/>
        </w:rPr>
      </w:pPr>
      <w:r>
        <w:rPr>
          <w:rFonts w:ascii="Arial" w:cs="Arial" w:eastAsia="Arial" w:hAnsi="Arial"/>
          <w:sz w:val="15"/>
          <w:szCs w:val="15"/>
          <w:color w:val="auto"/>
        </w:rPr>
        <w:t>January 1, 2006 has been, subject to any requirement to file periodic reports under the Exchange Act. As of their respective dates (or, if amended, as of the date of such amendment), the Smith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Smith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04" w:lineRule="exact"/>
        <w:rPr>
          <w:sz w:val="20"/>
          <w:szCs w:val="20"/>
          <w:color w:val="auto"/>
        </w:rPr>
      </w:pPr>
    </w:p>
    <w:p>
      <w:pPr>
        <w:ind w:left="460" w:firstLine="881"/>
        <w:spacing w:after="0" w:line="312" w:lineRule="auto"/>
        <w:tabs>
          <w:tab w:leader="none" w:pos="1585" w:val="left"/>
        </w:tabs>
        <w:numPr>
          <w:ilvl w:val="1"/>
          <w:numId w:val="183"/>
        </w:numPr>
        <w:rPr>
          <w:rFonts w:ascii="Arial" w:cs="Arial" w:eastAsia="Arial" w:hAnsi="Arial"/>
          <w:sz w:val="15"/>
          <w:szCs w:val="15"/>
          <w:color w:val="auto"/>
        </w:rPr>
      </w:pPr>
      <w:r>
        <w:rPr>
          <w:rFonts w:ascii="Arial" w:cs="Arial" w:eastAsia="Arial" w:hAnsi="Arial"/>
          <w:sz w:val="15"/>
          <w:szCs w:val="15"/>
          <w:color w:val="auto"/>
        </w:rPr>
        <w:t>Each of the consolidated balance sheets included in or incorporated by reference into the Smith Reports (including the related notes and schedules) fairly presents, in all material respects, the consolidated financial position of Smith and its Subsidiaries as of its date, and each of the consolidated statements of operations, cash flows and changes in stockholders’ equity included in or incorporated by reference into the Smith Reports (including any related notes and schedules) fairly presents, in all material respects, the results of operations, cash flows or changes in stockholders’ equity, as the case may be, of Smith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5"/>
          <w:szCs w:val="15"/>
          <w:b w:val="1"/>
          <w:bCs w:val="1"/>
          <w:color w:val="auto"/>
        </w:rPr>
        <w:t>GAAP</w:t>
      </w:r>
      <w:r>
        <w:rPr>
          <w:rFonts w:ascii="Arial" w:cs="Arial" w:eastAsia="Arial" w:hAnsi="Arial"/>
          <w:sz w:val="15"/>
          <w:szCs w:val="15"/>
          <w:color w:val="auto"/>
        </w:rPr>
        <w:t>”) consistently applied during the periods involved, except as may be noted therein.</w:t>
      </w:r>
    </w:p>
    <w:p>
      <w:pPr>
        <w:spacing w:after="0" w:line="105" w:lineRule="exact"/>
        <w:rPr>
          <w:rFonts w:ascii="Arial" w:cs="Arial" w:eastAsia="Arial" w:hAnsi="Arial"/>
          <w:sz w:val="15"/>
          <w:szCs w:val="15"/>
          <w:color w:val="auto"/>
        </w:rPr>
      </w:pPr>
    </w:p>
    <w:p>
      <w:pPr>
        <w:ind w:left="460" w:right="20" w:firstLine="881"/>
        <w:spacing w:after="0" w:line="284" w:lineRule="auto"/>
        <w:tabs>
          <w:tab w:leader="none" w:pos="157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There are no liabilities or obligations of Smith or any of its Subsidiaries (whether accrued, absolute, contingent or otherwise and whether or not required to be disclosed) that would be required to be reflected on, or reserved against in, a balance sheet of Smith or in the notes thereto prepared in accordance with GAAP, other than liabilities or obligations to the extent (i) (A) reflected or reserved against on the consolidated balance sheet of Smith or</w:t>
      </w:r>
    </w:p>
    <w:p>
      <w:pPr>
        <w:spacing w:after="0" w:line="1" w:lineRule="exact"/>
        <w:rPr>
          <w:rFonts w:ascii="Arial" w:cs="Arial" w:eastAsia="Arial" w:hAnsi="Arial"/>
          <w:sz w:val="16"/>
          <w:szCs w:val="16"/>
          <w:color w:val="auto"/>
        </w:rPr>
      </w:pPr>
    </w:p>
    <w:p>
      <w:pPr>
        <w:ind w:left="460" w:right="180" w:firstLine="4"/>
        <w:spacing w:after="0" w:line="254" w:lineRule="auto"/>
        <w:tabs>
          <w:tab w:leader="none" w:pos="73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readily apparent in the notes thereto, in each case included in Smith’s annual report on Form 10-K for the year ended December 31, 2008 or Smith’s quarterly report on Form 10-Q for the period ended September 30, 2009, (ii) liabilities or obligations incurred in the ordinary course of business since September 30, 2009 or (iii) liabilities or obligations which have not had and would not reasonably be expected to have, individually or in the aggregate, a Smith Material Adverse Effect.</w:t>
      </w:r>
    </w:p>
    <w:p>
      <w:pPr>
        <w:spacing w:after="0" w:line="143" w:lineRule="exact"/>
        <w:rPr>
          <w:rFonts w:ascii="Arial" w:cs="Arial" w:eastAsia="Arial" w:hAnsi="Arial"/>
          <w:sz w:val="18"/>
          <w:szCs w:val="18"/>
          <w:color w:val="auto"/>
        </w:rPr>
      </w:pPr>
    </w:p>
    <w:p>
      <w:pPr>
        <w:ind w:left="460" w:right="440" w:firstLine="881"/>
        <w:spacing w:after="0" w:line="259" w:lineRule="auto"/>
        <w:tabs>
          <w:tab w:leader="none" w:pos="158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As of February 19, 2010, there was no outstanding indebtedness for borrowed money of Smith or any of its Subsidiaries, other than indebtedness in the amounts identified by instrument in Section 5.6 of the Smith Disclosure Letter, and excluding inter-company indebtedness among Smith and its wholly-owned Subsidiaries.</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165" w:lineRule="exact"/>
        <w:rPr>
          <w:sz w:val="20"/>
          <w:szCs w:val="20"/>
          <w:color w:val="auto"/>
        </w:rPr>
      </w:pPr>
    </w:p>
    <w:p>
      <w:pPr>
        <w:jc w:val="both"/>
        <w:ind w:left="460" w:right="180" w:firstLine="881"/>
        <w:spacing w:after="0" w:line="262" w:lineRule="auto"/>
        <w:tabs>
          <w:tab w:leader="none" w:pos="15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Since the enactment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Smith has been and is in compliance in all material respects with (i) the applicable provisions of the Sarbanes-Oxley Act and (ii) the applicable listing and corporate governance rules and regulations of the NYSE.</w:t>
      </w:r>
    </w:p>
    <w:p>
      <w:pPr>
        <w:spacing w:after="0" w:line="138" w:lineRule="exact"/>
        <w:rPr>
          <w:rFonts w:ascii="Arial" w:cs="Arial" w:eastAsia="Arial" w:hAnsi="Arial"/>
          <w:sz w:val="18"/>
          <w:szCs w:val="18"/>
          <w:color w:val="auto"/>
        </w:rPr>
      </w:pPr>
    </w:p>
    <w:p>
      <w:pPr>
        <w:ind w:left="460" w:right="240" w:firstLine="881"/>
        <w:spacing w:after="0" w:line="298" w:lineRule="auto"/>
        <w:tabs>
          <w:tab w:leader="none" w:pos="158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Smith (or each former principal executive officer and former principal financial officer of Smith, as applicable) has made all certifications required under Sections 302 and 906 of the Sarbanes-Oxley Act and the related rules and regulations promulgated thereunder and under the Exchange Act with respect to the Smith Reports. For purposes of the preceding sentence, “principal executive officer” and “principal financial officer” shall have the meanings given to such terms in the Sarbanes-Oxley Act.</w:t>
      </w:r>
    </w:p>
    <w:p>
      <w:pPr>
        <w:spacing w:after="0" w:line="112" w:lineRule="exact"/>
        <w:rPr>
          <w:rFonts w:ascii="Arial" w:cs="Arial" w:eastAsia="Arial" w:hAnsi="Arial"/>
          <w:sz w:val="16"/>
          <w:szCs w:val="16"/>
          <w:color w:val="auto"/>
        </w:rPr>
      </w:pPr>
    </w:p>
    <w:p>
      <w:pPr>
        <w:jc w:val="both"/>
        <w:ind w:left="460" w:right="560" w:firstLine="881"/>
        <w:spacing w:after="0" w:line="259" w:lineRule="auto"/>
        <w:tabs>
          <w:tab w:leader="none" w:pos="15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Smith has (i) designed and maintained disclosure controls and procedures (as defined in Rule 13a-15(e) under the Exchange Act) as required by Rule 13a-15 under the Exchange Act, and (ii) disclosed, based on its most recent evaluation and knowledge, to its auditors and the audit committee of the Smith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40" w:lineRule="exact"/>
        <w:rPr>
          <w:sz w:val="20"/>
          <w:szCs w:val="20"/>
          <w:color w:val="auto"/>
        </w:rPr>
      </w:pPr>
    </w:p>
    <w:p>
      <w:pPr>
        <w:ind w:left="460" w:right="20" w:firstLine="881"/>
        <w:spacing w:after="0" w:line="312" w:lineRule="auto"/>
        <w:tabs>
          <w:tab w:leader="none" w:pos="1585" w:val="left"/>
        </w:tabs>
        <w:numPr>
          <w:ilvl w:val="0"/>
          <w:numId w:val="186"/>
        </w:numPr>
        <w:rPr>
          <w:rFonts w:ascii="Arial" w:cs="Arial" w:eastAsia="Arial" w:hAnsi="Arial"/>
          <w:sz w:val="15"/>
          <w:szCs w:val="15"/>
          <w:color w:val="auto"/>
        </w:rPr>
      </w:pPr>
      <w:r>
        <w:rPr>
          <w:rFonts w:ascii="Arial" w:cs="Arial" w:eastAsia="Arial" w:hAnsi="Arial"/>
          <w:sz w:val="15"/>
          <w:szCs w:val="15"/>
          <w:color w:val="auto"/>
        </w:rPr>
        <w:t>Smith has designed and maintains a system of internal controls over financial reporting (as defined in Rule 13a-15(f) and 15d-15(f) under the Exchange Act) as required by Rule 13a-15 under the Exchange Act. Smith’s management, with the participation of Smith’s principal executive and financial officers, has completed an assessment of the effectiveness of Smith’s internal controls over financial reporting in compliance with the requirements of Section 404 of the Sarbanes-Oxley Act for the year ended December 31, 2008, and such assessment concluded that such internal controls were effective using the framework specified in Smith’s annual report on Form 10-K for the year ended December 31, 2008. To the knowledge of Smith,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05" w:lineRule="exact"/>
        <w:rPr>
          <w:rFonts w:ascii="Arial" w:cs="Arial" w:eastAsia="Arial" w:hAnsi="Arial"/>
          <w:sz w:val="15"/>
          <w:szCs w:val="15"/>
          <w:color w:val="auto"/>
        </w:rPr>
      </w:pPr>
    </w:p>
    <w:p>
      <w:pPr>
        <w:ind w:left="460" w:right="20" w:firstLine="881"/>
        <w:spacing w:after="0" w:line="268" w:lineRule="auto"/>
        <w:tabs>
          <w:tab w:leader="none" w:pos="157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Smith to any of its or their executive officers or directors has been made or modified (other than as permitted by Section 13 of the Exchange Act and Section 402 of the Sarbanes-Oxley Act) since July 30, 2002.</w:t>
      </w:r>
    </w:p>
    <w:p>
      <w:pPr>
        <w:spacing w:after="0" w:line="132"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Smith, threatened against Smith or any of its Subsidiaries or their respective assets, or any director, officer or employee of Smith or any of its Subsidiaries or other affiliates, in each case, for whom Smith or any of its Subsidiaries may be liable, or (b) litigations, arbitrations, investigations or other proceedings, or injunctions or final judgments relating thereto, pending or, to the knowledge of Smith, threatened before any Governmental Entity or arbitrator against Smith or any of its Subsidiaries or their respective assets, or any director, officer or employee of Smith or any of its Subsidiaries or other affiliates, in each case, for whom Smith or any of its Subsidiaries may be liable, except in the case of either clause (a) or (b), for those that would not, individually or in the aggregate, reasonably be expected to result in a Smith Material Adverse Effect. None of Smith or any of its Subsidiaries or their respective assets, or any director, officer or employee of Smith or any of its Subsidiaries or other affiliates, in each case, for whom Smith or any of its Subsidiaries may be liable, is a party to or subject to the provisions of any judgment, order, writ, injunction, decree or award of any Governmental Entity which would, individually or in the aggregate, reasonably be expected to result in a Smith Material Adverse Effect. 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124" w:lineRule="exact"/>
        <w:rPr>
          <w:sz w:val="20"/>
          <w:szCs w:val="20"/>
          <w:color w:val="auto"/>
        </w:rPr>
      </w:pPr>
    </w:p>
    <w:p>
      <w:pPr>
        <w:ind w:left="460" w:right="60" w:firstLine="876"/>
        <w:spacing w:after="0" w:line="306"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Since December 31, 2008, there has not been any Smith Material Adverse Effect or any event, occurrence, change, discovery or development of a state of circumstances or facts which would, individually or in the aggregate, reasonably be expected to result in a Smith Material Adverse Effect. Since December 31, 2008 and prior to the execution and delivery hereof, there has not been:</w:t>
      </w:r>
    </w:p>
    <w:p>
      <w:pPr>
        <w:spacing w:after="0" w:line="26" w:lineRule="exact"/>
        <w:rPr>
          <w:sz w:val="20"/>
          <w:szCs w:val="20"/>
          <w:color w:val="auto"/>
        </w:rPr>
      </w:pPr>
    </w:p>
    <w:p>
      <w:pPr>
        <w:ind w:left="920" w:right="120" w:firstLine="421"/>
        <w:spacing w:after="0" w:line="332" w:lineRule="auto"/>
        <w:tabs>
          <w:tab w:leader="none" w:pos="157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recapitalization of Smith or any merger or consolidation of Smith or any of its Subsidiaries with any other person (except for any such transactions among wholly owned Subsidiaries of Smith that are not obligors or guarantors of third-party indebtedness);</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acquisition of any business from any other person having a value in excess of $20 million;</w:t>
      </w:r>
    </w:p>
    <w:p>
      <w:pPr>
        <w:spacing w:after="0" w:line="90" w:lineRule="exact"/>
        <w:rPr>
          <w:rFonts w:ascii="Arial" w:cs="Arial" w:eastAsia="Arial" w:hAnsi="Arial"/>
          <w:sz w:val="18"/>
          <w:szCs w:val="18"/>
          <w:color w:val="auto"/>
        </w:rPr>
      </w:pPr>
    </w:p>
    <w:p>
      <w:pPr>
        <w:ind w:left="920" w:right="400" w:firstLine="421"/>
        <w:spacing w:after="0" w:line="268" w:lineRule="auto"/>
        <w:tabs>
          <w:tab w:leader="none" w:pos="157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creation or incurrence of any Liens on any assets used in the businesses of Smith and its Subsidiaries having an aggregate value in excess of $20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firstLine="421"/>
        <w:spacing w:after="0" w:line="259" w:lineRule="auto"/>
        <w:tabs>
          <w:tab w:leader="none" w:pos="15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making of any loan, advance or capital contribution to, or investment in, any person other than (i) loans, advances or capital contributions to, or investments in, wholly owned Subsidiaries of Smith and (ii) loans, advances or capital contributions to, or investments in, any other person in an amount not in excess of $20 million in the aggregate;</w:t>
      </w:r>
    </w:p>
    <w:p>
      <w:pPr>
        <w:spacing w:after="0" w:line="59" w:lineRule="exact"/>
        <w:rPr>
          <w:rFonts w:ascii="Arial" w:cs="Arial" w:eastAsia="Arial" w:hAnsi="Arial"/>
          <w:sz w:val="18"/>
          <w:szCs w:val="18"/>
          <w:color w:val="auto"/>
        </w:rPr>
      </w:pPr>
    </w:p>
    <w:p>
      <w:pPr>
        <w:ind w:left="920" w:right="60" w:firstLine="421"/>
        <w:spacing w:after="0" w:line="290" w:lineRule="auto"/>
        <w:tabs>
          <w:tab w:leader="none" w:pos="157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any declaration, setting aside or payment of any dividend or distribution (whether in cash, stock, property or any combination thereof) with respect to any shares of capital stock of Smith or any of its Subsidiaries (except for Smith’s regular quarterly cash dividend and dividends or distributions by any direct or indirect wholly owned Subsidiary of Smith to Smith or any wholly owned Subsidiary of Smith, and except for dividends or distributions by other Subsidiaries of Smith for which the portion of such dividends or distributions not payable to a direct or indirect wholly owned Subsidiary of Smith did not exceed $5 million in value in the aggregate for all such dividends and distributions), or any purchase, repurchase, redemption or other acquisition by Smith or any of its Subsidiaries, directly or indirectly, of any outstanding shares of capital stock or other securities of, or other ownership interests in, Smith or any of its Subsidiaries for consideration in excess of $10 million;</w:t>
      </w:r>
    </w:p>
    <w:p>
      <w:pPr>
        <w:spacing w:after="0" w:line="37" w:lineRule="exact"/>
        <w:rPr>
          <w:rFonts w:ascii="Arial" w:cs="Arial" w:eastAsia="Arial" w:hAnsi="Arial"/>
          <w:sz w:val="16"/>
          <w:szCs w:val="16"/>
          <w:color w:val="auto"/>
        </w:rPr>
      </w:pPr>
    </w:p>
    <w:p>
      <w:pPr>
        <w:ind w:left="1560" w:hanging="219"/>
        <w:spacing w:after="0"/>
        <w:tabs>
          <w:tab w:leader="none" w:pos="15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issuance of shares of Smith Common Stock or other equity securities of Smith except pursuant to Smith Stock Plans;</w:t>
      </w:r>
    </w:p>
    <w:p>
      <w:pPr>
        <w:spacing w:after="0" w:line="90" w:lineRule="exact"/>
        <w:rPr>
          <w:rFonts w:ascii="Arial" w:cs="Arial" w:eastAsia="Arial" w:hAnsi="Arial"/>
          <w:sz w:val="18"/>
          <w:szCs w:val="18"/>
          <w:color w:val="auto"/>
        </w:rPr>
      </w:pPr>
    </w:p>
    <w:p>
      <w:pPr>
        <w:jc w:val="both"/>
        <w:ind w:left="920" w:right="60" w:firstLine="421"/>
        <w:spacing w:after="0" w:line="259" w:lineRule="auto"/>
        <w:tabs>
          <w:tab w:leader="none" w:pos="15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elections or changes thereto with respect to Taxes by Smith or any of its Subsidiaries or any settlement or compromise by Smith or any of its Subsidiaries of any Tax liability or refund, in each case, that would have, or reasonably be expected to have, an adverse effect on Smith and its Subsidiaries that is material;</w:t>
      </w:r>
    </w:p>
    <w:p>
      <w:pPr>
        <w:spacing w:after="0" w:line="59"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material change with respect to financial accounting policies, principles or procedures by Smith or any of its Subsidiaries, except for any such change required by changes in GAAP or by Applicable Law;</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any sale, transfer, lease, license, mortgage, pledge or other disposition or encumbrance of any assets of Smith or its Subsidiaries, except for</w:t>
      </w:r>
    </w:p>
    <w:p>
      <w:pPr>
        <w:spacing w:after="0" w:line="49" w:lineRule="exact"/>
        <w:rPr>
          <w:rFonts w:ascii="Arial" w:cs="Arial" w:eastAsia="Arial" w:hAnsi="Arial"/>
          <w:sz w:val="15"/>
          <w:szCs w:val="15"/>
          <w:color w:val="auto"/>
        </w:rPr>
      </w:pPr>
    </w:p>
    <w:p>
      <w:pPr>
        <w:jc w:val="both"/>
        <w:ind w:left="920" w:firstLine="1"/>
        <w:spacing w:after="0" w:line="295" w:lineRule="auto"/>
        <w:tabs>
          <w:tab w:leader="none" w:pos="113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obsolete assets, (ii) sales, transfers, leases, licenses, mortgages, pledges or other dispositions or encumbrances of assets in the ordinary course of business consistent with past practice or for a purchase price not in excess of, or with a fair market value not in excess of, $20 million in any single transaction or series of related transactions, (iii) sales, leases, licenses or other transfers between Smith and its wholly owned Subsidiaries or between those Subsidiaries, or (iv) sales of inventory, products and services in the ordinary course of business; or</w:t>
      </w:r>
    </w:p>
    <w:p>
      <w:pPr>
        <w:spacing w:after="0" w:line="34" w:lineRule="exact"/>
        <w:rPr>
          <w:rFonts w:ascii="Arial" w:cs="Arial" w:eastAsia="Arial" w:hAnsi="Arial"/>
          <w:sz w:val="16"/>
          <w:szCs w:val="16"/>
          <w:color w:val="auto"/>
        </w:rPr>
      </w:pPr>
    </w:p>
    <w:p>
      <w:pPr>
        <w:ind w:left="1560" w:hanging="219"/>
        <w:spacing w:after="0"/>
        <w:tabs>
          <w:tab w:leader="none" w:pos="15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agreement to do any of the foregoing.</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Except as have not had and would not reasonably be expected to have, individually or in the aggregate, a Smith Material Adverse Effect:</w:t>
      </w:r>
    </w:p>
    <w:p>
      <w:pPr>
        <w:spacing w:after="0" w:line="107" w:lineRule="exact"/>
        <w:rPr>
          <w:sz w:val="20"/>
          <w:szCs w:val="20"/>
          <w:color w:val="auto"/>
        </w:rPr>
      </w:pPr>
    </w:p>
    <w:p>
      <w:pPr>
        <w:ind w:left="920" w:right="60" w:firstLine="421"/>
        <w:spacing w:after="0" w:line="291" w:lineRule="auto"/>
        <w:tabs>
          <w:tab w:leader="none" w:pos="154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 all tax returns, statements, reports, declarations, estimates and forms required to be filed with respect to Taxes (“</w:t>
      </w:r>
      <w:r>
        <w:rPr>
          <w:rFonts w:ascii="Arial" w:cs="Arial" w:eastAsia="Arial" w:hAnsi="Arial"/>
          <w:sz w:val="16"/>
          <w:szCs w:val="16"/>
          <w:b w:val="1"/>
          <w:bCs w:val="1"/>
          <w:color w:val="auto"/>
        </w:rPr>
        <w:t>Returns</w:t>
      </w:r>
      <w:r>
        <w:rPr>
          <w:rFonts w:ascii="Arial" w:cs="Arial" w:eastAsia="Arial" w:hAnsi="Arial"/>
          <w:sz w:val="16"/>
          <w:szCs w:val="16"/>
          <w:color w:val="auto"/>
        </w:rPr>
        <w:t>”) by or with respect to Smith or any of its Subsidiaries (including any Return required to be filed by an affiliated, consolidated, combined, unitary or similar group that includes Smith or any of its Subsidiaries) on or prior to the date hereof have been properly filed on a timely basis with the appropriate Governmental Entities, and (B) all Taxes required to be paid by Smith or any of its Subsidiaries have been duly paid, and all Taxes that Smith or any of its Subsidiaries are obligated to withhold from amounts payable to any employee, creditor, shareholder or other third party have been duly withheld and deposited, in each case in full and on a timely basis, except, in each case of clause (A) and (B), with respect to matters contested in good faith or adequately reserved for, in accordance with GAAP;</w:t>
      </w:r>
    </w:p>
    <w:p>
      <w:pPr>
        <w:spacing w:after="0" w:line="38" w:lineRule="exact"/>
        <w:rPr>
          <w:rFonts w:ascii="Arial" w:cs="Arial" w:eastAsia="Arial" w:hAnsi="Arial"/>
          <w:sz w:val="16"/>
          <w:szCs w:val="16"/>
          <w:color w:val="auto"/>
        </w:rPr>
      </w:pPr>
    </w:p>
    <w:p>
      <w:pPr>
        <w:ind w:left="1600" w:hanging="259"/>
        <w:spacing w:after="0"/>
        <w:tabs>
          <w:tab w:leader="none" w:pos="16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 audits or other administrative or court proceedings are pending with regard to any Taxes or Returns of Smith or any of its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40" w:firstLine="421"/>
        <w:spacing w:after="0" w:line="332" w:lineRule="auto"/>
        <w:tabs>
          <w:tab w:leader="none" w:pos="16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 Governmental Entity is asserting in writing any deficiency or claim for Taxes or any adjustment to Taxes of Smith or any of its Subsidiaries which have not been fully paid or finally settled or adequately reserved for, in accordance with GAAP;</w:t>
      </w:r>
    </w:p>
    <w:p>
      <w:pPr>
        <w:spacing w:after="0" w:line="4" w:lineRule="exact"/>
        <w:rPr>
          <w:rFonts w:ascii="Arial" w:cs="Arial" w:eastAsia="Arial" w:hAnsi="Arial"/>
          <w:sz w:val="16"/>
          <w:szCs w:val="16"/>
          <w:color w:val="auto"/>
        </w:rPr>
      </w:pPr>
    </w:p>
    <w:p>
      <w:pPr>
        <w:jc w:val="both"/>
        <w:ind w:left="920" w:right="40" w:firstLine="421"/>
        <w:spacing w:after="0" w:line="298" w:lineRule="auto"/>
        <w:tabs>
          <w:tab w:leader="none" w:pos="163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neither Smith nor any of its Subsidiaries has any liability for Taxes under Treasury Regulation § 1.1502-6 or any similar provision of state, local, or non-U.S. tax law, except for (A) Taxes of the affiliated group of which Smith or any of its Subsidiaries is or was the common parent, within the meaning of Section 1504(a)(1) of the Code or any similar provision of state, local, or non-U.S. tax law, and (B) Taxes imposed under non-U.S. tax law for which Smith or its Subsidiaries are entitled to indemnification from third parties;</w:t>
      </w:r>
    </w:p>
    <w:p>
      <w:pPr>
        <w:spacing w:after="0" w:line="31" w:lineRule="exact"/>
        <w:rPr>
          <w:rFonts w:ascii="Arial" w:cs="Arial" w:eastAsia="Arial" w:hAnsi="Arial"/>
          <w:sz w:val="16"/>
          <w:szCs w:val="16"/>
          <w:color w:val="auto"/>
        </w:rPr>
      </w:pPr>
    </w:p>
    <w:p>
      <w:pPr>
        <w:ind w:left="920" w:right="600" w:firstLine="421"/>
        <w:spacing w:after="0" w:line="332" w:lineRule="auto"/>
        <w:tabs>
          <w:tab w:leader="none" w:pos="158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neither Smith nor any of its Subsidiaries has granted any currently effective requests, agreements, consents or waivers to extend the statutory period of limitations applicable to the assessment of any Taxes with respect to any Returns of Smith or any of its Subsidiaries;</w:t>
      </w:r>
    </w:p>
    <w:p>
      <w:pPr>
        <w:spacing w:after="0" w:line="4" w:lineRule="exact"/>
        <w:rPr>
          <w:rFonts w:ascii="Arial" w:cs="Arial" w:eastAsia="Arial" w:hAnsi="Arial"/>
          <w:sz w:val="16"/>
          <w:szCs w:val="16"/>
          <w:color w:val="auto"/>
        </w:rPr>
      </w:pPr>
    </w:p>
    <w:p>
      <w:pPr>
        <w:ind w:left="920" w:right="60" w:firstLine="421"/>
        <w:spacing w:after="0" w:line="259" w:lineRule="auto"/>
        <w:tabs>
          <w:tab w:leader="none" w:pos="163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any closing agreement described in Section 7121 of the Code or any predecessor provision thereof or any similar agreement under state, local, or non-U.S. tax law that affects any Tax liability with respect to the last three years, the current year or any future year;</w:t>
      </w:r>
    </w:p>
    <w:p>
      <w:pPr>
        <w:spacing w:after="0" w:line="59" w:lineRule="exact"/>
        <w:rPr>
          <w:rFonts w:ascii="Arial" w:cs="Arial" w:eastAsia="Arial" w:hAnsi="Arial"/>
          <w:sz w:val="18"/>
          <w:szCs w:val="18"/>
          <w:color w:val="auto"/>
        </w:rPr>
      </w:pPr>
    </w:p>
    <w:p>
      <w:pPr>
        <w:ind w:left="920" w:right="260" w:firstLine="421"/>
        <w:spacing w:after="0" w:line="268" w:lineRule="auto"/>
        <w:tabs>
          <w:tab w:leader="none" w:pos="168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is bound by, or has any obligation under, any tax sharing, allocation or indemnity agreement or any similar agreement or arrangement;</w:t>
      </w:r>
    </w:p>
    <w:p>
      <w:pPr>
        <w:spacing w:after="0" w:line="50" w:lineRule="exact"/>
        <w:rPr>
          <w:rFonts w:ascii="Arial" w:cs="Arial" w:eastAsia="Arial" w:hAnsi="Arial"/>
          <w:sz w:val="18"/>
          <w:szCs w:val="18"/>
          <w:color w:val="auto"/>
        </w:rPr>
      </w:pPr>
    </w:p>
    <w:p>
      <w:pPr>
        <w:ind w:left="1740" w:hanging="399"/>
        <w:spacing w:after="0"/>
        <w:tabs>
          <w:tab w:leader="none" w:pos="17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neither Smith nor any of its Subsidiaries has participated in any “listed transaction,” within the meaning of Treasury regulation §1.6011-</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4(b);</w:t>
      </w:r>
    </w:p>
    <w:p>
      <w:pPr>
        <w:spacing w:after="0" w:line="83" w:lineRule="exact"/>
        <w:rPr>
          <w:rFonts w:ascii="Arial" w:cs="Arial" w:eastAsia="Arial" w:hAnsi="Arial"/>
          <w:sz w:val="16"/>
          <w:szCs w:val="16"/>
          <w:color w:val="auto"/>
        </w:rPr>
      </w:pPr>
    </w:p>
    <w:p>
      <w:pPr>
        <w:ind w:left="920" w:right="280" w:firstLine="421"/>
        <w:spacing w:after="0" w:line="332" w:lineRule="auto"/>
        <w:tabs>
          <w:tab w:leader="none" w:pos="163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neither Smith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4" w:lineRule="exact"/>
        <w:rPr>
          <w:rFonts w:ascii="Arial" w:cs="Arial" w:eastAsia="Arial" w:hAnsi="Arial"/>
          <w:sz w:val="16"/>
          <w:szCs w:val="16"/>
          <w:color w:val="auto"/>
        </w:rPr>
      </w:pPr>
    </w:p>
    <w:p>
      <w:pPr>
        <w:ind w:left="920" w:firstLine="421"/>
        <w:spacing w:after="0" w:line="268" w:lineRule="auto"/>
        <w:tabs>
          <w:tab w:leader="none" w:pos="158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Smith’s knowledge, no claim has been made in the last three years by an authority in a jurisdiction where any of Smith or its Subsidiaries does not file Returns that Smith or any of its Subsidiaries is or may be subject to taxation in that jurisdiction; and</w:t>
      </w:r>
    </w:p>
    <w:p>
      <w:pPr>
        <w:spacing w:after="0" w:line="50" w:lineRule="exact"/>
        <w:rPr>
          <w:rFonts w:ascii="Arial" w:cs="Arial" w:eastAsia="Arial" w:hAnsi="Arial"/>
          <w:sz w:val="18"/>
          <w:szCs w:val="18"/>
          <w:color w:val="auto"/>
        </w:rPr>
      </w:pPr>
    </w:p>
    <w:p>
      <w:pPr>
        <w:ind w:left="920" w:right="100" w:firstLine="421"/>
        <w:spacing w:after="0" w:line="332" w:lineRule="auto"/>
        <w:tabs>
          <w:tab w:leader="none" w:pos="163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 Subsidiary of Smith the fair market value of which represents more than five percent of the aggregate fair market value of the assets of Smith and its Subsidiaries is or has ever been a passive foreign investment company within the meaning of Section 1297 of the Code.</w:t>
      </w:r>
    </w:p>
    <w:p>
      <w:pPr>
        <w:spacing w:after="0" w:line="85" w:lineRule="exact"/>
        <w:rPr>
          <w:sz w:val="20"/>
          <w:szCs w:val="20"/>
          <w:color w:val="auto"/>
        </w:rPr>
      </w:pPr>
    </w:p>
    <w:p>
      <w:pPr>
        <w:ind w:left="460" w:right="480" w:firstLine="881"/>
        <w:spacing w:after="0" w:line="332" w:lineRule="auto"/>
        <w:tabs>
          <w:tab w:leader="none" w:pos="158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Without regard to whether it has had or would reasonably be expected to have a Smith Material Adverse Effect, Smith has not been a United States real property holding corporation within the meaning of Section 897(c)(2) of the Code at any time within the past five years.</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8" w:lineRule="auto"/>
        <w:tabs>
          <w:tab w:leader="none" w:pos="157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Section 5.11(a) of the Smith Disclosure Letter contains a list of all Smith Benefit Plans that are subject to laws of the United States (each, a “</w:t>
      </w:r>
      <w:r>
        <w:rPr>
          <w:rFonts w:ascii="Arial" w:cs="Arial" w:eastAsia="Arial" w:hAnsi="Arial"/>
          <w:sz w:val="16"/>
          <w:szCs w:val="16"/>
          <w:b w:val="1"/>
          <w:bCs w:val="1"/>
          <w:color w:val="auto"/>
        </w:rPr>
        <w:t>Smith U.S.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U.S. Benefit Plans</w:t>
      </w:r>
      <w:r>
        <w:rPr>
          <w:rFonts w:ascii="Arial" w:cs="Arial" w:eastAsia="Arial" w:hAnsi="Arial"/>
          <w:sz w:val="16"/>
          <w:szCs w:val="16"/>
          <w:color w:val="auto"/>
        </w:rPr>
        <w:t>”). Within twenty (20) business days after the date hereof, Smith will provide Schlumberger with a list of all Smith Benefit Plans that are not Smith U.S. Benefit Plans (each, a “</w:t>
      </w:r>
      <w:r>
        <w:rPr>
          <w:rFonts w:ascii="Arial" w:cs="Arial" w:eastAsia="Arial" w:hAnsi="Arial"/>
          <w:sz w:val="16"/>
          <w:szCs w:val="16"/>
          <w:b w:val="1"/>
          <w:bCs w:val="1"/>
          <w:color w:val="auto"/>
        </w:rPr>
        <w:t>Smith Foreign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Foreign Benefit Plans</w:t>
      </w:r>
      <w:r>
        <w:rPr>
          <w:rFonts w:ascii="Arial" w:cs="Arial" w:eastAsia="Arial" w:hAnsi="Arial"/>
          <w:sz w:val="16"/>
          <w:szCs w:val="16"/>
          <w:color w:val="auto"/>
        </w:rPr>
        <w:t>”). The term “</w:t>
      </w:r>
      <w:r>
        <w:rPr>
          <w:rFonts w:ascii="Arial" w:cs="Arial" w:eastAsia="Arial" w:hAnsi="Arial"/>
          <w:sz w:val="16"/>
          <w:szCs w:val="16"/>
          <w:b w:val="1"/>
          <w:bCs w:val="1"/>
          <w:color w:val="auto"/>
        </w:rPr>
        <w:t>Smith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Smith or any of its Subsidiaries, to which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Smith or any of its Subsidiaries is a party or is required to provide benefits under Applicable Law. As of the date hereof, there is no unsatisfied liability associated with any terminated Smith Benefit Plan. A true and correct copy of each Smith U.S. Benefit Plan has been made available to Schlumberger. Within twenty (20) business days after the date hereof, Smith will make available to Schlumberger a true and correct copy of each Smith Foreign Benefit Plan. With respect to each Smith U.S. Benefit Plan, Smith has made available to Schlumberger a true and correct copy of (i) the most recent annual report (Form 5500) filed with the applicable Governmental Entity (with respect to Smith U.S. Benefit Plans for which Form 5500’s are filed), (ii) each such Smith U.S. Benefit Plan that has been reduced to writing and all amendments thereto, (iii) each trust agreement, insurance contract or administration agreement relating to each such Smith U.S. Benefit Plan, (iv) the most recent summary plan description or other written explanation of each Smith U.S. Benefit Plan provided to participants, (vi) the most recent actuarial report or valuation relating to a Smith U.S. Benefit Plan subject to Title IV of ERISA, (vii) the most recent determination letter or opinion letter, if any, issued by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with respect to any Smith U.S. Benefit Plan intended to be qualified under Section 401(a) of the Code, (viii) any request for a determination currently pending before the IRS, and (ix) all material correspondence with the IRS, the U.S. Department of Labor, or Pension Benefit Guaranty Corporation relating to any outstanding controversy or with respect to any controversy that has been resolved in the previous three years.</w:t>
      </w:r>
    </w:p>
    <w:p>
      <w:pPr>
        <w:spacing w:after="0" w:line="124" w:lineRule="exact"/>
        <w:rPr>
          <w:sz w:val="20"/>
          <w:szCs w:val="20"/>
          <w:color w:val="auto"/>
        </w:rPr>
      </w:pPr>
    </w:p>
    <w:p>
      <w:pPr>
        <w:ind w:left="460" w:right="140" w:firstLine="881"/>
        <w:spacing w:after="0" w:line="268" w:lineRule="auto"/>
        <w:tabs>
          <w:tab w:leader="none" w:pos="158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With respect to each Smith U.S. Benefit Plan, except as have not had and would not reasonably be expected to have, individually or in the aggregate, a Smith Material Adverse Effect:</w:t>
      </w:r>
    </w:p>
    <w:p>
      <w:pPr>
        <w:spacing w:after="0" w:line="51" w:lineRule="exact"/>
        <w:rPr>
          <w:sz w:val="20"/>
          <w:szCs w:val="20"/>
          <w:color w:val="auto"/>
        </w:rPr>
      </w:pPr>
    </w:p>
    <w:p>
      <w:pPr>
        <w:ind w:left="1560" w:hanging="219"/>
        <w:spacing w:after="0"/>
        <w:tabs>
          <w:tab w:leader="none" w:pos="15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90" w:lineRule="exact"/>
        <w:rPr>
          <w:rFonts w:ascii="Arial" w:cs="Arial" w:eastAsia="Arial" w:hAnsi="Arial"/>
          <w:sz w:val="18"/>
          <w:szCs w:val="18"/>
          <w:color w:val="auto"/>
        </w:rPr>
      </w:pPr>
    </w:p>
    <w:p>
      <w:pPr>
        <w:ind w:left="920" w:right="600" w:firstLine="421"/>
        <w:spacing w:after="0" w:line="268" w:lineRule="auto"/>
        <w:tabs>
          <w:tab w:leader="none" w:pos="159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the extent applicable, such Smith U.S. Benefit Plan complies and has complied with the requirements of ERISA, the Code, other Applicable Law and with the operative documents for each such plan;</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Smith U.S. Benefit Plan intended to be qualified under Section 401(a) of the Code has received a favorable determination letter from</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the IRS;</w:t>
      </w:r>
    </w:p>
    <w:p>
      <w:pPr>
        <w:spacing w:after="0" w:line="83" w:lineRule="exact"/>
        <w:rPr>
          <w:rFonts w:ascii="Arial" w:cs="Arial" w:eastAsia="Arial" w:hAnsi="Arial"/>
          <w:sz w:val="16"/>
          <w:szCs w:val="16"/>
          <w:color w:val="auto"/>
        </w:rPr>
      </w:pPr>
    </w:p>
    <w:p>
      <w:pPr>
        <w:ind w:left="920" w:firstLine="421"/>
        <w:spacing w:after="0" w:line="268" w:lineRule="auto"/>
        <w:tabs>
          <w:tab w:leader="none" w:pos="16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Smith U.S. Benefit Plans have been maintained and operated in accordance with their terms, and, to the knowledge of Smith, there have been no breaches of fiduciary duty in connection with Smith Benefit Plans;</w:t>
      </w:r>
    </w:p>
    <w:p>
      <w:pPr>
        <w:spacing w:after="0" w:line="50" w:lineRule="exact"/>
        <w:rPr>
          <w:rFonts w:ascii="Arial" w:cs="Arial" w:eastAsia="Arial" w:hAnsi="Arial"/>
          <w:sz w:val="18"/>
          <w:szCs w:val="18"/>
          <w:color w:val="auto"/>
        </w:rPr>
      </w:pPr>
    </w:p>
    <w:p>
      <w:pPr>
        <w:ind w:left="920" w:right="160" w:firstLine="421"/>
        <w:spacing w:after="0" w:line="259" w:lineRule="auto"/>
        <w:tabs>
          <w:tab w:leader="none" w:pos="158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there are no pending or, to the knowledge of Smith, threatened claims against or otherwise involving any Smith U.S. Benefit Plan, and no suit, action or other litigation (excluding claims for benefits incurred in the ordinary course of Smith Benefit Plan activities) is pending against or with respect to any such Smith Benefit Plan;</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Smith U.S. Benefit Plan;</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all material contributions required to be made as of the date hereof to Smith U.S. Benefit Plans have been made or provided for;</w:t>
      </w:r>
    </w:p>
    <w:p>
      <w:pPr>
        <w:spacing w:after="0" w:line="113" w:lineRule="exact"/>
        <w:rPr>
          <w:rFonts w:ascii="Arial" w:cs="Arial" w:eastAsia="Arial" w:hAnsi="Arial"/>
          <w:sz w:val="16"/>
          <w:szCs w:val="16"/>
          <w:color w:val="auto"/>
        </w:rPr>
      </w:pPr>
    </w:p>
    <w:p>
      <w:pPr>
        <w:ind w:left="920" w:right="440" w:firstLine="421"/>
        <w:spacing w:after="0" w:line="259" w:lineRule="auto"/>
        <w:tabs>
          <w:tab w:leader="none" w:pos="173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Smith has not engaged in a transaction with respect to any Smith U.S. Benefit Plan for which it would reasonably be expected to be subject (either directly or indirectly) to a liability for either a civil penalty assessed pursuant to Section 502(i) of ERISA or a Tax imposed by Section 4975 of the Code;</w:t>
      </w:r>
    </w:p>
    <w:p>
      <w:pPr>
        <w:spacing w:after="0" w:line="59" w:lineRule="exact"/>
        <w:rPr>
          <w:rFonts w:ascii="Arial" w:cs="Arial" w:eastAsia="Arial" w:hAnsi="Arial"/>
          <w:sz w:val="18"/>
          <w:szCs w:val="18"/>
          <w:color w:val="auto"/>
        </w:rPr>
      </w:pPr>
    </w:p>
    <w:p>
      <w:pPr>
        <w:jc w:val="both"/>
        <w:ind w:left="920" w:right="180" w:firstLine="421"/>
        <w:spacing w:after="0" w:line="256" w:lineRule="auto"/>
        <w:tabs>
          <w:tab w:leader="none" w:pos="16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since January 1, 2005, each nonqualified deferred compensation plan or arrangement has been maintained in good faith operational compliance with Section 409A of the Code and, as of December 31, 2008,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62" w:lineRule="exact"/>
        <w:rPr>
          <w:rFonts w:ascii="Arial" w:cs="Arial" w:eastAsia="Arial" w:hAnsi="Arial"/>
          <w:sz w:val="18"/>
          <w:szCs w:val="18"/>
          <w:color w:val="auto"/>
        </w:rPr>
      </w:pPr>
    </w:p>
    <w:p>
      <w:pPr>
        <w:ind w:left="920" w:right="20" w:firstLine="421"/>
        <w:spacing w:after="0" w:line="268" w:lineRule="auto"/>
        <w:tabs>
          <w:tab w:leader="none" w:pos="158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with respect to Smith U.S. Benefit Plans or any “employee pension benefit plans,” as defined in Section 3(2) of ERISA, that are subject to Title IV of ERISA and have been maintained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83" w:lineRule="auto"/>
        <w:rPr>
          <w:sz w:val="20"/>
          <w:szCs w:val="20"/>
          <w:color w:val="auto"/>
        </w:rPr>
      </w:pPr>
      <w:r>
        <w:rPr>
          <w:rFonts w:ascii="Arial" w:cs="Arial" w:eastAsia="Arial" w:hAnsi="Arial"/>
          <w:sz w:val="16"/>
          <w:szCs w:val="16"/>
          <w:color w:val="auto"/>
        </w:rPr>
        <w:t>contributed to within six years prior to the date hereof by Smith, any of its Subsidiaries or any trade or business (whether or not incorporated) which is under common control, or which is treated as a single employer, with Smith or any of its Subsidiaries under Section 414(b), (c), (m) or (o) of the Code (a “</w:t>
      </w:r>
      <w:r>
        <w:rPr>
          <w:rFonts w:ascii="Arial" w:cs="Arial" w:eastAsia="Arial" w:hAnsi="Arial"/>
          <w:sz w:val="16"/>
          <w:szCs w:val="16"/>
          <w:b w:val="1"/>
          <w:bCs w:val="1"/>
          <w:color w:val="auto"/>
        </w:rPr>
        <w:t>Smith ERISA affiliate</w:t>
      </w:r>
      <w:r>
        <w:rPr>
          <w:rFonts w:ascii="Arial" w:cs="Arial" w:eastAsia="Arial" w:hAnsi="Arial"/>
          <w:sz w:val="16"/>
          <w:szCs w:val="16"/>
          <w:color w:val="auto"/>
        </w:rPr>
        <w:t>”), neither Smith nor any Smith ERISA affiliate has incurred any direct or indirect liability under Title IV of ERISA in connection with any termination thereof or withdrawal therefrom which remains unsatisfied, (B) with respect to Smith U.S. Benefits Plans, there does not exist any accumulated funding deficiency within the meaning of Section 412 of the Code or Section 302 of ERISA, whether or not waived,</w:t>
      </w:r>
    </w:p>
    <w:p>
      <w:pPr>
        <w:spacing w:after="0" w:line="2" w:lineRule="exact"/>
        <w:rPr>
          <w:sz w:val="20"/>
          <w:szCs w:val="20"/>
          <w:color w:val="auto"/>
        </w:rPr>
      </w:pPr>
    </w:p>
    <w:p>
      <w:pPr>
        <w:ind w:left="920" w:right="80" w:firstLine="1"/>
        <w:spacing w:after="0" w:line="295" w:lineRule="auto"/>
        <w:tabs>
          <w:tab w:leader="none" w:pos="119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 respect to Smith U.S. Benefit Plans, since January 1, 2008, there has been no “reportable event,” as that term is defined in Section 4043 of ERISA for which the 30-day reporting requirement has not been waived, and (D) with respect to Smith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34" w:lineRule="exact"/>
        <w:rPr>
          <w:rFonts w:ascii="Arial" w:cs="Arial" w:eastAsia="Arial" w:hAnsi="Arial"/>
          <w:sz w:val="16"/>
          <w:szCs w:val="16"/>
          <w:color w:val="auto"/>
        </w:rPr>
      </w:pPr>
    </w:p>
    <w:p>
      <w:pPr>
        <w:ind w:left="920" w:right="20" w:firstLine="421"/>
        <w:spacing w:after="0" w:line="259" w:lineRule="auto"/>
        <w:tabs>
          <w:tab w:leader="none" w:pos="163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Smith or any Subsidiary of Smith, whether as an employee, independent contractor or “leased employee” (as defined in Section 414(n) of the Code) are, and have been, properly classified for purposes of withholding Taxes and eligibility to participate in, and coverage under, any Smith U.S. Benefit Plan; and</w:t>
      </w:r>
    </w:p>
    <w:p>
      <w:pPr>
        <w:spacing w:after="0" w:line="59" w:lineRule="exact"/>
        <w:rPr>
          <w:rFonts w:ascii="Arial" w:cs="Arial" w:eastAsia="Arial" w:hAnsi="Arial"/>
          <w:sz w:val="18"/>
          <w:szCs w:val="18"/>
          <w:color w:val="auto"/>
        </w:rPr>
      </w:pPr>
    </w:p>
    <w:p>
      <w:pPr>
        <w:ind w:left="920" w:firstLine="421"/>
        <w:spacing w:after="0" w:line="294" w:lineRule="auto"/>
        <w:tabs>
          <w:tab w:leader="none" w:pos="1686"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with respect to each Smith U.S. Benefit Plan which is a group health plan, Smith and each of the Smith ERISA affiliates have complied in all material respects with (i) the applicable health care continuation and notice provisions of the Consolidated Omnibus Budget Reconciliation Act of 1985, as amended (“</w:t>
      </w:r>
      <w:r>
        <w:rPr>
          <w:rFonts w:ascii="Arial" w:cs="Arial" w:eastAsia="Arial" w:hAnsi="Arial"/>
          <w:sz w:val="16"/>
          <w:szCs w:val="16"/>
          <w:b w:val="1"/>
          <w:bCs w:val="1"/>
          <w:color w:val="auto"/>
        </w:rPr>
        <w:t>COBRA</w:t>
      </w:r>
      <w:r>
        <w:rPr>
          <w:rFonts w:ascii="Arial" w:cs="Arial" w:eastAsia="Arial" w:hAnsi="Arial"/>
          <w:sz w:val="16"/>
          <w:szCs w:val="16"/>
          <w:color w:val="auto"/>
        </w:rPr>
        <w:t>”), and the applicable COBRA regulations (including the requirements of the American Recovery and Reinvestment Act of 2009), and (ii) the applicable requirements of the Health Insurance Portability and Accountability Act of 1996 and the regulations thereunder, and neither Smith nor any ERISA Affiliate has incurred any liability under Section 4980 of the Code.</w:t>
      </w:r>
    </w:p>
    <w:p>
      <w:pPr>
        <w:spacing w:after="0" w:line="116" w:lineRule="exact"/>
        <w:rPr>
          <w:sz w:val="20"/>
          <w:szCs w:val="20"/>
          <w:color w:val="auto"/>
        </w:rPr>
      </w:pPr>
    </w:p>
    <w:p>
      <w:pPr>
        <w:ind w:left="460" w:right="280" w:firstLine="881"/>
        <w:spacing w:after="0" w:line="286" w:lineRule="auto"/>
        <w:tabs>
          <w:tab w:leader="none" w:pos="1575" w:val="left"/>
        </w:tabs>
        <w:numPr>
          <w:ilvl w:val="1"/>
          <w:numId w:val="197"/>
        </w:numPr>
        <w:rPr>
          <w:rFonts w:ascii="Arial" w:cs="Arial" w:eastAsia="Arial" w:hAnsi="Arial"/>
          <w:sz w:val="16"/>
          <w:szCs w:val="16"/>
          <w:color w:val="auto"/>
        </w:rPr>
      </w:pPr>
      <w:r>
        <w:rPr>
          <w:rFonts w:ascii="Arial" w:cs="Arial" w:eastAsia="Arial" w:hAnsi="Arial"/>
          <w:sz w:val="16"/>
          <w:szCs w:val="16"/>
          <w:color w:val="auto"/>
        </w:rPr>
        <w:t>Neither Smith nor any of its Subsidiaries nor any Smith ERISA affiliate contributes to, or has an obligation to contribute to, and has not within six years prior to the Effective Time contributed to, or had an obligation to contribute to, a “multiemployer plan” within the meaning of</w:t>
      </w:r>
    </w:p>
    <w:p>
      <w:pPr>
        <w:ind w:left="460" w:right="80"/>
        <w:spacing w:after="0" w:line="261" w:lineRule="auto"/>
        <w:rPr>
          <w:rFonts w:ascii="Arial" w:cs="Arial" w:eastAsia="Arial" w:hAnsi="Arial"/>
          <w:sz w:val="16"/>
          <w:szCs w:val="16"/>
          <w:color w:val="auto"/>
        </w:rPr>
      </w:pPr>
      <w:r>
        <w:rPr>
          <w:rFonts w:ascii="Arial" w:cs="Arial" w:eastAsia="Arial" w:hAnsi="Arial"/>
          <w:sz w:val="18"/>
          <w:szCs w:val="18"/>
          <w:color w:val="auto"/>
        </w:rPr>
        <w:t>Section 3(37) of ERISA, a “multiple employer welfare association” within the meaning of Section 3(40) of ERISA or a “voluntary employees’ beneficiary association” within the meaning of Section 501(c)(9) of the Code.</w:t>
      </w:r>
    </w:p>
    <w:p>
      <w:pPr>
        <w:spacing w:after="0" w:line="137" w:lineRule="exact"/>
        <w:rPr>
          <w:rFonts w:ascii="Arial" w:cs="Arial" w:eastAsia="Arial" w:hAnsi="Arial"/>
          <w:sz w:val="16"/>
          <w:szCs w:val="16"/>
          <w:color w:val="auto"/>
        </w:rPr>
      </w:pPr>
    </w:p>
    <w:p>
      <w:pPr>
        <w:ind w:left="460" w:right="160" w:firstLine="881"/>
        <w:spacing w:after="0" w:line="253" w:lineRule="auto"/>
        <w:tabs>
          <w:tab w:leader="none" w:pos="158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Except as provided in Section 5.11(d) of the Smith Disclosure Letter, no Smith U.S. Benefit Plan provides medical, surgical, hospitalization, death or similar benefits (whether or not insured) for employees or former employees of Smith or any Subsidiary of Smith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Smith Material Adverse Effect, each Smith U.S. Benefit Plan which provides post-employment medical, surgical, hospitalization, death or similar benefits may be unilaterally amended or terminated by Smith without material liability, except as to claims incurred prior to amendment or termination.</w:t>
      </w:r>
    </w:p>
    <w:p>
      <w:pPr>
        <w:spacing w:after="0" w:line="147" w:lineRule="exact"/>
        <w:rPr>
          <w:rFonts w:ascii="Arial" w:cs="Arial" w:eastAsia="Arial" w:hAnsi="Arial"/>
          <w:sz w:val="18"/>
          <w:szCs w:val="18"/>
          <w:color w:val="auto"/>
        </w:rPr>
      </w:pPr>
    </w:p>
    <w:p>
      <w:pPr>
        <w:ind w:left="460" w:firstLine="881"/>
        <w:spacing w:after="0" w:line="284" w:lineRule="auto"/>
        <w:tabs>
          <w:tab w:leader="none" w:pos="1575"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Except as provided in Section 5.11(e) of the Smith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Smith or any of its Subsidiaries,</w:t>
      </w:r>
    </w:p>
    <w:p>
      <w:pPr>
        <w:spacing w:after="0" w:line="1" w:lineRule="exact"/>
        <w:rPr>
          <w:rFonts w:ascii="Arial" w:cs="Arial" w:eastAsia="Arial" w:hAnsi="Arial"/>
          <w:sz w:val="16"/>
          <w:szCs w:val="16"/>
          <w:color w:val="auto"/>
        </w:rPr>
      </w:pPr>
    </w:p>
    <w:p>
      <w:pPr>
        <w:ind w:left="460" w:right="220" w:firstLine="4"/>
        <w:spacing w:after="0" w:line="254" w:lineRule="auto"/>
        <w:tabs>
          <w:tab w:leader="none" w:pos="71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increase any benefits otherwise payable under any Smith Benefit Plans, (iii) result in the acceleration of the time of payment or vesting of any such benefits or (iv) result in the incurrence or acceleration of any other obligation related to the Smith Benefit Plans or to any employee, former employee or group of employees or former employees, including, without limitation, the payment of any “excess parachute payments” within the meaning of Section 280G of the Code.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40" w:firstLine="881"/>
        <w:spacing w:after="0" w:line="268" w:lineRule="auto"/>
        <w:tabs>
          <w:tab w:leader="none" w:pos="155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Section 5.11(f) of the Smith Disclosure Letter contains a list of all funded Smith Benefit Plans with assets containing stock or other securities issued by Smith or any of its Subsidiaries.</w:t>
      </w:r>
    </w:p>
    <w:p>
      <w:pPr>
        <w:spacing w:after="0" w:line="131" w:lineRule="exact"/>
        <w:rPr>
          <w:rFonts w:ascii="Arial" w:cs="Arial" w:eastAsia="Arial" w:hAnsi="Arial"/>
          <w:sz w:val="18"/>
          <w:szCs w:val="18"/>
          <w:color w:val="auto"/>
        </w:rPr>
      </w:pPr>
    </w:p>
    <w:p>
      <w:pPr>
        <w:ind w:left="460" w:right="280" w:firstLine="881"/>
        <w:spacing w:after="0" w:line="286" w:lineRule="auto"/>
        <w:tabs>
          <w:tab w:leader="none" w:pos="158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With respect to each Smith Foreign Benefit Plan, except as would not have, individually or in the aggregate, a Smith Material Adverse Effect, (i) each such Smith Foreign Benefit Plan is in material compliance with all Applicable Laws and has been operated in accordance with its terms,</w:t>
      </w:r>
    </w:p>
    <w:p>
      <w:pPr>
        <w:ind w:left="460" w:right="120" w:firstLine="4"/>
        <w:spacing w:after="0" w:line="255" w:lineRule="auto"/>
        <w:tabs>
          <w:tab w:leader="none" w:pos="71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 contributions required to have been made under such Smith Foreign Benefit Plans have been timely made and all liabilities thereunder have been properly accrued on the most recent financial statements of Smith and its Subsidiaries, and (iii) each Smith Foreign Benefit Plan is either fully funded or a fully insured plan.</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171" w:lineRule="exact"/>
        <w:rPr>
          <w:sz w:val="20"/>
          <w:szCs w:val="20"/>
          <w:color w:val="auto"/>
        </w:rPr>
      </w:pPr>
    </w:p>
    <w:p>
      <w:pPr>
        <w:ind w:left="460" w:right="260" w:firstLine="881"/>
        <w:spacing w:after="0" w:line="256" w:lineRule="auto"/>
        <w:tabs>
          <w:tab w:leader="none" w:pos="157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Smith Material Adverse Effect, (i) neither Smith nor any of its Subsidiaries is a party to, or bound by, any collective bargaining agreement or similar contract, agreement or understanding with a labor union or similar labor organization and (ii) to the knowledge of Smith, there are no organizational efforts with respect to the formation of a collective bargaining unit presently being made or threatened.</w:t>
      </w:r>
    </w:p>
    <w:p>
      <w:pPr>
        <w:spacing w:after="0" w:line="143" w:lineRule="exact"/>
        <w:rPr>
          <w:rFonts w:ascii="Arial" w:cs="Arial" w:eastAsia="Arial" w:hAnsi="Arial"/>
          <w:sz w:val="18"/>
          <w:szCs w:val="18"/>
          <w:color w:val="auto"/>
        </w:rPr>
      </w:pPr>
    </w:p>
    <w:p>
      <w:pPr>
        <w:ind w:left="460" w:right="100" w:firstLine="881"/>
        <w:spacing w:after="0" w:line="290" w:lineRule="auto"/>
        <w:tabs>
          <w:tab w:leader="none" w:pos="158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Except for such matters as have not had and would not reasonably be expected to have a Smith Material Adverse Effect, (i) Smith and its Subsidiaries have complied with all Applicable Laws respecting the employment of labor; (ii) neither Smith nor any Subsidiary of Smith has received any written complaint of any unfair labor practice or other unlawful employment practice or any written notice of any violation of any Applicable Law with respect to the employment of individuals by, or the employment practices of, Smith or any Subsidiary of Smith or the work conditions or the terms and conditions of employment and wages and hours of their respective businesses and (iii) there are no unfair labor practice charges or other employee related complaints against Smith or any Subsidiary of Smith pending or, to the knowledge of Smith, threatened, before any Governmental Entity by or concerning the employees working in their respective businesses.</w:t>
      </w:r>
    </w:p>
    <w:p>
      <w:pPr>
        <w:spacing w:after="0" w:line="118" w:lineRule="exact"/>
        <w:rPr>
          <w:sz w:val="20"/>
          <w:szCs w:val="20"/>
          <w:color w:val="auto"/>
        </w:rPr>
      </w:pPr>
    </w:p>
    <w:p>
      <w:pPr>
        <w:ind w:left="460" w:firstLine="876"/>
        <w:spacing w:after="0" w:line="289"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Properties</w:t>
      </w:r>
      <w:r>
        <w:rPr>
          <w:rFonts w:ascii="Arial" w:cs="Arial" w:eastAsia="Arial" w:hAnsi="Arial"/>
          <w:sz w:val="16"/>
          <w:szCs w:val="16"/>
          <w:color w:val="auto"/>
        </w:rPr>
        <w:t>. Except as has not had and as would not reasonably be expected to have a Smith Material Adverse Effect, (a) each of Smith and its Subsidiaries has good and marketable title to, or valid leasehold interests in, all properties and assets purported to be owned or leased by it, respectively, in the Smith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Smith and its Subsidiaries has complied with the terms of all leases, subleases, easements, licenses and other occupancy agreements to which it is a party and under which it is in occupancy, and all such agreements are in full force and effect; and (d) each of Smith and its Subsidiaries enjoys peaceful and undisturbed possession under all such agreements.</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 xml:space="preserve">Section 5.14 </w:t>
      </w:r>
      <w:r>
        <w:rPr>
          <w:rFonts w:ascii="Arial" w:cs="Arial" w:eastAsia="Arial" w:hAnsi="Arial"/>
          <w:sz w:val="15"/>
          <w:szCs w:val="15"/>
          <w:i w:val="1"/>
          <w:iCs w:val="1"/>
          <w:color w:val="auto"/>
        </w:rPr>
        <w:t>Environmental Matters</w:t>
      </w:r>
      <w:r>
        <w:rPr>
          <w:rFonts w:ascii="Arial" w:cs="Arial" w:eastAsia="Arial" w:hAnsi="Arial"/>
          <w:sz w:val="15"/>
          <w:szCs w:val="15"/>
          <w:color w:val="auto"/>
        </w:rPr>
        <w:t>. Except as have not had and would not reasonably be expected to have, individually or in the aggregate, a</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Material Adverse Effect:</w:t>
      </w:r>
    </w:p>
    <w:p>
      <w:pPr>
        <w:spacing w:after="0" w:line="165" w:lineRule="exact"/>
        <w:rPr>
          <w:sz w:val="20"/>
          <w:szCs w:val="20"/>
          <w:color w:val="auto"/>
        </w:rPr>
      </w:pPr>
    </w:p>
    <w:p>
      <w:pPr>
        <w:ind w:left="460" w:firstLine="881"/>
        <w:spacing w:after="0" w:line="256" w:lineRule="auto"/>
        <w:tabs>
          <w:tab w:leader="none" w:pos="15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Smith and each of its Subsidiaries has been and is in compliance with all orders of any court, Governmental Entity or arbitration board or tribunal applicable to it and any Applicable Law (including common law) related to human health, worker safety, process safety, mine safety, product safety and stewardship, mining activities (including reclamation obligations), use and management of hazardous, toxic or radioactive substances or wastes,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jc w:val="both"/>
        <w:ind w:left="460" w:right="780" w:firstLine="881"/>
        <w:spacing w:after="0" w:line="259" w:lineRule="auto"/>
        <w:tabs>
          <w:tab w:leader="none" w:pos="15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judicial or administrative proceedings or governmental investigations or employee or third party claims are pending or, to the knowledge of Smith, threatened in writing against Smith or its Subsidiaries that allege the violation of or seek to impose liability pursuant to any Environmental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881"/>
        <w:spacing w:after="0" w:line="256" w:lineRule="auto"/>
        <w:tabs>
          <w:tab w:leader="none" w:pos="157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Neither Smith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43"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Except as set forth in Section 5.14(d) of the Smith Disclosure Letter, neither Smith nor its Subsidiaries has been named as a defendant in any litigation, or has received written notice of noncompliance, violation, liability or potential liability from any Governmental Entity, based on exposure to asbestos or silica.</w:t>
      </w:r>
    </w:p>
    <w:p>
      <w:pPr>
        <w:spacing w:after="0" w:line="140" w:lineRule="exact"/>
        <w:rPr>
          <w:sz w:val="20"/>
          <w:szCs w:val="20"/>
          <w:color w:val="auto"/>
        </w:rPr>
      </w:pPr>
    </w:p>
    <w:p>
      <w:pPr>
        <w:ind w:left="460" w:right="20" w:firstLine="876"/>
        <w:spacing w:after="0" w:line="286"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Intellectual Property</w:t>
      </w:r>
      <w:r>
        <w:rPr>
          <w:rFonts w:ascii="Arial" w:cs="Arial" w:eastAsia="Arial" w:hAnsi="Arial"/>
          <w:sz w:val="16"/>
          <w:szCs w:val="16"/>
          <w:color w:val="auto"/>
        </w:rPr>
        <w:t>. Except as has not had and as would not reasonably be expected to have a Smith Material Adverse Effect, Smith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for the conduct of their respective businesses as currently being conducted. There are no assertions or claims challenging the validity of any Intellectual Property Rights that are reasonably expected to have, individually or in the aggregate, a Smith Material Adverse Effect. No claims are pending or, to the knowledge of Smith, threatened that Smith and its Subsidiaries are infringing or otherwise adversely affecting the rights of any person with regard to any Intellectual Property Rights, except for any such claims that, individually or in the aggregate, have not had and would not reasonably be expected to have a Smith Material Adverse Effect. To the knowledge of Smith, the conduct of Smith’s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Smith Material Adverse Effect. There is no infringement of any proprietary right owned by or licensed by or to Smith or any of its Subsidiaries that is reasonably expected to have, individually or in the aggregate, a Smith Material Adverse Effect.</w:t>
      </w:r>
    </w:p>
    <w:p>
      <w:pPr>
        <w:spacing w:after="0" w:line="124" w:lineRule="exact"/>
        <w:rPr>
          <w:sz w:val="20"/>
          <w:szCs w:val="20"/>
          <w:color w:val="auto"/>
        </w:rPr>
      </w:pPr>
    </w:p>
    <w:p>
      <w:pPr>
        <w:ind w:left="460" w:right="20" w:firstLine="876"/>
        <w:spacing w:after="0" w:line="294"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Decrees, Etc.</w:t>
      </w:r>
      <w:r>
        <w:rPr>
          <w:rFonts w:ascii="Arial" w:cs="Arial" w:eastAsia="Arial" w:hAnsi="Arial"/>
          <w:sz w:val="16"/>
          <w:szCs w:val="16"/>
          <w:color w:val="auto"/>
        </w:rPr>
        <w:t xml:space="preserve"> Except for such matters as have not had and would not reasonably be expected to have a Smith Material Adverse Effect, (a) no order, writ, fine, injunction, decree, judgment, award or determination of any court or Governmental Entity or any arbitral or other dispute resolution body has been issued or entered against Smith or any of its Subsidiaries that continues to be in effect that affects the ownership or operation of any of their respective assets or that involves an amount greater than $10 million and (b) since December 31, 2006, no criminal order, writ, fine, injunction, decree, judgment or determination of any Governmental Entity has been issued against Smith or any of its Subsidiaries.</w:t>
      </w:r>
    </w:p>
    <w:p>
      <w:pPr>
        <w:spacing w:after="0" w:line="116" w:lineRule="exact"/>
        <w:rPr>
          <w:sz w:val="20"/>
          <w:szCs w:val="20"/>
          <w:color w:val="auto"/>
        </w:rPr>
      </w:pPr>
    </w:p>
    <w:p>
      <w:pPr>
        <w:ind w:left="460" w:right="40" w:firstLine="876"/>
        <w:spacing w:after="0" w:line="290"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Insurance</w:t>
      </w:r>
      <w:r>
        <w:rPr>
          <w:rFonts w:ascii="Arial" w:cs="Arial" w:eastAsia="Arial" w:hAnsi="Arial"/>
          <w:sz w:val="16"/>
          <w:szCs w:val="16"/>
          <w:color w:val="auto"/>
        </w:rPr>
        <w:t>. Except as have not had and would not reasonably be expected to have, individually or in the aggregate, a Smith Material Adverse Effect, Smith and its Subsidiaries maintain insurance policies, including with respect to fire, liability, workers’ compensation, and title insurance, containing coverages in such amounts and against such losses as are customary in the industries in which Smith and its Subsidiaries operate on the date hereof. Except as have not had and would not reasonably be expected to have, individually or in the aggregate, a Smith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18" w:lineRule="exact"/>
        <w:rPr>
          <w:sz w:val="20"/>
          <w:szCs w:val="20"/>
          <w:color w:val="auto"/>
        </w:rPr>
      </w:pPr>
    </w:p>
    <w:p>
      <w:pPr>
        <w:ind w:left="460" w:right="180" w:firstLine="876"/>
        <w:spacing w:after="0" w:line="259"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i w:val="1"/>
          <w:iCs w:val="1"/>
          <w:color w:val="auto"/>
        </w:rPr>
        <w:t>No Brokers</w:t>
      </w:r>
      <w:r>
        <w:rPr>
          <w:rFonts w:ascii="Arial" w:cs="Arial" w:eastAsia="Arial" w:hAnsi="Arial"/>
          <w:sz w:val="18"/>
          <w:szCs w:val="18"/>
          <w:color w:val="auto"/>
        </w:rPr>
        <w:t>. Smith has not entered into any contract, arrangement or understanding with any person or firm which may result in the obligation of Smith, Schlumberger or their respective affiliates to pay any finder’s fees, brokerage or other like payments in connection with the negotiations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leading to this Agreement or the consummation of the Merger and the other transactions contemplated by this Agreement, except that Smith has retained UBS Securities LLC as its financial advisor, the arrangements with which have been disclosed to Schlumberger prior to the date hereof.</w:t>
      </w:r>
    </w:p>
    <w:p>
      <w:pPr>
        <w:spacing w:after="0" w:line="85" w:lineRule="exact"/>
        <w:rPr>
          <w:sz w:val="20"/>
          <w:szCs w:val="20"/>
          <w:color w:val="auto"/>
        </w:rPr>
      </w:pPr>
    </w:p>
    <w:p>
      <w:pPr>
        <w:ind w:left="460" w:right="260" w:firstLine="876"/>
        <w:spacing w:after="0" w:line="268"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Neither Smith nor any of its Subsidiaries owns any shares of capital stock of Schlumberger or any other securities convertible into or otherwise exercisable for shares of capital stock of Schlumberger.</w:t>
      </w:r>
    </w:p>
    <w:p>
      <w:pPr>
        <w:spacing w:after="0" w:line="132" w:lineRule="exact"/>
        <w:rPr>
          <w:sz w:val="20"/>
          <w:szCs w:val="20"/>
          <w:color w:val="auto"/>
        </w:rPr>
      </w:pPr>
    </w:p>
    <w:p>
      <w:pPr>
        <w:ind w:left="460" w:right="240" w:firstLine="876"/>
        <w:spacing w:after="0" w:line="306"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Vote Required</w:t>
      </w:r>
      <w:r>
        <w:rPr>
          <w:rFonts w:ascii="Arial" w:cs="Arial" w:eastAsia="Arial" w:hAnsi="Arial"/>
          <w:sz w:val="16"/>
          <w:szCs w:val="16"/>
          <w:color w:val="auto"/>
        </w:rPr>
        <w:t>. The only vote of the holders of any class or series of Smith capital stock necessary to adopt and approve this Agreement and the transactions contemplated by this Agreement (including the Merger) is the affirmative vote of the holders of at least a majority of the outstanding shares of Smith Common Stock (such approval being referred to as the “</w:t>
      </w:r>
      <w:r>
        <w:rPr>
          <w:rFonts w:ascii="Arial" w:cs="Arial" w:eastAsia="Arial" w:hAnsi="Arial"/>
          <w:sz w:val="16"/>
          <w:szCs w:val="16"/>
          <w:b w:val="1"/>
          <w:bCs w:val="1"/>
          <w:color w:val="auto"/>
        </w:rPr>
        <w:t>Smith Stockholder Approval</w:t>
      </w:r>
      <w:r>
        <w:rPr>
          <w:rFonts w:ascii="Arial" w:cs="Arial" w:eastAsia="Arial" w:hAnsi="Arial"/>
          <w:sz w:val="16"/>
          <w:szCs w:val="16"/>
          <w:color w:val="auto"/>
        </w:rPr>
        <w:t>”).</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Certain Contracts</w:t>
      </w:r>
      <w:r>
        <w:rPr>
          <w:rFonts w:ascii="Arial" w:cs="Arial" w:eastAsia="Arial" w:hAnsi="Arial"/>
          <w:sz w:val="18"/>
          <w:szCs w:val="18"/>
          <w:color w:val="auto"/>
        </w:rPr>
        <w:t>.</w:t>
      </w:r>
    </w:p>
    <w:p>
      <w:pPr>
        <w:spacing w:after="0" w:line="171" w:lineRule="exact"/>
        <w:rPr>
          <w:sz w:val="20"/>
          <w:szCs w:val="20"/>
          <w:color w:val="auto"/>
        </w:rPr>
      </w:pPr>
    </w:p>
    <w:p>
      <w:pPr>
        <w:ind w:left="1580" w:hanging="239"/>
        <w:spacing w:after="0"/>
        <w:tabs>
          <w:tab w:leader="none" w:pos="15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Except as set forth in Section 5.21 of the Smith Disclosure Letter, neither Smith nor any of its Subsidiaries is a party to or bound by:</w:t>
      </w:r>
    </w:p>
    <w:p>
      <w:pPr>
        <w:spacing w:after="0" w:line="113" w:lineRule="exact"/>
        <w:rPr>
          <w:rFonts w:ascii="Arial" w:cs="Arial" w:eastAsia="Arial" w:hAnsi="Arial"/>
          <w:sz w:val="16"/>
          <w:szCs w:val="16"/>
          <w:color w:val="auto"/>
        </w:rPr>
      </w:pPr>
    </w:p>
    <w:p>
      <w:pPr>
        <w:ind w:left="1560" w:hanging="219"/>
        <w:spacing w:after="0"/>
        <w:tabs>
          <w:tab w:leader="none" w:pos="15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lease of real or personal property providing for annual rentals of $5 million or more;</w:t>
      </w:r>
    </w:p>
    <w:p>
      <w:pPr>
        <w:spacing w:after="0" w:line="90" w:lineRule="exact"/>
        <w:rPr>
          <w:sz w:val="20"/>
          <w:szCs w:val="20"/>
          <w:color w:val="auto"/>
        </w:rPr>
      </w:pPr>
    </w:p>
    <w:p>
      <w:pPr>
        <w:ind w:left="920" w:right="80" w:firstLine="421"/>
        <w:spacing w:after="0" w:line="259" w:lineRule="auto"/>
        <w:tabs>
          <w:tab w:leader="none" w:pos="159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partnership, joint venture or other similar agreement or arrangement relating to the formation, creation, operation, management or control of any partnership or joint venture material to Smith and its Subsidiaries, taken as a whole, or in which Smith or any of its Subsidiaries owns any interest valued at more than $10 million;</w:t>
      </w:r>
    </w:p>
    <w:p>
      <w:pPr>
        <w:spacing w:after="0" w:line="53" w:lineRule="exact"/>
        <w:rPr>
          <w:rFonts w:ascii="Arial" w:cs="Arial" w:eastAsia="Arial" w:hAnsi="Arial"/>
          <w:sz w:val="18"/>
          <w:szCs w:val="18"/>
          <w:color w:val="auto"/>
        </w:rPr>
      </w:pPr>
    </w:p>
    <w:p>
      <w:pPr>
        <w:ind w:left="920" w:firstLine="421"/>
        <w:spacing w:after="0" w:line="310" w:lineRule="auto"/>
        <w:tabs>
          <w:tab w:leader="none" w:pos="1647"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any agreement, lease, easement, license, contract, note, mortgage, indenture or other legally binding obligation (each, a “</w:t>
      </w:r>
      <w:r>
        <w:rPr>
          <w:rFonts w:ascii="Arial" w:cs="Arial" w:eastAsia="Arial" w:hAnsi="Arial"/>
          <w:sz w:val="16"/>
          <w:szCs w:val="16"/>
          <w:b w:val="1"/>
          <w:bCs w:val="1"/>
          <w:color w:val="auto"/>
        </w:rPr>
        <w:t>Contract</w:t>
      </w:r>
      <w:r>
        <w:rPr>
          <w:rFonts w:ascii="Arial" w:cs="Arial" w:eastAsia="Arial" w:hAnsi="Arial"/>
          <w:sz w:val="16"/>
          <w:szCs w:val="16"/>
          <w:color w:val="auto"/>
        </w:rPr>
        <w:t>”) (other than among direct or indirect wholly owned Subsidiaries of Smith) relating to indebtedness for borrowed money or the deferred purchase price of property (in either case, whether incurred, assumed, guaranteed or secured by any asset) in excess of $10 million;</w:t>
      </w:r>
    </w:p>
    <w:p>
      <w:pPr>
        <w:spacing w:after="0" w:line="22" w:lineRule="exact"/>
        <w:rPr>
          <w:rFonts w:ascii="Arial" w:cs="Arial" w:eastAsia="Arial" w:hAnsi="Arial"/>
          <w:sz w:val="16"/>
          <w:szCs w:val="16"/>
          <w:color w:val="auto"/>
        </w:rPr>
      </w:pPr>
    </w:p>
    <w:p>
      <w:pPr>
        <w:ind w:left="1640" w:hanging="299"/>
        <w:spacing w:after="0"/>
        <w:tabs>
          <w:tab w:leader="none" w:pos="16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executory Contract relating to the disposition or acquisition of material assets not in the ordinary course of business;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any Contract that would be required to be filed as an exhibit to any Smith Report as of the date of this Agreement pursuant to Item 601(b)</w:t>
      </w:r>
    </w:p>
    <w:p>
      <w:pPr>
        <w:spacing w:after="0" w:line="38" w:lineRule="exact"/>
        <w:rPr>
          <w:rFonts w:ascii="Arial" w:cs="Arial" w:eastAsia="Arial" w:hAnsi="Arial"/>
          <w:sz w:val="16"/>
          <w:szCs w:val="16"/>
          <w:color w:val="auto"/>
        </w:rPr>
      </w:pPr>
    </w:p>
    <w:p>
      <w:pPr>
        <w:ind w:left="1260" w:hanging="339"/>
        <w:spacing w:after="0"/>
        <w:tabs>
          <w:tab w:leader="none" w:pos="12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of Regulation S-K under the Securities Act and the Exchange Act;</w:t>
      </w:r>
    </w:p>
    <w:p>
      <w:pPr>
        <w:spacing w:after="0" w:line="83" w:lineRule="exact"/>
        <w:rPr>
          <w:rFonts w:ascii="Arial" w:cs="Arial" w:eastAsia="Arial" w:hAnsi="Arial"/>
          <w:sz w:val="18"/>
          <w:szCs w:val="18"/>
          <w:color w:val="auto"/>
        </w:rPr>
      </w:pPr>
    </w:p>
    <w:p>
      <w:pPr>
        <w:ind w:left="920" w:right="40" w:firstLine="421"/>
        <w:spacing w:after="0" w:line="306" w:lineRule="auto"/>
        <w:tabs>
          <w:tab w:leader="none" w:pos="1637"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any agreement or covenant restricting in any material respect the research, development, distribution, sale, supply, license or manufacturing of material products or services, or any agreement or covenant requiring Smith or any of its Subsidiaries to grant an exclusive right to a third party for the research, development, distribution, sale, supply, license or manufacturing of any material product or service;</w:t>
      </w:r>
    </w:p>
    <w:p>
      <w:pPr>
        <w:spacing w:after="0" w:line="25" w:lineRule="exact"/>
        <w:rPr>
          <w:rFonts w:ascii="Arial" w:cs="Arial" w:eastAsia="Arial" w:hAnsi="Arial"/>
          <w:sz w:val="16"/>
          <w:szCs w:val="16"/>
          <w:color w:val="auto"/>
        </w:rPr>
      </w:pPr>
    </w:p>
    <w:p>
      <w:pPr>
        <w:jc w:val="both"/>
        <w:ind w:left="920" w:right="20" w:firstLine="421"/>
        <w:spacing w:after="0" w:line="256" w:lineRule="auto"/>
        <w:tabs>
          <w:tab w:leader="none" w:pos="168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noncompetition Contract or other Contract that (A) purports to limit in any material respect either the type of business in which Smith or its Subsidiaries (or, after the Effective Time, Schlumberger or its affiliates) may engage or the manner in which any of them may so engage in any business or (B) would reasonably be expected to require the disposition of any material assets or line of business of Smith or its Subsidiaries or, after the Effective Time, Schlumberger or its affiliates;</w:t>
      </w:r>
    </w:p>
    <w:p>
      <w:pPr>
        <w:spacing w:after="0" w:line="62" w:lineRule="exact"/>
        <w:rPr>
          <w:rFonts w:ascii="Arial" w:cs="Arial" w:eastAsia="Arial" w:hAnsi="Arial"/>
          <w:sz w:val="18"/>
          <w:szCs w:val="18"/>
          <w:color w:val="auto"/>
        </w:rPr>
      </w:pPr>
    </w:p>
    <w:p>
      <w:pPr>
        <w:jc w:val="both"/>
        <w:ind w:left="920" w:right="60" w:firstLine="421"/>
        <w:spacing w:after="0" w:line="256" w:lineRule="auto"/>
        <w:tabs>
          <w:tab w:leader="none" w:pos="173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Contract (other than (A) a Contract with respect to compensation or similar arrangements not involving an officer of Smith for purposes of Section 16 of the Exchange Act and (B) any Contract entered into in the ordinary course of business consistent with past practice) between Smith or any of its Subsidiaries and any director or officer of Smith or any person beneficially owning, as of the date hereof, 5% or more of the outstanding shares of Smith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firstLine="421"/>
        <w:spacing w:after="0" w:line="332" w:lineRule="auto"/>
        <w:tabs>
          <w:tab w:leader="none" w:pos="163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Contract that prohibits the payment of dividends or distributions in respect of capital stock of Smith, prohibits the pledging of the capital stock of Smith or any of its Subsidiaries or prohibits the issuance of guarantees by Smith or any of its Subsidiaries;</w:t>
      </w:r>
    </w:p>
    <w:p>
      <w:pPr>
        <w:spacing w:after="0" w:line="4"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agreement or covenant containing a right of first refusal, right of first negotiation or right of first offer in favor of a party other than Smith or any of its Subsidiaries;</w:t>
      </w:r>
    </w:p>
    <w:p>
      <w:pPr>
        <w:spacing w:after="0" w:line="50" w:lineRule="exact"/>
        <w:rPr>
          <w:rFonts w:ascii="Arial" w:cs="Arial" w:eastAsia="Arial" w:hAnsi="Arial"/>
          <w:sz w:val="18"/>
          <w:szCs w:val="18"/>
          <w:color w:val="auto"/>
        </w:rPr>
      </w:pPr>
    </w:p>
    <w:p>
      <w:pPr>
        <w:ind w:left="920" w:firstLine="421"/>
        <w:spacing w:after="0" w:line="306" w:lineRule="auto"/>
        <w:tabs>
          <w:tab w:leader="none" w:pos="163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Contract that contains a put, call or similar right pursuant to which Smith or any of its Subsidiaries could be required to purchase or sell, as applicable, any equity interests of any person or assets that have a fair market value or purchase price of more than $10 million (the Contracts described in clauses (i)–(xi), together with all exhibits and schedules to such Contracts, being the “</w:t>
      </w:r>
      <w:r>
        <w:rPr>
          <w:rFonts w:ascii="Arial" w:cs="Arial" w:eastAsia="Arial" w:hAnsi="Arial"/>
          <w:sz w:val="16"/>
          <w:szCs w:val="16"/>
          <w:b w:val="1"/>
          <w:bCs w:val="1"/>
          <w:color w:val="auto"/>
        </w:rPr>
        <w:t>Material Contracts</w:t>
      </w:r>
      <w:r>
        <w:rPr>
          <w:rFonts w:ascii="Arial" w:cs="Arial" w:eastAsia="Arial" w:hAnsi="Arial"/>
          <w:sz w:val="16"/>
          <w:szCs w:val="16"/>
          <w:color w:val="auto"/>
        </w:rPr>
        <w:t>”).</w:t>
      </w:r>
    </w:p>
    <w:p>
      <w:pPr>
        <w:spacing w:after="0" w:line="107" w:lineRule="exact"/>
        <w:rPr>
          <w:sz w:val="20"/>
          <w:szCs w:val="20"/>
          <w:color w:val="auto"/>
        </w:rPr>
      </w:pPr>
    </w:p>
    <w:p>
      <w:pPr>
        <w:ind w:left="460" w:right="120" w:firstLine="881"/>
        <w:spacing w:after="0" w:line="298" w:lineRule="auto"/>
        <w:tabs>
          <w:tab w:leader="none" w:pos="158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 true and complete copy of each Material Contract has previously been delivered or made available to Schlumberger (subject to applicable confidentiality restrictions). Except as would not reasonably be expected to have a Smith Material Adverse Effect, each such contract is a valid and binding agreement of Smith or one of its Subsidiaries, as the case may be, and is in full force and effect, and neither Smith nor any of its Subsidiaries nor, to the knowledge of Smith, any other party thereto is in default or breach under the terms of any such Material Contract.</w:t>
      </w:r>
    </w:p>
    <w:p>
      <w:pPr>
        <w:spacing w:after="0" w:line="113" w:lineRule="exact"/>
        <w:rPr>
          <w:sz w:val="20"/>
          <w:szCs w:val="20"/>
          <w:color w:val="auto"/>
        </w:rPr>
      </w:pPr>
    </w:p>
    <w:p>
      <w:pPr>
        <w:ind w:left="460" w:right="480" w:firstLine="876"/>
        <w:spacing w:after="0" w:line="268"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Smith Material Adverse Effect:</w:t>
      </w:r>
    </w:p>
    <w:p>
      <w:pPr>
        <w:spacing w:after="0" w:line="132" w:lineRule="exact"/>
        <w:rPr>
          <w:sz w:val="20"/>
          <w:szCs w:val="20"/>
          <w:color w:val="auto"/>
        </w:rPr>
      </w:pPr>
    </w:p>
    <w:p>
      <w:pPr>
        <w:ind w:left="460" w:right="20" w:firstLine="881"/>
        <w:spacing w:after="0" w:line="285" w:lineRule="auto"/>
        <w:tabs>
          <w:tab w:leader="none" w:pos="157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Smith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Smith, neither Smith,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23" w:lineRule="exact"/>
        <w:rPr>
          <w:rFonts w:ascii="Arial" w:cs="Arial" w:eastAsia="Arial" w:hAnsi="Arial"/>
          <w:sz w:val="16"/>
          <w:szCs w:val="16"/>
          <w:color w:val="auto"/>
        </w:rPr>
      </w:pPr>
    </w:p>
    <w:p>
      <w:pPr>
        <w:ind w:left="460" w:right="140" w:firstLine="881"/>
        <w:spacing w:after="0" w:line="306" w:lineRule="auto"/>
        <w:tabs>
          <w:tab w:leader="none" w:pos="158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Smith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06" w:lineRule="exact"/>
        <w:rPr>
          <w:rFonts w:ascii="Arial" w:cs="Arial" w:eastAsia="Arial" w:hAnsi="Arial"/>
          <w:sz w:val="16"/>
          <w:szCs w:val="16"/>
          <w:color w:val="auto"/>
        </w:rPr>
      </w:pPr>
    </w:p>
    <w:p>
      <w:pPr>
        <w:ind w:left="460" w:right="140" w:firstLine="881"/>
        <w:spacing w:after="0" w:line="259" w:lineRule="auto"/>
        <w:tabs>
          <w:tab w:leader="none" w:pos="15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Smith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881"/>
        <w:spacing w:after="0" w:line="259" w:lineRule="auto"/>
        <w:tabs>
          <w:tab w:leader="none" w:pos="158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Smith’s knowledge, Smith and its affiliates have not been since January 1, 2006 and, to the knowledge of Smith, are not now under any administrative, civil or criminal investigation or indictment involving alleged violations of any Applicable Laws relating to export controls or trade sanctions.</w:t>
      </w:r>
    </w:p>
    <w:p>
      <w:pPr>
        <w:spacing w:after="0" w:line="140" w:lineRule="exact"/>
        <w:rPr>
          <w:rFonts w:ascii="Arial" w:cs="Arial" w:eastAsia="Arial" w:hAnsi="Arial"/>
          <w:sz w:val="18"/>
          <w:szCs w:val="18"/>
          <w:color w:val="auto"/>
        </w:rPr>
      </w:pPr>
    </w:p>
    <w:p>
      <w:pPr>
        <w:ind w:left="460" w:right="100" w:firstLine="881"/>
        <w:spacing w:after="0" w:line="268" w:lineRule="auto"/>
        <w:tabs>
          <w:tab w:leader="none" w:pos="157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Smith or any of its affiliates in writing since January 1, 2006 of any actual or alleged violation or breach of any Applicable Laws relating to export controls or trade sanctions.</w:t>
      </w:r>
    </w:p>
    <w:p>
      <w:pPr>
        <w:spacing w:after="0" w:line="131" w:lineRule="exact"/>
        <w:rPr>
          <w:rFonts w:ascii="Arial" w:cs="Arial" w:eastAsia="Arial" w:hAnsi="Arial"/>
          <w:sz w:val="18"/>
          <w:szCs w:val="18"/>
          <w:color w:val="auto"/>
        </w:rPr>
      </w:pPr>
    </w:p>
    <w:p>
      <w:pPr>
        <w:ind w:left="460" w:right="420" w:firstLine="881"/>
        <w:spacing w:after="0" w:line="259" w:lineRule="auto"/>
        <w:tabs>
          <w:tab w:leader="none" w:pos="155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Smith’s knowledge, none of Smith or its affiliates has undergone or is undergoing any internal or external audit, review, inspection, investigation, survey or examination of records relating to Smith’s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Smith Material Adverse Effect:</w:t>
      </w:r>
    </w:p>
    <w:p>
      <w:pPr>
        <w:spacing w:after="0" w:line="132" w:lineRule="exact"/>
        <w:rPr>
          <w:sz w:val="20"/>
          <w:szCs w:val="20"/>
          <w:color w:val="auto"/>
        </w:rPr>
      </w:pPr>
    </w:p>
    <w:p>
      <w:pPr>
        <w:ind w:left="460" w:right="20" w:firstLine="881"/>
        <w:spacing w:after="0" w:line="283" w:lineRule="auto"/>
        <w:tabs>
          <w:tab w:leader="none" w:pos="1575" w:val="left"/>
        </w:tabs>
        <w:numPr>
          <w:ilvl w:val="1"/>
          <w:numId w:val="212"/>
        </w:numPr>
        <w:rPr>
          <w:rFonts w:ascii="Arial" w:cs="Arial" w:eastAsia="Arial" w:hAnsi="Arial"/>
          <w:sz w:val="16"/>
          <w:szCs w:val="16"/>
          <w:color w:val="auto"/>
        </w:rPr>
      </w:pPr>
      <w:r>
        <w:rPr>
          <w:rFonts w:ascii="Arial" w:cs="Arial" w:eastAsia="Arial" w:hAnsi="Arial"/>
          <w:sz w:val="16"/>
          <w:szCs w:val="16"/>
          <w:color w:val="auto"/>
        </w:rPr>
        <w:t>Smith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Smith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w:t>
      </w:r>
    </w:p>
    <w:p>
      <w:pPr>
        <w:spacing w:after="0" w:line="1" w:lineRule="exact"/>
        <w:rPr>
          <w:rFonts w:ascii="Arial" w:cs="Arial" w:eastAsia="Arial" w:hAnsi="Arial"/>
          <w:sz w:val="16"/>
          <w:szCs w:val="16"/>
          <w:color w:val="auto"/>
        </w:rPr>
      </w:pPr>
    </w:p>
    <w:p>
      <w:pPr>
        <w:ind w:left="460" w:right="60" w:firstLine="4"/>
        <w:spacing w:after="0" w:line="281" w:lineRule="auto"/>
        <w:tabs>
          <w:tab w:leader="none" w:pos="74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Smith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w:t>
      </w:r>
    </w:p>
    <w:p>
      <w:pPr>
        <w:spacing w:after="0" w:line="2" w:lineRule="exact"/>
        <w:rPr>
          <w:rFonts w:ascii="Arial" w:cs="Arial" w:eastAsia="Arial" w:hAnsi="Arial"/>
          <w:sz w:val="16"/>
          <w:szCs w:val="16"/>
          <w:color w:val="auto"/>
        </w:rPr>
      </w:pPr>
    </w:p>
    <w:p>
      <w:pPr>
        <w:ind w:left="460" w:right="140"/>
        <w:spacing w:after="0" w:line="255" w:lineRule="auto"/>
        <w:rPr>
          <w:rFonts w:ascii="Arial" w:cs="Arial" w:eastAsia="Arial" w:hAnsi="Arial"/>
          <w:sz w:val="16"/>
          <w:szCs w:val="16"/>
          <w:color w:val="auto"/>
        </w:rPr>
      </w:pPr>
      <w:r>
        <w:rPr>
          <w:rFonts w:ascii="Arial" w:cs="Arial" w:eastAsia="Arial" w:hAnsi="Arial"/>
          <w:sz w:val="18"/>
          <w:szCs w:val="18"/>
          <w:color w:val="auto"/>
        </w:rPr>
        <w:t>(i)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44" w:lineRule="exact"/>
        <w:rPr>
          <w:rFonts w:ascii="Arial" w:cs="Arial" w:eastAsia="Arial" w:hAnsi="Arial"/>
          <w:sz w:val="16"/>
          <w:szCs w:val="16"/>
          <w:color w:val="auto"/>
        </w:rPr>
      </w:pPr>
    </w:p>
    <w:p>
      <w:pPr>
        <w:ind w:left="460" w:firstLine="881"/>
        <w:spacing w:after="0" w:line="370" w:lineRule="auto"/>
        <w:tabs>
          <w:tab w:leader="none" w:pos="1585" w:val="left"/>
        </w:tabs>
        <w:numPr>
          <w:ilvl w:val="1"/>
          <w:numId w:val="213"/>
        </w:numPr>
        <w:rPr>
          <w:rFonts w:ascii="Arial" w:cs="Arial" w:eastAsia="Arial" w:hAnsi="Arial"/>
          <w:sz w:val="15"/>
          <w:szCs w:val="15"/>
          <w:color w:val="auto"/>
        </w:rPr>
      </w:pPr>
      <w:r>
        <w:rPr>
          <w:rFonts w:ascii="Arial" w:cs="Arial" w:eastAsia="Arial" w:hAnsi="Arial"/>
          <w:sz w:val="15"/>
          <w:szCs w:val="15"/>
          <w:color w:val="auto"/>
        </w:rPr>
        <w:t>Smith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62" w:lineRule="exact"/>
        <w:rPr>
          <w:rFonts w:ascii="Arial" w:cs="Arial" w:eastAsia="Arial" w:hAnsi="Arial"/>
          <w:sz w:val="15"/>
          <w:szCs w:val="15"/>
          <w:color w:val="auto"/>
        </w:rPr>
      </w:pPr>
    </w:p>
    <w:p>
      <w:pPr>
        <w:ind w:left="460" w:right="40" w:firstLine="881"/>
        <w:spacing w:after="0" w:line="306" w:lineRule="auto"/>
        <w:tabs>
          <w:tab w:leader="none" w:pos="1575" w:val="left"/>
        </w:tabs>
        <w:numPr>
          <w:ilvl w:val="1"/>
          <w:numId w:val="213"/>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Smith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06" w:lineRule="exact"/>
        <w:rPr>
          <w:rFonts w:ascii="Arial" w:cs="Arial" w:eastAsia="Arial" w:hAnsi="Arial"/>
          <w:sz w:val="16"/>
          <w:szCs w:val="16"/>
          <w:color w:val="auto"/>
        </w:rPr>
      </w:pPr>
    </w:p>
    <w:p>
      <w:pPr>
        <w:ind w:left="460" w:right="120" w:firstLine="881"/>
        <w:spacing w:after="0" w:line="298" w:lineRule="auto"/>
        <w:tabs>
          <w:tab w:leader="none" w:pos="1585"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To Smith’s knowledge, Smith and its affiliates have not been since January 1, 2006 and are not now under any administrative, civil or criminal investigation or indictment involving alleged violations of the Foreign Corrupt Practices Act or any other applicable anticorruption or antibribery laws. Neither Smith nor any of its affiliates are participating in any investigation by a Governmental Entity relating to alleged violations by Smith or its affiliates of the Foreign Corrupt Practices Act or any other applicable anticorruption or antibribery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881"/>
        <w:spacing w:after="0" w:line="332" w:lineRule="auto"/>
        <w:tabs>
          <w:tab w:leader="none" w:pos="157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Neither the U.S. Government nor any other Governmental Entity has notified Smith or any of its affiliates in writing since January 1, 2006 of any actual or alleged violation or breach of the Foreign Corrupt Practices Act or any other applicable anticorruption or antibribery law.</w:t>
      </w:r>
    </w:p>
    <w:p>
      <w:pPr>
        <w:spacing w:after="0" w:line="85" w:lineRule="exact"/>
        <w:rPr>
          <w:sz w:val="20"/>
          <w:szCs w:val="20"/>
          <w:color w:val="auto"/>
        </w:rPr>
      </w:pPr>
    </w:p>
    <w:p>
      <w:pPr>
        <w:ind w:left="460" w:firstLine="876"/>
        <w:spacing w:after="0" w:line="255"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i w:val="1"/>
          <w:iCs w:val="1"/>
          <w:color w:val="auto"/>
        </w:rPr>
        <w:t>Stockholder Rights Agreement</w:t>
      </w:r>
      <w:r>
        <w:rPr>
          <w:rFonts w:ascii="Arial" w:cs="Arial" w:eastAsia="Arial" w:hAnsi="Arial"/>
          <w:sz w:val="18"/>
          <w:szCs w:val="18"/>
          <w:color w:val="auto"/>
        </w:rPr>
        <w:t>. The Smith Board has taken all necessary action to render the Rights Agreement inapplicable to the Merger and the other transactions contemplated by this Agreement and to cause the Smith Rights to expire at or immediately prior to the Effective Time, and neither the execution and delivery of this Agreement nor the consummation of the Merger and the other transactions contemplated by this Agreement will result in the occurrence of a Distribution Date, as defined in the Rights Agreement, or otherwise cause the Smith Rights to become exercisable by the holders thereof.</w:t>
      </w:r>
    </w:p>
    <w:p>
      <w:pPr>
        <w:spacing w:after="0" w:line="143" w:lineRule="exact"/>
        <w:rPr>
          <w:sz w:val="20"/>
          <w:szCs w:val="20"/>
          <w:color w:val="auto"/>
        </w:rPr>
      </w:pPr>
    </w:p>
    <w:p>
      <w:pPr>
        <w:ind w:left="460" w:firstLine="876"/>
        <w:spacing w:after="0" w:line="298" w:lineRule="auto"/>
        <w:rPr>
          <w:sz w:val="20"/>
          <w:szCs w:val="20"/>
          <w:color w:val="auto"/>
        </w:rPr>
      </w:pPr>
      <w:r>
        <w:rPr>
          <w:rFonts w:ascii="Arial" w:cs="Arial" w:eastAsia="Arial" w:hAnsi="Arial"/>
          <w:sz w:val="16"/>
          <w:szCs w:val="16"/>
          <w:color w:val="auto"/>
        </w:rPr>
        <w:t xml:space="preserve">Section 5.25 </w:t>
      </w:r>
      <w:r>
        <w:rPr>
          <w:rFonts w:ascii="Arial" w:cs="Arial" w:eastAsia="Arial" w:hAnsi="Arial"/>
          <w:sz w:val="16"/>
          <w:szCs w:val="16"/>
          <w:i w:val="1"/>
          <w:iCs w:val="1"/>
          <w:color w:val="auto"/>
        </w:rPr>
        <w:t>Charter Provisions; Takeover Laws</w:t>
      </w:r>
      <w:r>
        <w:rPr>
          <w:rFonts w:ascii="Arial" w:cs="Arial" w:eastAsia="Arial" w:hAnsi="Arial"/>
          <w:sz w:val="16"/>
          <w:szCs w:val="16"/>
          <w:color w:val="auto"/>
        </w:rPr>
        <w:t>. Smith has taken all action necessary to render the restrictions on business combinations set forth in Article Thirteenth of Smith’s certificate of incorporation inapplicable to this Agreement, the Merger and the other transactions contemplated by this Agreement.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1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5.26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Smith nor any of its Subsidiaries has taken or agreed to take any action or knows of any fact that would</w:t>
      </w:r>
    </w:p>
    <w:p>
      <w:pPr>
        <w:spacing w:after="0" w:line="38" w:lineRule="exact"/>
        <w:rPr>
          <w:sz w:val="20"/>
          <w:szCs w:val="20"/>
          <w:color w:val="auto"/>
        </w:rPr>
      </w:pPr>
    </w:p>
    <w:p>
      <w:pPr>
        <w:ind w:left="460" w:firstLine="4"/>
        <w:spacing w:after="0" w:line="254" w:lineRule="auto"/>
        <w:tabs>
          <w:tab w:leader="none" w:pos="67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 Section 367(a) of the Code.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SCHLUMBERGER AND MERGER SUB</w:t>
      </w:r>
    </w:p>
    <w:p>
      <w:pPr>
        <w:spacing w:after="0" w:line="171" w:lineRule="exact"/>
        <w:rPr>
          <w:sz w:val="20"/>
          <w:szCs w:val="20"/>
          <w:color w:val="auto"/>
        </w:rPr>
      </w:pPr>
    </w:p>
    <w:p>
      <w:pPr>
        <w:ind w:left="460" w:right="280" w:firstLine="876"/>
        <w:spacing w:after="0" w:line="309" w:lineRule="auto"/>
        <w:rPr>
          <w:sz w:val="20"/>
          <w:szCs w:val="20"/>
          <w:color w:val="auto"/>
        </w:rPr>
      </w:pPr>
      <w:r>
        <w:rPr>
          <w:rFonts w:ascii="Arial" w:cs="Arial" w:eastAsia="Arial" w:hAnsi="Arial"/>
          <w:sz w:val="15"/>
          <w:szCs w:val="15"/>
          <w:color w:val="auto"/>
        </w:rPr>
        <w:t>Except (i) as set forth in the disclosure letter delivered to Smith by Schlumberger at or prior to the execution hereof (the “</w:t>
      </w:r>
      <w:r>
        <w:rPr>
          <w:rFonts w:ascii="Arial" w:cs="Arial" w:eastAsia="Arial" w:hAnsi="Arial"/>
          <w:sz w:val="15"/>
          <w:szCs w:val="15"/>
          <w:b w:val="1"/>
          <w:bCs w:val="1"/>
          <w:color w:val="auto"/>
        </w:rPr>
        <w:t>Schlumberger</w:t>
      </w:r>
      <w:r>
        <w:rPr>
          <w:rFonts w:ascii="Arial" w:cs="Arial" w:eastAsia="Arial" w:hAnsi="Arial"/>
          <w:sz w:val="15"/>
          <w:szCs w:val="15"/>
          <w:color w:val="auto"/>
        </w:rPr>
        <w:t xml:space="preserve"> </w:t>
      </w:r>
      <w:r>
        <w:rPr>
          <w:rFonts w:ascii="Arial" w:cs="Arial" w:eastAsia="Arial" w:hAnsi="Arial"/>
          <w:sz w:val="15"/>
          <w:szCs w:val="15"/>
          <w:b w:val="1"/>
          <w:bCs w:val="1"/>
          <w:color w:val="auto"/>
        </w:rPr>
        <w:t>Disclosure Letter</w:t>
      </w:r>
      <w:r>
        <w:rPr>
          <w:rFonts w:ascii="Arial" w:cs="Arial" w:eastAsia="Arial" w:hAnsi="Arial"/>
          <w:sz w:val="15"/>
          <w:szCs w:val="15"/>
          <w:color w:val="auto"/>
        </w:rPr>
        <w:t>”) and making reference to the particular subsection of this Agreement to which exception is being taken, subject to Section 10.10, or</w:t>
      </w:r>
    </w:p>
    <w:p>
      <w:pPr>
        <w:ind w:left="460" w:right="180" w:firstLine="4"/>
        <w:spacing w:after="0" w:line="255" w:lineRule="auto"/>
        <w:tabs>
          <w:tab w:leader="none" w:pos="71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disclosed in the Schlumberger Reports filed after December 31, 2008 and prior to the date hereof (excluding any disclosures in such Schlumberger Reports in any risk factors section, in any section related to forward looking statements and other disclosures that are predictive or forward-looking in nature), each of Schlumberger and Merger Sub represents and warrants to Smith that:</w:t>
      </w:r>
    </w:p>
    <w:p>
      <w:pPr>
        <w:spacing w:after="0" w:line="225" w:lineRule="exact"/>
        <w:rPr>
          <w:sz w:val="20"/>
          <w:szCs w:val="20"/>
          <w:color w:val="auto"/>
        </w:rPr>
      </w:pPr>
    </w:p>
    <w:p>
      <w:pPr>
        <w:ind w:left="460" w:right="40" w:firstLine="876"/>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Organization; Good Standing and Qualification</w:t>
      </w:r>
      <w:r>
        <w:rPr>
          <w:rFonts w:ascii="Arial" w:cs="Arial" w:eastAsia="Arial" w:hAnsi="Arial"/>
          <w:sz w:val="18"/>
          <w:szCs w:val="18"/>
          <w:color w:val="auto"/>
        </w:rPr>
        <w:t>. Each of Schlumberger and Merger Sub is a legal entity duly organized, validly existing and in good standing under the laws of its respective jurisdiction of incorporation and has all requisite corporate power and authority to own, operate and lease its properties and assets and to carry on its business as now conducted. Schlumberger has made available to Smith true and correct copies of the articles of incorporation and bylaws of Schlumberger and the certificate of incorporation and bylaws of Merger Sub, each as amended to date, and each as so delivered is in full force and effect.</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171" w:lineRule="exact"/>
        <w:rPr>
          <w:sz w:val="20"/>
          <w:szCs w:val="20"/>
          <w:color w:val="auto"/>
        </w:rPr>
      </w:pPr>
    </w:p>
    <w:p>
      <w:pPr>
        <w:jc w:val="both"/>
        <w:ind w:left="460" w:right="80" w:firstLine="881"/>
        <w:spacing w:after="0" w:line="256" w:lineRule="auto"/>
        <w:tabs>
          <w:tab w:leader="none" w:pos="157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of Schlumberger and Merger Sub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and Merger Sub, and the consummation by each of Schlumberger and Merger Sub of the transactions contemplated by this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Agreement, including the Merger and the issuance by Schlumberger of shares of Schlumberger Common Stock as described in this Agreement, have been duly authorized by all requisite corporate action on behalf of Schlumberger and Merger Sub. This Agreement has been duly executed and delivered by each of Schlumberger and Merger Sub and constitutes the valid and legally binding obligation of each of Schlumberger and Merger Sub, enforceable against each of Schlumberger and Merger Sub in accordance with its terms.</w:t>
      </w:r>
    </w:p>
    <w:p>
      <w:pPr>
        <w:spacing w:after="0" w:line="143" w:lineRule="exact"/>
        <w:rPr>
          <w:sz w:val="20"/>
          <w:szCs w:val="20"/>
          <w:color w:val="auto"/>
        </w:rPr>
      </w:pPr>
    </w:p>
    <w:p>
      <w:pPr>
        <w:ind w:left="460" w:firstLine="881"/>
        <w:spacing w:after="0" w:line="298" w:lineRule="auto"/>
        <w:tabs>
          <w:tab w:leader="none" w:pos="158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Board of Directors of Schlumberger, at a meeting duly called and held on or prior to the date hereof, has approved and adopted this Agreement and the transactions contemplated hereby, including the Merger and the issuance by Schlumberger of shares of Schlumberger Common Stock as described in this Agreement. The Board of Directors of Merger Sub has (i) determined that this Agreement and the Merger are advisable and (ii) approved and adopted this Agreement and the transactions contemplated hereby (including the Merger).</w:t>
      </w:r>
    </w:p>
    <w:p>
      <w:pPr>
        <w:spacing w:after="0" w:line="194" w:lineRule="exact"/>
        <w:rPr>
          <w:sz w:val="20"/>
          <w:szCs w:val="20"/>
          <w:color w:val="auto"/>
        </w:rPr>
      </w:pPr>
    </w:p>
    <w:p>
      <w:pPr>
        <w:ind w:left="460" w:firstLine="876"/>
        <w:spacing w:after="0" w:line="284"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i w:val="1"/>
          <w:iCs w:val="1"/>
          <w:color w:val="auto"/>
        </w:rPr>
        <w:t>Capitalization</w:t>
      </w:r>
      <w:r>
        <w:rPr>
          <w:rFonts w:ascii="Arial" w:cs="Arial" w:eastAsia="Arial" w:hAnsi="Arial"/>
          <w:sz w:val="16"/>
          <w:szCs w:val="16"/>
          <w:color w:val="auto"/>
        </w:rPr>
        <w:t>. Schlumberger may issue up to 3,000,000,000 shares of Schlumberger Common Stock and 200,000,000 shares of preferred stock, par value $0.01 per share (“</w:t>
      </w:r>
      <w:r>
        <w:rPr>
          <w:rFonts w:ascii="Arial" w:cs="Arial" w:eastAsia="Arial" w:hAnsi="Arial"/>
          <w:sz w:val="16"/>
          <w:szCs w:val="16"/>
          <w:b w:val="1"/>
          <w:bCs w:val="1"/>
          <w:color w:val="auto"/>
        </w:rPr>
        <w:t>Schlumberger Preferred Stock</w:t>
      </w:r>
      <w:r>
        <w:rPr>
          <w:rFonts w:ascii="Arial" w:cs="Arial" w:eastAsia="Arial" w:hAnsi="Arial"/>
          <w:sz w:val="16"/>
          <w:szCs w:val="16"/>
          <w:color w:val="auto"/>
        </w:rPr>
        <w:t>”). As of February 17, 2010, there were (a) 1,195,634,383 outstanding shares of Schlumberger Common Stock and 138,577,781 shares of Schlumberger Common Stock held in the treasury of Schlumberger, (b) 47,286,379 shares of Schlumberger Common Stock are reserved for issuance under employee benefits or stock and incentive plans of Schlumberger, and (c) no issued or outstanding shares of Schlumberger Preferred Stock. All of the issued and outstanding shares of Schlumberger Common Stock have been duly authorized and validly issued and are fully paid and nonassessable. As of February 17, 2010, there was $307.1 million aggregate principal amount of Schlumberger’s 2.125% Series B Convertible Debentures due June 1, 2023 outstanding and 7,676,925 shares of Schlumberger Common Stock reserved for issuance thereunder. The shares of Schlumberger Common Stock to be issued in connection with the Merger, when issued in accordance with this Agreement, will be duly authorized and validly issued and will be fully paid and nonassessable. Except (i) as set forth in this Section 6.3, (ii) for changes since the close of business on February 17, 2010 resulting from the exercise of employee stock options outstanding on such date or (iii) Schlumberger’s 2.125% Series B Convertible Debentures due June 1, 2023,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6"/>
          <w:szCs w:val="16"/>
          <w:b w:val="1"/>
          <w:bCs w:val="1"/>
          <w:color w:val="auto"/>
        </w:rPr>
        <w:t>Schlumberger Securities</w:t>
      </w:r>
      <w:r>
        <w:rPr>
          <w:rFonts w:ascii="Arial" w:cs="Arial" w:eastAsia="Arial" w:hAnsi="Arial"/>
          <w:sz w:val="16"/>
          <w:szCs w:val="16"/>
          <w:color w:val="auto"/>
        </w:rPr>
        <w:t>”). Except as required by the terms of any employee stock options or other stock-based awards or Schlumberger’s 2.125% Series B Convertible Debentures due June 1, 2023, there are no outstanding obligations of Schlumberger or any of its Subsidiaries to repurchase, redeem or otherwise acquire any Schlumberger Securities. All of the outstanding common stock of Merger Sub is owned by Schlumberger, free and clear of all Liens (including any restriction on the right to vote, sell or otherwise dispose of such common stock).</w:t>
      </w:r>
    </w:p>
    <w:p>
      <w:pPr>
        <w:spacing w:after="0" w:line="126" w:lineRule="exact"/>
        <w:rPr>
          <w:sz w:val="20"/>
          <w:szCs w:val="20"/>
          <w:color w:val="auto"/>
        </w:rPr>
      </w:pPr>
    </w:p>
    <w:p>
      <w:pPr>
        <w:ind w:left="460" w:right="700" w:firstLine="876"/>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51" w:lineRule="exact"/>
        <w:rPr>
          <w:sz w:val="20"/>
          <w:szCs w:val="20"/>
          <w:color w:val="auto"/>
        </w:rPr>
      </w:pPr>
    </w:p>
    <w:p>
      <w:pPr>
        <w:ind w:left="700" w:right="440" w:firstLine="422"/>
        <w:spacing w:after="0" w:line="268" w:lineRule="auto"/>
        <w:tabs>
          <w:tab w:leader="none" w:pos="13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Neither Schlumberger nor any of its Subsidiaries is in violation of any Applicable Laws, and no claim is pending or, to the knowledge of Schlumberger, threatened with respect to any such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00" w:firstLine="422"/>
        <w:spacing w:after="0" w:line="294" w:lineRule="auto"/>
        <w:tabs>
          <w:tab w:leader="none" w:pos="137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Schlumberger and each Subsidiary of Schlumberger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Schlumberger Permits</w:t>
      </w:r>
      <w:r>
        <w:rPr>
          <w:rFonts w:ascii="Arial" w:cs="Arial" w:eastAsia="Arial" w:hAnsi="Arial"/>
          <w:sz w:val="16"/>
          <w:szCs w:val="16"/>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34" w:lineRule="exact"/>
        <w:rPr>
          <w:rFonts w:ascii="Arial" w:cs="Arial" w:eastAsia="Arial" w:hAnsi="Arial"/>
          <w:sz w:val="16"/>
          <w:szCs w:val="16"/>
          <w:color w:val="auto"/>
        </w:rPr>
      </w:pPr>
    </w:p>
    <w:p>
      <w:pPr>
        <w:ind w:left="700" w:firstLine="422"/>
        <w:spacing w:after="0" w:line="255" w:lineRule="auto"/>
        <w:tabs>
          <w:tab w:leader="none" w:pos="136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Schlumberger and each Subsidiary of Schlumberger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This section does not relate to export control or trade matters or the Foreign Corrupt Practices Act, which are the subjects of Sections 6.12 and 6.13, respectively.</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171" w:lineRule="exact"/>
        <w:rPr>
          <w:sz w:val="20"/>
          <w:szCs w:val="20"/>
          <w:color w:val="auto"/>
        </w:rPr>
      </w:pPr>
    </w:p>
    <w:p>
      <w:pPr>
        <w:ind w:left="460" w:right="420" w:firstLine="881"/>
        <w:spacing w:after="0" w:line="305" w:lineRule="auto"/>
        <w:tabs>
          <w:tab w:leader="none" w:pos="1575" w:val="left"/>
        </w:tabs>
        <w:numPr>
          <w:ilvl w:val="1"/>
          <w:numId w:val="221"/>
        </w:numPr>
        <w:rPr>
          <w:rFonts w:ascii="Arial" w:cs="Arial" w:eastAsia="Arial" w:hAnsi="Arial"/>
          <w:sz w:val="15"/>
          <w:szCs w:val="15"/>
          <w:color w:val="auto"/>
        </w:rPr>
      </w:pPr>
      <w:r>
        <w:rPr>
          <w:rFonts w:ascii="Arial" w:cs="Arial" w:eastAsia="Arial" w:hAnsi="Arial"/>
          <w:sz w:val="15"/>
          <w:szCs w:val="15"/>
          <w:color w:val="auto"/>
        </w:rPr>
        <w:t>The execution, delivery and performance by Schlumberger and Merger Sub of this Agreement does not, and the consummation by Schlumberger and Merger Sub of the Merger and the other transactions contemplated by this Agreement in accordance with the terms hereof will not,</w:t>
      </w:r>
    </w:p>
    <w:p>
      <w:pPr>
        <w:ind w:left="460" w:right="60" w:firstLine="4"/>
        <w:spacing w:after="0" w:line="286" w:lineRule="auto"/>
        <w:tabs>
          <w:tab w:leader="none" w:pos="67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conflict with or result in a breach of any provisions of the articles of incorporation or bylaws of Schlumberger or the certificate of incorporation or bylaws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its Subsidiaries under, or result in being declared void, voidable, or without further binding effect, or otherwise result in a detriment to Schlumberger or any of its Subsidiaries under, any of the terms, conditions or provisions of, any loan or credit agreement, note, bond, mortgage, indenture, deed of trust, license, concession, franchise, permit, lease, contract, agreement, joint venture or other instrument or obligation to which Schlumberger or any of its Subsidiaries is a party, or by which Schlumberger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20" w:lineRule="exact"/>
        <w:rPr>
          <w:rFonts w:ascii="Arial" w:cs="Arial" w:eastAsia="Arial" w:hAnsi="Arial"/>
          <w:sz w:val="16"/>
          <w:szCs w:val="16"/>
          <w:color w:val="auto"/>
        </w:rPr>
      </w:pPr>
    </w:p>
    <w:p>
      <w:pPr>
        <w:ind w:left="460" w:firstLine="881"/>
        <w:spacing w:after="0" w:line="288" w:lineRule="auto"/>
        <w:tabs>
          <w:tab w:leader="none" w:pos="1585" w:val="left"/>
        </w:tabs>
        <w:numPr>
          <w:ilvl w:val="1"/>
          <w:numId w:val="222"/>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with respect to the filing of the Certificate of Merger, (ii) rules and regulations of the NYSE, (iii) the HSR Act, the EC Merger Regulation and such applicable competition, antitrust or premerger notification laws of the other jurisdictions set forth in Section 6.5 of the Schlumberger Disclosure Letter, (iv) the Securities Act, (v) the Exchange Act, (vi) state securities or “Blue Sky” laws and (vii) other Governmental Entities having jurisdiction over the Merger set forth in Section 6.5 of the Schlumberger Disclosure Letter ((i) through (vii) collectively, the “</w:t>
      </w:r>
      <w:r>
        <w:rPr>
          <w:rFonts w:ascii="Arial" w:cs="Arial" w:eastAsia="Arial" w:hAnsi="Arial"/>
          <w:sz w:val="16"/>
          <w:szCs w:val="16"/>
          <w:b w:val="1"/>
          <w:bCs w:val="1"/>
          <w:color w:val="auto"/>
        </w:rPr>
        <w:t>Schlumberger Approvals</w:t>
      </w:r>
      <w:r>
        <w:rPr>
          <w:rFonts w:ascii="Arial" w:cs="Arial" w:eastAsia="Arial" w:hAnsi="Arial"/>
          <w:sz w:val="16"/>
          <w:szCs w:val="16"/>
          <w:color w:val="auto"/>
        </w:rPr>
        <w:t>”), neither the execution, delivery or performance by Schlumberger and Merger Sub of this Agreement, nor the consummation by Schlumberger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87" w:lineRule="auto"/>
        <w:tabs>
          <w:tab w:leader="none" w:pos="157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Schlumberger has filed or furnished all registration statements, prospectuses, reports, schedules, forms, statements and other documents (including exhibits and any amendments thereto) required to be so filed or furnished by it with the SEC since January 1, 2006 (collectively, the “</w:t>
      </w:r>
      <w:r>
        <w:rPr>
          <w:rFonts w:ascii="Arial" w:cs="Arial" w:eastAsia="Arial" w:hAnsi="Arial"/>
          <w:sz w:val="16"/>
          <w:szCs w:val="16"/>
          <w:b w:val="1"/>
          <w:bCs w:val="1"/>
          <w:color w:val="auto"/>
        </w:rPr>
        <w:t>Schlumberger Reports</w:t>
      </w:r>
      <w:r>
        <w:rPr>
          <w:rFonts w:ascii="Arial" w:cs="Arial" w:eastAsia="Arial" w:hAnsi="Arial"/>
          <w:sz w:val="16"/>
          <w:szCs w:val="16"/>
          <w:color w:val="auto"/>
        </w:rPr>
        <w:t>”) and has made available to Smith each such document it has so filed or furnished, in the form filed with or furnished to the SEC. No Subsidiary of Schlumberger is required to file any registration statement, prospectus, report, schedule, form, statement or any other document with the SEC. No Subsidiary of Schlumberger is, or since January 1, 2006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22" w:lineRule="exact"/>
        <w:rPr>
          <w:rFonts w:ascii="Arial" w:cs="Arial" w:eastAsia="Arial" w:hAnsi="Arial"/>
          <w:sz w:val="16"/>
          <w:szCs w:val="16"/>
          <w:color w:val="auto"/>
        </w:rPr>
      </w:pPr>
    </w:p>
    <w:p>
      <w:pPr>
        <w:ind w:left="460" w:firstLine="881"/>
        <w:spacing w:after="0" w:line="290" w:lineRule="auto"/>
        <w:tabs>
          <w:tab w:leader="none" w:pos="158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18" w:lineRule="exact"/>
        <w:rPr>
          <w:rFonts w:ascii="Arial" w:cs="Arial" w:eastAsia="Arial" w:hAnsi="Arial"/>
          <w:sz w:val="16"/>
          <w:szCs w:val="16"/>
          <w:color w:val="auto"/>
        </w:rPr>
      </w:pPr>
    </w:p>
    <w:p>
      <w:pPr>
        <w:ind w:left="460" w:firstLine="881"/>
        <w:spacing w:after="0" w:line="314" w:lineRule="auto"/>
        <w:tabs>
          <w:tab w:leader="none" w:pos="1575"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 than liabilities or obligations to the extent (i) (A) reflected or reserved against on the consolidated balance sheet of Schlumberger or (B) readily apparent in the notes thereto, in each case included in Schlumberger’s annual report on Form 10-K for the year ended December 31, 2009, (ii) liabilities or obligations incurred in the ordinary course of business since December 31, 2009 or (iii) liabilities or obligations which have not had and would not reasonably be expected to have, individually or in the aggregate, a Schlumberger Material Adverse Effect.</w:t>
      </w:r>
    </w:p>
    <w:p>
      <w:pPr>
        <w:spacing w:after="0" w:line="10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291" w:lineRule="auto"/>
        <w:tabs>
          <w:tab w:leader="none" w:pos="157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Smith stockholders or at the time of the Smith Stockholders Meeting, contain any untrue statement of a material fact or omit to state any material fact required to be stated therein or necessary in order to make the statements therein, in light of the circumstances under which they were made, not misleading.</w:t>
      </w:r>
    </w:p>
    <w:p>
      <w:pPr>
        <w:spacing w:after="0" w:line="120" w:lineRule="exact"/>
        <w:rPr>
          <w:rFonts w:ascii="Arial" w:cs="Arial" w:eastAsia="Arial" w:hAnsi="Arial"/>
          <w:sz w:val="16"/>
          <w:szCs w:val="16"/>
          <w:color w:val="auto"/>
        </w:rPr>
      </w:pPr>
    </w:p>
    <w:p>
      <w:pPr>
        <w:ind w:left="460" w:right="120" w:firstLine="881"/>
        <w:spacing w:after="0" w:line="259" w:lineRule="auto"/>
        <w:tabs>
          <w:tab w:leader="none" w:pos="15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6.7, no representation or warranty is made by Schlumberger with respect to statements made or incorporated by reference in the Form S-4 or the Proxy Statement/Prospectus based on information supplied by Smith for inclusion or incorporation by reference therein.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Schlumberger, threatened against Schlumberger or any of its Subsidiaries or their respective assets, or any director, officer or employee of Schlumberger or any of its Subsidiaries or other affiliates, in each case, for whom Schlumberger or any of its Subsidiaries may be liable, or (b) litigations, arbitrations, investigations or other proceedings, or injunctions or final judgments relating thereto, pending or, to the knowledge of Schlumberger, threatened before any Governmental Entity or arbitrator against Schlumberger or any of its Subsidiaries or their respective assets, or any director, officer or employee of Schlumberger or any of its Subsidiaries or other affiliates, in each case, for whom Schlumberger or any of its Subsidiaries may be liable, except in the case of either clause (a) or (b), for those that would not, individually or in the aggregate, reasonably be expected to result in a Schlumberger Material Adverse Effect. None of Schlumberger or any of its Subsidiaries or their respective assets, or any director, officer or employee of Schlumberger or any of its Subsidiaries or other affiliates, in each case, for whom Schlumberger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does not relate to export control or trade matters or the Foreign Corrupt Practices Act, which are the subjects of Sections 6.12 and 6.13, respectively.</w:t>
      </w:r>
    </w:p>
    <w:p>
      <w:pPr>
        <w:spacing w:after="0" w:line="124" w:lineRule="exact"/>
        <w:rPr>
          <w:sz w:val="20"/>
          <w:szCs w:val="20"/>
          <w:color w:val="auto"/>
        </w:rPr>
      </w:pPr>
    </w:p>
    <w:p>
      <w:pPr>
        <w:jc w:val="both"/>
        <w:ind w:left="460" w:right="420" w:firstLine="876"/>
        <w:spacing w:after="0" w:line="259"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2009,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40"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Smith Stock Ownership</w:t>
      </w:r>
      <w:r>
        <w:rPr>
          <w:rFonts w:ascii="Arial" w:cs="Arial" w:eastAsia="Arial" w:hAnsi="Arial"/>
          <w:sz w:val="18"/>
          <w:szCs w:val="18"/>
          <w:color w:val="auto"/>
        </w:rPr>
        <w:t>. Neither Schlumberger nor any of its Subsidiaries owns any shares of capital stock of Smith or any other securities convertible into or otherwise exercisable for shares of capital stock of Smith.</w:t>
      </w:r>
    </w:p>
    <w:p>
      <w:pPr>
        <w:spacing w:after="0" w:line="132"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No Vote Required</w:t>
      </w:r>
      <w:r>
        <w:rPr>
          <w:rFonts w:ascii="Arial" w:cs="Arial" w:eastAsia="Arial" w:hAnsi="Arial"/>
          <w:sz w:val="18"/>
          <w:szCs w:val="18"/>
          <w:color w:val="auto"/>
        </w:rPr>
        <w:t>. No vote of the holders of any class or series of Schlumberger capital stock is necessary in connection with the transactions contemplated by this Agreement.</w:t>
      </w:r>
    </w:p>
    <w:p>
      <w:pPr>
        <w:spacing w:after="0" w:line="132" w:lineRule="exact"/>
        <w:rPr>
          <w:sz w:val="20"/>
          <w:szCs w:val="20"/>
          <w:color w:val="auto"/>
        </w:rPr>
      </w:pPr>
    </w:p>
    <w:p>
      <w:pPr>
        <w:ind w:left="460" w:right="480" w:firstLine="876"/>
        <w:spacing w:after="0" w:line="268"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32" w:lineRule="exact"/>
        <w:rPr>
          <w:sz w:val="20"/>
          <w:szCs w:val="20"/>
          <w:color w:val="auto"/>
        </w:rPr>
      </w:pPr>
    </w:p>
    <w:p>
      <w:pPr>
        <w:ind w:left="460" w:right="100" w:firstLine="881"/>
        <w:spacing w:after="0" w:line="288" w:lineRule="auto"/>
        <w:tabs>
          <w:tab w:leader="none" w:pos="157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Schlumberger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19" w:lineRule="exact"/>
        <w:rPr>
          <w:rFonts w:ascii="Arial" w:cs="Arial" w:eastAsia="Arial" w:hAnsi="Arial"/>
          <w:sz w:val="16"/>
          <w:szCs w:val="16"/>
          <w:color w:val="auto"/>
        </w:rPr>
      </w:pPr>
    </w:p>
    <w:p>
      <w:pPr>
        <w:ind w:left="460" w:right="40" w:firstLine="881"/>
        <w:spacing w:after="0" w:line="306" w:lineRule="auto"/>
        <w:tabs>
          <w:tab w:leader="none" w:pos="158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Schlumberger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881"/>
        <w:spacing w:after="0" w:line="259" w:lineRule="auto"/>
        <w:tabs>
          <w:tab w:leader="none" w:pos="157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40"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have not been since January 1, 2006 and, to the knowledge of Schlumberger, are not now under any administrative, civil or criminal investigation or indictment involving alleged violations of any Applicable Laws relating to export controls or trade sanctions.</w:t>
      </w:r>
    </w:p>
    <w:p>
      <w:pPr>
        <w:spacing w:after="0" w:line="140" w:lineRule="exact"/>
        <w:rPr>
          <w:rFonts w:ascii="Arial" w:cs="Arial" w:eastAsia="Arial" w:hAnsi="Arial"/>
          <w:sz w:val="18"/>
          <w:szCs w:val="18"/>
          <w:color w:val="auto"/>
        </w:rPr>
      </w:pPr>
    </w:p>
    <w:p>
      <w:pPr>
        <w:ind w:left="1580" w:hanging="239"/>
        <w:spacing w:after="0"/>
        <w:tabs>
          <w:tab w:leader="none" w:pos="15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Neither the U.S. Government nor any other Governmental Entity has notified Schlumberger or any of its affiliates in writing since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 2006 of any actual or alleged violation or breach of any Applicable Laws relating to export controls or trade sanctions.</w:t>
      </w:r>
    </w:p>
    <w:p>
      <w:pPr>
        <w:spacing w:after="0" w:line="165" w:lineRule="exact"/>
        <w:rPr>
          <w:sz w:val="20"/>
          <w:szCs w:val="20"/>
          <w:color w:val="auto"/>
        </w:rPr>
      </w:pPr>
    </w:p>
    <w:p>
      <w:pPr>
        <w:ind w:left="460" w:right="80" w:firstLine="881"/>
        <w:spacing w:after="0" w:line="259" w:lineRule="auto"/>
        <w:tabs>
          <w:tab w:leader="none" w:pos="155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has undergone or is undergoing any internal or external audit, review, inspection, investigation, survey or examination of records relating to Schlumberger’s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32" w:lineRule="exact"/>
        <w:rPr>
          <w:sz w:val="20"/>
          <w:szCs w:val="20"/>
          <w:color w:val="auto"/>
        </w:rPr>
      </w:pPr>
    </w:p>
    <w:p>
      <w:pPr>
        <w:ind w:left="460" w:right="40" w:firstLine="881"/>
        <w:spacing w:after="0" w:line="288" w:lineRule="auto"/>
        <w:tabs>
          <w:tab w:leader="none" w:pos="157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Schlumberger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19" w:lineRule="exact"/>
        <w:rPr>
          <w:rFonts w:ascii="Arial" w:cs="Arial" w:eastAsia="Arial" w:hAnsi="Arial"/>
          <w:sz w:val="16"/>
          <w:szCs w:val="16"/>
          <w:color w:val="auto"/>
        </w:rPr>
      </w:pPr>
    </w:p>
    <w:p>
      <w:pPr>
        <w:jc w:val="both"/>
        <w:ind w:left="460" w:right="340" w:firstLine="881"/>
        <w:spacing w:after="0" w:line="259" w:lineRule="auto"/>
        <w:tabs>
          <w:tab w:leader="none" w:pos="158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Schlumberger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40" w:lineRule="exact"/>
        <w:rPr>
          <w:rFonts w:ascii="Arial" w:cs="Arial" w:eastAsia="Arial" w:hAnsi="Arial"/>
          <w:sz w:val="18"/>
          <w:szCs w:val="18"/>
          <w:color w:val="auto"/>
        </w:rPr>
      </w:pPr>
    </w:p>
    <w:p>
      <w:pPr>
        <w:jc w:val="both"/>
        <w:ind w:left="460" w:right="140" w:firstLine="881"/>
        <w:spacing w:after="0" w:line="306" w:lineRule="auto"/>
        <w:tabs>
          <w:tab w:leader="none" w:pos="157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06" w:lineRule="exact"/>
        <w:rPr>
          <w:rFonts w:ascii="Arial" w:cs="Arial" w:eastAsia="Arial" w:hAnsi="Arial"/>
          <w:sz w:val="16"/>
          <w:szCs w:val="16"/>
          <w:color w:val="auto"/>
        </w:rPr>
      </w:pPr>
    </w:p>
    <w:p>
      <w:pPr>
        <w:ind w:left="460" w:right="60" w:firstLine="881"/>
        <w:spacing w:after="0" w:line="298" w:lineRule="auto"/>
        <w:tabs>
          <w:tab w:leader="none" w:pos="158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To Schlumberger’s knowledge, Schlumberger and its affiliates have not been since January 1, 2006 and are not now under any administrative, civil or criminal investigation or indictment involving alleged violations of the Foreign Corrupt Practices Act or any other applicable anticorruption or antibribery laws. Neither Schlumberger nor any of its affiliates are participating in any investigation by a Governmental Entity relating to alleged violations by Schlumberger or its affiliates of the Foreign Corrupt Practices Act or any other applicable anticorruption or antibribery laws.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80" w:firstLine="881"/>
        <w:spacing w:after="0" w:line="268" w:lineRule="auto"/>
        <w:tabs>
          <w:tab w:leader="none" w:pos="157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U.S. Government has not notified Schlumberger or any of its affiliates in writing since January 1, 2006 of any actual or alleged violation or breach of the Foreign Corrupt Practices Act or any other applicable anticorruption or antibribery law.</w:t>
      </w:r>
    </w:p>
    <w:p>
      <w:pPr>
        <w:spacing w:after="0" w:line="132" w:lineRule="exact"/>
        <w:rPr>
          <w:sz w:val="20"/>
          <w:szCs w:val="20"/>
          <w:color w:val="auto"/>
        </w:rPr>
      </w:pPr>
    </w:p>
    <w:p>
      <w:pPr>
        <w:ind w:left="460" w:firstLine="876"/>
        <w:spacing w:after="0" w:line="283"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Schlumberger nor any of its affiliates has taken or agreed to take any action or knows of any fact that would (i) 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w:t>
      </w:r>
    </w:p>
    <w:p>
      <w:pPr>
        <w:spacing w:after="0" w:line="3"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Section 367(a) of the Code. Schlumberger will satisfy the “active trade or business test” (within the meaning of Treasury Regulation 1.367(a)-3(c)(3)) applicable with respect to the Merger.</w:t>
      </w:r>
    </w:p>
    <w:p>
      <w:pPr>
        <w:spacing w:after="0" w:line="138" w:lineRule="exact"/>
        <w:rPr>
          <w:sz w:val="20"/>
          <w:szCs w:val="20"/>
          <w:color w:val="auto"/>
        </w:rPr>
      </w:pPr>
    </w:p>
    <w:p>
      <w:pPr>
        <w:ind w:left="460" w:right="620" w:firstLine="876"/>
        <w:spacing w:after="0" w:line="268"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Status of Merger Sub</w:t>
      </w:r>
      <w:r>
        <w:rPr>
          <w:rFonts w:ascii="Arial" w:cs="Arial" w:eastAsia="Arial" w:hAnsi="Arial"/>
          <w:sz w:val="18"/>
          <w:szCs w:val="18"/>
          <w:color w:val="auto"/>
        </w:rPr>
        <w:t>. Merger Sub was formed solely for the purpose of participating in the Merger and has conducted no activities to date other than in connection with the Merger.</w:t>
      </w:r>
    </w:p>
    <w:p>
      <w:pPr>
        <w:spacing w:after="0" w:line="132" w:lineRule="exact"/>
        <w:rPr>
          <w:sz w:val="20"/>
          <w:szCs w:val="20"/>
          <w:color w:val="auto"/>
        </w:rPr>
      </w:pPr>
    </w:p>
    <w:p>
      <w:pPr>
        <w:ind w:left="460" w:right="80" w:firstLine="876"/>
        <w:spacing w:after="0" w:line="318" w:lineRule="auto"/>
        <w:rPr>
          <w:sz w:val="20"/>
          <w:szCs w:val="20"/>
          <w:color w:val="auto"/>
        </w:rPr>
      </w:pPr>
      <w:r>
        <w:rPr>
          <w:rFonts w:ascii="Arial" w:cs="Arial" w:eastAsia="Arial" w:hAnsi="Arial"/>
          <w:sz w:val="15"/>
          <w:szCs w:val="15"/>
          <w:color w:val="auto"/>
        </w:rPr>
        <w:t xml:space="preserve">Section 6.16 </w:t>
      </w:r>
      <w:r>
        <w:rPr>
          <w:rFonts w:ascii="Arial" w:cs="Arial" w:eastAsia="Arial" w:hAnsi="Arial"/>
          <w:sz w:val="15"/>
          <w:szCs w:val="15"/>
          <w:i w:val="1"/>
          <w:iCs w:val="1"/>
          <w:color w:val="auto"/>
        </w:rPr>
        <w:t>Decrees, Etc</w:t>
      </w:r>
      <w:r>
        <w:rPr>
          <w:rFonts w:ascii="Arial" w:cs="Arial" w:eastAsia="Arial" w:hAnsi="Arial"/>
          <w:sz w:val="15"/>
          <w:szCs w:val="15"/>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or any of its Subsidiaries that continues to be in effect that affects the ownership or operation of any of their respective assets or that involves an amount greater than $25 million and (b) since December 31, 2006, no criminal order, writ, fine, injunction, decree, judgment or determination of any Governmental Entity has been issued against Schlumberger or any of its Subsidiaries.</w:t>
      </w:r>
    </w:p>
    <w:p>
      <w:pPr>
        <w:spacing w:after="0" w:line="10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332" w:lineRule="auto"/>
        <w:tabs>
          <w:tab w:leader="none" w:pos="157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85" w:lineRule="exact"/>
        <w:rPr>
          <w:rFonts w:ascii="Arial" w:cs="Arial" w:eastAsia="Arial" w:hAnsi="Arial"/>
          <w:sz w:val="16"/>
          <w:szCs w:val="16"/>
          <w:color w:val="auto"/>
        </w:rPr>
      </w:pPr>
    </w:p>
    <w:p>
      <w:pPr>
        <w:jc w:val="both"/>
        <w:ind w:left="460" w:right="180" w:firstLine="881"/>
        <w:spacing w:after="0" w:line="255" w:lineRule="auto"/>
        <w:tabs>
          <w:tab w:leader="none" w:pos="158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42" w:lineRule="exact"/>
        <w:rPr>
          <w:rFonts w:ascii="Arial" w:cs="Arial" w:eastAsia="Arial" w:hAnsi="Arial"/>
          <w:sz w:val="18"/>
          <w:szCs w:val="18"/>
          <w:color w:val="auto"/>
        </w:rPr>
      </w:pPr>
    </w:p>
    <w:p>
      <w:pPr>
        <w:ind w:left="460" w:firstLine="881"/>
        <w:spacing w:after="0" w:line="294" w:lineRule="auto"/>
        <w:tabs>
          <w:tab w:leader="none" w:pos="157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Schlumberger has (i) designed and maintained disclosure controls and procedures (as defined in Rule 13a-15(e) under the Exchange Act) as required by Rule 13a-15 under the Exchange Act, and (ii) disclosed, based on its most recent evaluation and knowledge, to its auditors and the audit committee of the Schlumberger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15" w:lineRule="exact"/>
        <w:rPr>
          <w:rFonts w:ascii="Arial" w:cs="Arial" w:eastAsia="Arial" w:hAnsi="Arial"/>
          <w:sz w:val="16"/>
          <w:szCs w:val="16"/>
          <w:color w:val="auto"/>
        </w:rPr>
      </w:pPr>
    </w:p>
    <w:p>
      <w:pPr>
        <w:ind w:left="460" w:right="20" w:firstLine="881"/>
        <w:spacing w:after="0" w:line="255" w:lineRule="auto"/>
        <w:tabs>
          <w:tab w:leader="none" w:pos="158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2009, and such assessment concluded that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0"/>
        <w:spacing w:after="0" w:line="256" w:lineRule="auto"/>
        <w:rPr>
          <w:sz w:val="20"/>
          <w:szCs w:val="20"/>
          <w:color w:val="auto"/>
        </w:rPr>
      </w:pPr>
      <w:r>
        <w:rPr>
          <w:rFonts w:ascii="Arial" w:cs="Arial" w:eastAsia="Arial" w:hAnsi="Arial"/>
          <w:sz w:val="18"/>
          <w:szCs w:val="18"/>
          <w:color w:val="auto"/>
        </w:rPr>
        <w:t>internal controls were effective using the framework specified in Schlumberger’s annual report on Form 10-K for the year ended December 31, 2009.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43" w:lineRule="exact"/>
        <w:rPr>
          <w:sz w:val="20"/>
          <w:szCs w:val="20"/>
          <w:color w:val="auto"/>
        </w:rPr>
      </w:pPr>
    </w:p>
    <w:p>
      <w:pPr>
        <w:ind w:left="460" w:right="580" w:firstLine="881"/>
        <w:spacing w:after="0" w:line="332" w:lineRule="auto"/>
        <w:tabs>
          <w:tab w:leader="none" w:pos="157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No personal loan or other extension of credit by Schlumberger to any of its or their executive officers or directors has been made or modified (other than as permitted by Section 13 of the Exchange Act and Section 402 of the Sarbanes-Oxley Act) since July 30, 2002.</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Conduct of Business</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9" w:lineRule="auto"/>
        <w:tabs>
          <w:tab w:leader="none" w:pos="157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Smith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Smith and its Subsidiaries shall be conducted in the ordinary course of business and, to the extent consistent therewith, Smith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Smith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action by Smith or its Subsidiaries with respect to matters specifically addressed by Section 7.1(b) shall be deemed to be a breach of this sentence unless such action would constitute a breach of Section 7.1(b).</w:t>
      </w:r>
    </w:p>
    <w:p>
      <w:pPr>
        <w:spacing w:after="0" w:line="118" w:lineRule="exact"/>
        <w:rPr>
          <w:rFonts w:ascii="Arial" w:cs="Arial" w:eastAsia="Arial" w:hAnsi="Arial"/>
          <w:sz w:val="16"/>
          <w:szCs w:val="16"/>
          <w:color w:val="auto"/>
        </w:rPr>
      </w:pPr>
    </w:p>
    <w:p>
      <w:pPr>
        <w:ind w:left="460" w:right="60" w:firstLine="881"/>
        <w:spacing w:after="0" w:line="306" w:lineRule="auto"/>
        <w:tabs>
          <w:tab w:leader="none" w:pos="158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7.1 of the Smith Disclosure Letter, or (D) as required by Applicable Law, Smith will not and will not permit any of its Subsidiaries to:</w:t>
      </w:r>
    </w:p>
    <w:p>
      <w:pPr>
        <w:spacing w:after="0" w:line="107" w:lineRule="exact"/>
        <w:rPr>
          <w:sz w:val="20"/>
          <w:szCs w:val="20"/>
          <w:color w:val="auto"/>
        </w:rPr>
      </w:pPr>
    </w:p>
    <w:p>
      <w:pPr>
        <w:ind w:left="920" w:firstLine="421"/>
        <w:spacing w:after="0" w:line="268" w:lineRule="auto"/>
        <w:tabs>
          <w:tab w:leader="none" w:pos="154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adopt any change in, or waive any provision of, its certificate of incorporation or bylaws or other applicable governing instruments, or adopt any change in, or waive any provision of, the Rights Agreement;</w:t>
      </w:r>
    </w:p>
    <w:p>
      <w:pPr>
        <w:spacing w:after="0" w:line="50" w:lineRule="exact"/>
        <w:rPr>
          <w:rFonts w:ascii="Arial" w:cs="Arial" w:eastAsia="Arial" w:hAnsi="Arial"/>
          <w:sz w:val="18"/>
          <w:szCs w:val="18"/>
          <w:color w:val="auto"/>
        </w:rPr>
      </w:pPr>
    </w:p>
    <w:p>
      <w:pPr>
        <w:ind w:left="920" w:right="180" w:firstLine="421"/>
        <w:spacing w:after="0" w:line="332" w:lineRule="auto"/>
        <w:tabs>
          <w:tab w:leader="none" w:pos="159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merge or consolidate Smith or any of its Subsidiaries with any other person, except as permitted under Section 7.1(b)(viii) and except for any such transactions among wholly owned Subsidiaries of Smith that are not obligors or guarantors of third-party indebtedness;</w:t>
      </w:r>
    </w:p>
    <w:p>
      <w:pPr>
        <w:spacing w:after="0" w:line="4" w:lineRule="exact"/>
        <w:rPr>
          <w:rFonts w:ascii="Arial" w:cs="Arial" w:eastAsia="Arial" w:hAnsi="Arial"/>
          <w:sz w:val="16"/>
          <w:szCs w:val="16"/>
          <w:color w:val="auto"/>
        </w:rPr>
      </w:pPr>
    </w:p>
    <w:p>
      <w:pPr>
        <w:ind w:left="920" w:right="120" w:firstLine="421"/>
        <w:spacing w:after="0" w:line="288" w:lineRule="auto"/>
        <w:tabs>
          <w:tab w:leader="none" w:pos="16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Smith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Smith or any Subsidiary, other than issuances of shares of Smith Common Stock upon exercise of Smith Options outstanding on the date of this Agreement and except as permitted under Section 7.1(b)(iv); or (2) repurchase, redeem or otherwise acquire any securities or equity equivalents except in the ordinary course of business in connection with (x) the cashless exercise of Smith Options in accordance with the Smith Stock Plans, (y) the settlement of Smith Stock Incentive Awards or Smith Options, in each case, in order to satisfy withholding or exercise price obligations in accordance with the Smith Stock Plans, or (z) equity compensation grants permitted by Section 7.1(b)(iv);</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40" w:hanging="299"/>
        <w:spacing w:after="0"/>
        <w:tabs>
          <w:tab w:leader="none" w:pos="164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except to the extent required under any Smith Benefit Plan as in effect on the date of this Agreement or as required by Applicable Law,</w:t>
      </w:r>
    </w:p>
    <w:p>
      <w:pPr>
        <w:spacing w:after="0" w:line="38" w:lineRule="exact"/>
        <w:rPr>
          <w:rFonts w:ascii="Arial" w:cs="Arial" w:eastAsia="Arial" w:hAnsi="Arial"/>
          <w:sz w:val="16"/>
          <w:szCs w:val="16"/>
          <w:color w:val="auto"/>
        </w:rPr>
      </w:pPr>
    </w:p>
    <w:p>
      <w:pPr>
        <w:ind w:left="920" w:firstLine="1"/>
        <w:spacing w:after="0" w:line="283" w:lineRule="auto"/>
        <w:tabs>
          <w:tab w:leader="none" w:pos="1169"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increase the compensation (including bonus opportunities) or fringe benefits of any of its directors, executive officers or employees (except in the ordinary course of business consistent with past practice with employees who are not parties to a change in control agreement, it being understood that this clause does not limit payment of annual bonuses or grants of equity compensation awards in the ordinary course of business to employees who are party to a change of control agreement), (2) grant any severance or termination pay, other than nominal severance to terminated employees, except in the ordinary course of business consistent with past practice, (3) make any new equity awards to any director, officer or employee, except in the ordinary course of business consistent with past practice, which equity awards (x) shall provide that the consummation of the transactions contemplated by this Agreement will not result in a change-in-control acceleration (but, except as set forth on Schedule 7.1(b)(iv)(3) of the Smith Disclosure Letter, may provide for an acceleration of vesting upon a severance-qualifying termination of employment subsequent to such consummation but prior to the applicable vesting date, and may, in the case of awards with performance vesting conditions, provide for a conversion upon such consummation solely into time-vesting at the target level) and (y) shall not be made in the form of shares of restricted Smith Common Stock,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Smith Benefit Plan or take any action to accelerate entitlement to benefits under any Smith Benefit Plan, in each such case, except as otherwise permitted pursuant to clauses (1), (2), (3) or (4) of this paragraph or as necessary to effectuate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any tax gross-up or tax reimbursement feature be granted or made more favorable to any individual, (6) make any contribution to any Smith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Smith Benefit Plan, except as required by the terms of the Smith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 (9) terminate the employment of any holder of a change-in-control agreement other than for “cause” (within the meaning of such agreement); and (10) execute or amend any collective bargaining agreement with any labor organization except in the ordinary course of business;</w:t>
      </w:r>
    </w:p>
    <w:p>
      <w:pPr>
        <w:spacing w:after="0" w:line="53" w:lineRule="exact"/>
        <w:rPr>
          <w:rFonts w:ascii="Arial" w:cs="Arial" w:eastAsia="Arial" w:hAnsi="Arial"/>
          <w:sz w:val="16"/>
          <w:szCs w:val="16"/>
          <w:color w:val="auto"/>
        </w:rPr>
      </w:pPr>
    </w:p>
    <w:p>
      <w:pPr>
        <w:ind w:left="920" w:right="160" w:firstLine="421"/>
        <w:spacing w:after="0" w:line="283" w:lineRule="auto"/>
        <w:tabs>
          <w:tab w:leader="none" w:pos="1588" w:val="left"/>
        </w:tabs>
        <w:numPr>
          <w:ilvl w:val="1"/>
          <w:numId w:val="235"/>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Smith or any of its Subsidiaries, except for (1) dividends by any direct or indirect Subsidiary only to Smith or any wholly owned Subsidiary of Smith in the ordinary course of business consistent with past practice, (2) pro rata dividends by any Subsidiary of Smith included in the Joint Venture, or</w:t>
      </w:r>
    </w:p>
    <w:p>
      <w:pPr>
        <w:spacing w:after="0" w:line="2" w:lineRule="exact"/>
        <w:rPr>
          <w:rFonts w:ascii="Arial" w:cs="Arial" w:eastAsia="Arial" w:hAnsi="Arial"/>
          <w:sz w:val="16"/>
          <w:szCs w:val="16"/>
          <w:color w:val="auto"/>
        </w:rPr>
      </w:pPr>
    </w:p>
    <w:p>
      <w:pPr>
        <w:ind w:left="920" w:firstLine="1"/>
        <w:spacing w:after="0" w:line="252" w:lineRule="auto"/>
        <w:tabs>
          <w:tab w:leader="none" w:pos="116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regular quarterly dividends on shares of Smith Common Stock (but not to exceed $0.12 per share for each regular quarterly dividend) with declaration, record and payment dates reasonably consistent with Smith’s past practice for the comparable quarter, it being agreed that declarations of dividends between the date hereof and the consummation of the Merger will provide that such dividend is not payable if the Merger is consummated prior to the relevant record date, (4) dividends or distributions required under the applicable organizational documents of such entity in effect on the date of this Agreement, or (5) dividends or distributions consistent with past practice with respect to the Subsidiaries that are listed in Section 7.1(b)(v) of the Smith Disclosure Letter;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firstLine="421"/>
        <w:spacing w:after="0" w:line="306" w:lineRule="auto"/>
        <w:tabs>
          <w:tab w:leader="none" w:pos="163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redeem, purchase or otherwise acquire, directly or indirectly, any of Smith’s or any of its Subsidiaries’ capital stock, or make any commitment for any such action other than pursuant to the Smith Stock Plans and the expiration of Smith Rights as contemplated by Section 7.14 and other than transactions between Smith and its wholly-owned Subsidiaries and transactions among Smith’s wholly-owned Subsidiaries;</w:t>
      </w:r>
    </w:p>
    <w:p>
      <w:pPr>
        <w:spacing w:after="0" w:line="25" w:lineRule="exact"/>
        <w:rPr>
          <w:rFonts w:ascii="Arial" w:cs="Arial" w:eastAsia="Arial" w:hAnsi="Arial"/>
          <w:sz w:val="16"/>
          <w:szCs w:val="16"/>
          <w:color w:val="auto"/>
        </w:rPr>
      </w:pPr>
    </w:p>
    <w:p>
      <w:pPr>
        <w:ind w:left="920" w:right="20" w:firstLine="421"/>
        <w:spacing w:after="0" w:line="291" w:lineRule="auto"/>
        <w:tabs>
          <w:tab w:leader="none" w:pos="168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sell, lease, license, subject to a Lien, encumber (including by the grant of any option thereon) or otherwise surrender, relinquish or dispose of any of the assets or properties of Smith or its Subsidiaries (including capital stock of Subsidiaries), except for (1) sales, leases, licenses or other dispositions of assets or properties with a fair market value not in excess of $10 million in respect of any one asset or property and not in excess of $50 million in the aggregate in 2010 and $25 million in the aggregate in 2011, (2) sales of surplus or obsolete equipment, (3) sales, leases, licenses or other transfers between Smith and its wholly owned Subsidiaries or between those Subsidiaries, or (4) sales of inventory, products and services and recognition of “lost-in-hole” products in the ordinary course of business consistent with past practice;</w:t>
      </w:r>
    </w:p>
    <w:p>
      <w:pPr>
        <w:spacing w:after="0" w:line="39" w:lineRule="exact"/>
        <w:rPr>
          <w:rFonts w:ascii="Arial" w:cs="Arial" w:eastAsia="Arial" w:hAnsi="Arial"/>
          <w:sz w:val="16"/>
          <w:szCs w:val="16"/>
          <w:color w:val="auto"/>
        </w:rPr>
      </w:pPr>
    </w:p>
    <w:p>
      <w:pPr>
        <w:ind w:left="920" w:right="60" w:firstLine="421"/>
        <w:spacing w:after="0" w:line="294" w:lineRule="auto"/>
        <w:tabs>
          <w:tab w:leader="none" w:pos="173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(1) for consideration in excess of $30 million in respect of any one acquisition or for aggregate consideration for all such acquisitions in excess of $100 million in 2010 and $30 million in the aggregate in 2011 or (2) where a filing under the HSR Act or any non-U.S. competition, antitrust or premerger notification laws is required;</w:t>
      </w:r>
    </w:p>
    <w:p>
      <w:pPr>
        <w:spacing w:after="0" w:line="34" w:lineRule="exact"/>
        <w:rPr>
          <w:rFonts w:ascii="Arial" w:cs="Arial" w:eastAsia="Arial" w:hAnsi="Arial"/>
          <w:sz w:val="16"/>
          <w:szCs w:val="16"/>
          <w:color w:val="auto"/>
        </w:rPr>
      </w:pPr>
    </w:p>
    <w:p>
      <w:pPr>
        <w:ind w:left="920" w:right="60" w:firstLine="421"/>
        <w:spacing w:after="0" w:line="306" w:lineRule="auto"/>
        <w:tabs>
          <w:tab w:leader="none" w:pos="163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enter into any joint venture, partnership or other similar arrangement or make any loan, capital contribution or advance to or investment in any other person (other than Smith or any wholly owned Subsidiary of Smith) other than in the ordinary course of business consistent with past practice in an amount not exceeding $20 million individually or $50 million in the aggregate in 2010 and $15 million in the aggregate in 2011;</w:t>
      </w:r>
    </w:p>
    <w:p>
      <w:pPr>
        <w:spacing w:after="0" w:line="25" w:lineRule="exact"/>
        <w:rPr>
          <w:rFonts w:ascii="Arial" w:cs="Arial" w:eastAsia="Arial" w:hAnsi="Arial"/>
          <w:sz w:val="16"/>
          <w:szCs w:val="16"/>
          <w:color w:val="auto"/>
        </w:rPr>
      </w:pPr>
    </w:p>
    <w:p>
      <w:pPr>
        <w:ind w:left="920" w:right="120" w:firstLine="421"/>
        <w:spacing w:after="0" w:line="256" w:lineRule="auto"/>
        <w:tabs>
          <w:tab w:leader="none" w:pos="158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sell, transfer or license to any person, covenant not to sue regarding, or adversely amend or modify any rights (1) to any material Intellectual Property Rights of Smith or any of its Subsidiaries or (2) distribute, license or co-promote products or services (including products or services under development) of Smith or any of its Subsidiaries or products or services (including products or services under development) licensed by Smith or any of its Subsidiaries;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make any changes with respect to financial accounting policies or procedures, except as required by changes in GAAP or by Applicable</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83" w:lineRule="exact"/>
        <w:rPr>
          <w:rFonts w:ascii="Arial" w:cs="Arial" w:eastAsia="Arial" w:hAnsi="Arial"/>
          <w:sz w:val="16"/>
          <w:szCs w:val="16"/>
          <w:color w:val="auto"/>
        </w:rPr>
      </w:pPr>
    </w:p>
    <w:p>
      <w:pPr>
        <w:ind w:left="920" w:firstLine="421"/>
        <w:spacing w:after="0" w:line="289" w:lineRule="auto"/>
        <w:tabs>
          <w:tab w:leader="none" w:pos="168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except to the extent required by Applicable Law, (A) make or rescind any election relating to Taxes, including elections for any and all joint ventures, partnerships, limited liability companies, working interests or other investments where it has the capacity to make such binding election, (B) settle or compromise any claim, action, suit, litigation, proceeding, arbitration, investigation, audit or controversy (including by entering into any closing agreement) (each, a “</w:t>
      </w:r>
      <w:r>
        <w:rPr>
          <w:rFonts w:ascii="Arial" w:cs="Arial" w:eastAsia="Arial" w:hAnsi="Arial"/>
          <w:sz w:val="16"/>
          <w:szCs w:val="16"/>
          <w:b w:val="1"/>
          <w:bCs w:val="1"/>
          <w:color w:val="auto"/>
        </w:rPr>
        <w:t>Proceeding</w:t>
      </w:r>
      <w:r>
        <w:rPr>
          <w:rFonts w:ascii="Arial" w:cs="Arial" w:eastAsia="Arial" w:hAnsi="Arial"/>
          <w:sz w:val="16"/>
          <w:szCs w:val="16"/>
          <w:color w:val="auto"/>
        </w:rPr>
        <w:t>”), relating to Taxes for an amount that exceeds the amount reserved, in accordance with GAAP, with respect thereto, (C) change any of its methods of reporting any item for Tax purposes from those employed in the preparation of its tax returns for the most recent taxable year for which a return has been filed, (D) change any annual tax accounting period, (E) surrender any right to claim any Tax refund, or (F) file any amended tax return, in each case of clauses (A) through (F), if such action would have an adverse effect on Smith and its Subsidiaries that is material;</w:t>
      </w:r>
    </w:p>
    <w:p>
      <w:pPr>
        <w:spacing w:after="0" w:line="37" w:lineRule="exact"/>
        <w:rPr>
          <w:rFonts w:ascii="Arial" w:cs="Arial" w:eastAsia="Arial" w:hAnsi="Arial"/>
          <w:sz w:val="16"/>
          <w:szCs w:val="16"/>
          <w:color w:val="auto"/>
        </w:rPr>
      </w:pPr>
    </w:p>
    <w:p>
      <w:pPr>
        <w:ind w:left="920" w:right="260" w:firstLine="421"/>
        <w:spacing w:after="0" w:line="306" w:lineRule="auto"/>
        <w:tabs>
          <w:tab w:leader="none" w:pos="173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settle or compromise any Proceeding, enter into any consent, decree, injunction or similar restraint or form of equitable relief in settlement of any material Proceeding or waive, release or assign any rights or claims for amounts (net of any reasonably expected insurance or indemnification proceeds) greater than $5 million individually or $25 million in the aggregate in 2010 and $12.5 million in the aggregate in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firstLine="421"/>
        <w:spacing w:after="0" w:line="314" w:lineRule="auto"/>
        <w:tabs>
          <w:tab w:leader="none" w:pos="1725" w:val="left"/>
        </w:tabs>
        <w:numPr>
          <w:ilvl w:val="1"/>
          <w:numId w:val="238"/>
        </w:numPr>
        <w:rPr>
          <w:rFonts w:ascii="Arial" w:cs="Arial" w:eastAsia="Arial" w:hAnsi="Arial"/>
          <w:sz w:val="15"/>
          <w:szCs w:val="15"/>
          <w:color w:val="auto"/>
        </w:rPr>
      </w:pPr>
      <w:r>
        <w:rPr>
          <w:rFonts w:ascii="Arial" w:cs="Arial" w:eastAsia="Arial" w:hAnsi="Arial"/>
          <w:sz w:val="15"/>
          <w:szCs w:val="15"/>
          <w:color w:val="auto"/>
        </w:rPr>
        <w:t>create, incur or assume any Debt or guarantee any Debt of another person, issue or sell any debt securities or calls, options, warrants or other rights to acquire any debt securities of Smith or any of its Subsidiaries, guarantee any debt securities of another person, enter into any “keep well” or other Contract to maintain any financial condition of another person or enter into any arrangement having the economic effect of any of the foregoing, except (1) indebtedness for borrowed money incurred under Smith’s existing credit facility, working capital facilities, or other existing similar lines of credit in the ordinary course of business, (2) other Debt not to exceed $50 million in the aggregate in 2010 and $25 million in the aggregate in 2011, and (3) intercompany Debt among Smith and its Subsidiaries in the ordinary course of business consistent with past practice;</w:t>
      </w:r>
    </w:p>
    <w:p>
      <w:pPr>
        <w:spacing w:after="0" w:line="23" w:lineRule="exact"/>
        <w:rPr>
          <w:rFonts w:ascii="Arial" w:cs="Arial" w:eastAsia="Arial" w:hAnsi="Arial"/>
          <w:sz w:val="15"/>
          <w:szCs w:val="15"/>
          <w:color w:val="auto"/>
        </w:rPr>
      </w:pPr>
    </w:p>
    <w:p>
      <w:pPr>
        <w:ind w:left="920" w:right="80" w:firstLine="421"/>
        <w:spacing w:after="0" w:line="294" w:lineRule="auto"/>
        <w:tabs>
          <w:tab w:leader="none" w:pos="1676" w:val="left"/>
        </w:tabs>
        <w:numPr>
          <w:ilvl w:val="1"/>
          <w:numId w:val="238"/>
        </w:numPr>
        <w:rPr>
          <w:rFonts w:ascii="Arial" w:cs="Arial" w:eastAsia="Arial" w:hAnsi="Arial"/>
          <w:sz w:val="16"/>
          <w:szCs w:val="16"/>
          <w:color w:val="auto"/>
        </w:rPr>
      </w:pPr>
      <w:r>
        <w:rPr>
          <w:rFonts w:ascii="Arial" w:cs="Arial" w:eastAsia="Arial" w:hAnsi="Arial"/>
          <w:sz w:val="16"/>
          <w:szCs w:val="16"/>
          <w:color w:val="auto"/>
        </w:rPr>
        <w:t>repurchase, repay, defease or pre-pay any Debt, except (1) repayments in the ordinary course of business, (2) repayments of mortgage indebtedness secured by one or more real property assets of Smith or any of its Subsidiaries in accordance with their terms, as such loans become due and payable or payment of Debt in accordance with its terms or (3) repayments of indebtedness by a Subsidiary of Smith to Smith or its wholly-owned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34" w:lineRule="exact"/>
        <w:rPr>
          <w:rFonts w:ascii="Arial" w:cs="Arial" w:eastAsia="Arial" w:hAnsi="Arial"/>
          <w:sz w:val="16"/>
          <w:szCs w:val="16"/>
          <w:color w:val="auto"/>
        </w:rPr>
      </w:pPr>
    </w:p>
    <w:p>
      <w:pPr>
        <w:ind w:left="920" w:right="120" w:firstLine="421"/>
        <w:spacing w:after="0" w:line="268" w:lineRule="auto"/>
        <w:tabs>
          <w:tab w:leader="none" w:pos="172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mortgage or pledge, or suffer to exist any Liens (other than Permitted Liens) on, any material asset or property, other than sales of assets or properties, and at or above the price, identified in Section 7.1(b)(xvi) of the Smith Disclosure Letter;</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77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except for capital expenditures for items and in the amounts (other than immaterial changes) set forth in the capital budget included in Section 7.1(b)(xvii) of the Smith Disclosure Letter, make, authorize or enter into any commitment for any capital expenditures in excess of $25 million in the aggregate in 2010 and $12.5 million in the aggregate in 2011;</w:t>
      </w:r>
    </w:p>
    <w:p>
      <w:pPr>
        <w:spacing w:after="0" w:line="59" w:lineRule="exact"/>
        <w:rPr>
          <w:rFonts w:ascii="Arial" w:cs="Arial" w:eastAsia="Arial" w:hAnsi="Arial"/>
          <w:sz w:val="18"/>
          <w:szCs w:val="18"/>
          <w:color w:val="auto"/>
        </w:rPr>
      </w:pPr>
    </w:p>
    <w:p>
      <w:pPr>
        <w:ind w:left="920" w:firstLine="421"/>
        <w:spacing w:after="0" w:line="255" w:lineRule="auto"/>
        <w:tabs>
          <w:tab w:leader="none" w:pos="1823" w:val="left"/>
        </w:tabs>
        <w:numPr>
          <w:ilvl w:val="1"/>
          <w:numId w:val="238"/>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Smith and its Subsidiaries or (3) enter into any new agreement that would have been a contract specified in paragraphs (vi), (vii), (ix) (unless permitted by Section 7.1(b)(xiv) or by Section 7.1(b)(xvi)) or (x) of Section 5.21 if it were entered into at or prior to the date hereof;</w:t>
      </w:r>
    </w:p>
    <w:p>
      <w:pPr>
        <w:spacing w:after="0" w:line="61" w:lineRule="exact"/>
        <w:rPr>
          <w:rFonts w:ascii="Arial" w:cs="Arial" w:eastAsia="Arial" w:hAnsi="Arial"/>
          <w:sz w:val="18"/>
          <w:szCs w:val="18"/>
          <w:color w:val="auto"/>
        </w:rPr>
      </w:pPr>
    </w:p>
    <w:p>
      <w:pPr>
        <w:jc w:val="both"/>
        <w:ind w:left="920" w:right="60" w:firstLine="421"/>
        <w:spacing w:after="0" w:line="256" w:lineRule="auto"/>
        <w:tabs>
          <w:tab w:leader="none" w:pos="172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Smith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62" w:lineRule="exact"/>
        <w:rPr>
          <w:rFonts w:ascii="Arial" w:cs="Arial" w:eastAsia="Arial" w:hAnsi="Arial"/>
          <w:sz w:val="18"/>
          <w:szCs w:val="18"/>
          <w:color w:val="auto"/>
        </w:rPr>
      </w:pPr>
    </w:p>
    <w:p>
      <w:pPr>
        <w:ind w:left="920" w:right="20" w:firstLine="421"/>
        <w:spacing w:after="0" w:line="268" w:lineRule="auto"/>
        <w:tabs>
          <w:tab w:leader="none" w:pos="1676"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Smith or any of its Subsidiaries;</w:t>
      </w:r>
    </w:p>
    <w:p>
      <w:pPr>
        <w:spacing w:after="0" w:line="50" w:lineRule="exact"/>
        <w:rPr>
          <w:rFonts w:ascii="Arial" w:cs="Arial" w:eastAsia="Arial" w:hAnsi="Arial"/>
          <w:sz w:val="18"/>
          <w:szCs w:val="18"/>
          <w:color w:val="auto"/>
        </w:rPr>
      </w:pPr>
    </w:p>
    <w:p>
      <w:pPr>
        <w:ind w:left="920" w:right="40" w:firstLine="421"/>
        <w:spacing w:after="0" w:line="302" w:lineRule="auto"/>
        <w:tabs>
          <w:tab w:leader="none" w:pos="1725" w:val="left"/>
        </w:tabs>
        <w:numPr>
          <w:ilvl w:val="1"/>
          <w:numId w:val="238"/>
        </w:numPr>
        <w:rPr>
          <w:rFonts w:ascii="Arial" w:cs="Arial" w:eastAsia="Arial" w:hAnsi="Arial"/>
          <w:sz w:val="15"/>
          <w:szCs w:val="15"/>
          <w:color w:val="auto"/>
        </w:rPr>
      </w:pPr>
      <w:r>
        <w:rPr>
          <w:rFonts w:ascii="Arial" w:cs="Arial" w:eastAsia="Arial" w:hAnsi="Arial"/>
          <w:sz w:val="15"/>
          <w:szCs w:val="15"/>
          <w:color w:val="auto"/>
        </w:rPr>
        <w:t>(1) adjust, reclassify, split, combine, subdivide or repurchase, redeem or otherwise acquire, directly or indirectly, any shares of capital stock or other equity interest of Smith or any of its Subsidiaries or securities convertible or exchangeable into or exercisable for any shares of capital stock or other equity interest of Smith or any of its Subsidiaries (except for any adjustment, reclassifications, stock splits, repurchases, redemptions or other acquisitions by Smith or any of its wholly owned Subsidiaries of capital stock or equity interests of wholly owned Subsidiaries of Smith), or</w:t>
      </w:r>
    </w:p>
    <w:p>
      <w:pPr>
        <w:spacing w:after="0" w:line="2" w:lineRule="exact"/>
        <w:rPr>
          <w:rFonts w:ascii="Arial" w:cs="Arial" w:eastAsia="Arial" w:hAnsi="Arial"/>
          <w:sz w:val="15"/>
          <w:szCs w:val="15"/>
          <w:color w:val="auto"/>
        </w:rPr>
      </w:pPr>
    </w:p>
    <w:p>
      <w:pPr>
        <w:ind w:left="920" w:right="280" w:firstLine="1"/>
        <w:spacing w:after="0" w:line="261" w:lineRule="auto"/>
        <w:tabs>
          <w:tab w:leader="none" w:pos="116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purchase or otherwise acquire, directly or indirectly, any of the capital stock of Schlumberger or securities convertible or exchangeable into or exercisable for any shares of capital stock of Schlumberger;</w:t>
      </w:r>
    </w:p>
    <w:p>
      <w:pPr>
        <w:spacing w:after="0" w:line="56" w:lineRule="exact"/>
        <w:rPr>
          <w:rFonts w:ascii="Arial" w:cs="Arial" w:eastAsia="Arial" w:hAnsi="Arial"/>
          <w:sz w:val="18"/>
          <w:szCs w:val="18"/>
          <w:color w:val="auto"/>
        </w:rPr>
      </w:pPr>
    </w:p>
    <w:p>
      <w:pPr>
        <w:jc w:val="both"/>
        <w:ind w:left="920" w:right="100" w:firstLine="421"/>
        <w:spacing w:after="0" w:line="332" w:lineRule="auto"/>
        <w:tabs>
          <w:tab w:leader="none" w:pos="1774" w:val="left"/>
        </w:tabs>
        <w:numPr>
          <w:ilvl w:val="1"/>
          <w:numId w:val="239"/>
        </w:numPr>
        <w:rPr>
          <w:rFonts w:ascii="Arial" w:cs="Arial" w:eastAsia="Arial" w:hAnsi="Arial"/>
          <w:sz w:val="16"/>
          <w:szCs w:val="16"/>
          <w:color w:val="auto"/>
        </w:rPr>
      </w:pPr>
      <w:r>
        <w:rPr>
          <w:rFonts w:ascii="Arial" w:cs="Arial" w:eastAsia="Arial" w:hAnsi="Arial"/>
          <w:sz w:val="16"/>
          <w:szCs w:val="16"/>
          <w:color w:val="auto"/>
        </w:rPr>
        <w:t>release or permit the release of any person from, waive or permit the waiver of any right under, fail to enforce any provision of, or grant any consent or make any election under, any confidentiality, “standstill” or similar agreement to which Smith or any of its Subsidiaries is a party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720"/>
        <w:spacing w:after="0" w:line="268" w:lineRule="auto"/>
        <w:rPr>
          <w:sz w:val="20"/>
          <w:szCs w:val="20"/>
          <w:color w:val="auto"/>
        </w:rPr>
      </w:pPr>
      <w:r>
        <w:rPr>
          <w:rFonts w:ascii="Arial" w:cs="Arial" w:eastAsia="Arial" w:hAnsi="Arial"/>
          <w:sz w:val="18"/>
          <w:szCs w:val="18"/>
          <w:color w:val="auto"/>
        </w:rPr>
        <w:t>take any action to exempt any person other than Merger Sub and its affiliates from the restrictions on “business combinations” contained in Section 203 of the DGCL or the effects set forth in the Rights Agreement;</w:t>
      </w:r>
    </w:p>
    <w:p>
      <w:pPr>
        <w:spacing w:after="0" w:line="51" w:lineRule="exact"/>
        <w:rPr>
          <w:sz w:val="20"/>
          <w:szCs w:val="20"/>
          <w:color w:val="auto"/>
        </w:rPr>
      </w:pPr>
    </w:p>
    <w:p>
      <w:pPr>
        <w:ind w:left="920" w:right="240" w:firstLine="421"/>
        <w:spacing w:after="0" w:line="259" w:lineRule="auto"/>
        <w:tabs>
          <w:tab w:leader="none" w:pos="182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(1) result in the failure of a condition set forth in Section 8.1 or Section 8.3, or (2) prevent, materially delay or materially impede the consummation of the Merger and the other transactions contemplated by this Agreement;</w:t>
      </w:r>
    </w:p>
    <w:p>
      <w:pPr>
        <w:spacing w:after="0" w:line="59" w:lineRule="exact"/>
        <w:rPr>
          <w:rFonts w:ascii="Arial" w:cs="Arial" w:eastAsia="Arial" w:hAnsi="Arial"/>
          <w:sz w:val="18"/>
          <w:szCs w:val="18"/>
          <w:color w:val="auto"/>
        </w:rPr>
      </w:pPr>
    </w:p>
    <w:p>
      <w:pPr>
        <w:ind w:left="920" w:right="20" w:firstLine="421"/>
        <w:spacing w:after="0" w:line="259" w:lineRule="auto"/>
        <w:tabs>
          <w:tab w:leader="none" w:pos="181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59" w:lineRule="exact"/>
        <w:rPr>
          <w:rFonts w:ascii="Arial" w:cs="Arial" w:eastAsia="Arial" w:hAnsi="Arial"/>
          <w:sz w:val="18"/>
          <w:szCs w:val="18"/>
          <w:color w:val="auto"/>
        </w:rPr>
      </w:pPr>
    </w:p>
    <w:p>
      <w:pPr>
        <w:ind w:left="1760" w:hanging="419"/>
        <w:spacing w:after="0"/>
        <w:tabs>
          <w:tab w:leader="none" w:pos="17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71" w:lineRule="exact"/>
        <w:rPr>
          <w:sz w:val="20"/>
          <w:szCs w:val="20"/>
          <w:color w:val="auto"/>
        </w:rPr>
      </w:pPr>
    </w:p>
    <w:p>
      <w:pPr>
        <w:ind w:left="460" w:right="80" w:firstLine="881"/>
        <w:spacing w:after="0" w:line="306" w:lineRule="auto"/>
        <w:tabs>
          <w:tab w:leader="none" w:pos="157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Smith may approve in writing (such approval not to be unreasonably withheld, conditioned or delayed), (C) as set forth in Section 7.1 of the Schlumberger Disclosure Letter, or (D) as required by Applicable Law, Schlumberger and Merger Sub will not and will not permit any of their respective Subsidiaries to:</w:t>
      </w:r>
    </w:p>
    <w:p>
      <w:pPr>
        <w:spacing w:after="0" w:line="26" w:lineRule="exact"/>
        <w:rPr>
          <w:sz w:val="20"/>
          <w:szCs w:val="20"/>
          <w:color w:val="auto"/>
        </w:rPr>
      </w:pPr>
    </w:p>
    <w:p>
      <w:pPr>
        <w:ind w:left="920" w:firstLine="421"/>
        <w:spacing w:after="0" w:line="306" w:lineRule="auto"/>
        <w:tabs>
          <w:tab w:leader="none" w:pos="1549"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Smith Common Stock relative to a holder of Schlumberger Common Stock or delay or impede the Merger or the other transactions contemplated by this Agreement;</w:t>
      </w:r>
    </w:p>
    <w:p>
      <w:pPr>
        <w:spacing w:after="0" w:line="25" w:lineRule="exact"/>
        <w:rPr>
          <w:rFonts w:ascii="Arial" w:cs="Arial" w:eastAsia="Arial" w:hAnsi="Arial"/>
          <w:sz w:val="16"/>
          <w:szCs w:val="16"/>
          <w:color w:val="auto"/>
        </w:rPr>
      </w:pPr>
    </w:p>
    <w:p>
      <w:pPr>
        <w:jc w:val="both"/>
        <w:ind w:left="920" w:right="100" w:firstLine="421"/>
        <w:spacing w:after="0" w:line="298" w:lineRule="auto"/>
        <w:tabs>
          <w:tab w:leader="none" w:pos="1598"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31" w:lineRule="exact"/>
        <w:rPr>
          <w:rFonts w:ascii="Arial" w:cs="Arial" w:eastAsia="Arial" w:hAnsi="Arial"/>
          <w:sz w:val="16"/>
          <w:szCs w:val="16"/>
          <w:color w:val="auto"/>
        </w:rPr>
      </w:pPr>
    </w:p>
    <w:p>
      <w:pPr>
        <w:ind w:left="920" w:firstLine="421"/>
        <w:spacing w:after="0" w:line="294" w:lineRule="auto"/>
        <w:tabs>
          <w:tab w:leader="none" w:pos="1647" w:val="left"/>
        </w:tabs>
        <w:numPr>
          <w:ilvl w:val="1"/>
          <w:numId w:val="242"/>
        </w:numPr>
        <w:rPr>
          <w:rFonts w:ascii="Arial" w:cs="Arial" w:eastAsia="Arial" w:hAnsi="Arial"/>
          <w:sz w:val="16"/>
          <w:szCs w:val="16"/>
          <w:color w:val="auto"/>
        </w:rPr>
      </w:pPr>
      <w:r>
        <w:rPr>
          <w:rFonts w:ascii="Arial" w:cs="Arial" w:eastAsia="Arial" w:hAnsi="Arial"/>
          <w:sz w:val="16"/>
          <w:szCs w:val="16"/>
          <w:color w:val="auto"/>
        </w:rPr>
        <w:t>except in each case as would not disproportionately adversely affect a holder of Smith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34" w:lineRule="exact"/>
        <w:rPr>
          <w:rFonts w:ascii="Arial" w:cs="Arial" w:eastAsia="Arial" w:hAnsi="Arial"/>
          <w:sz w:val="16"/>
          <w:szCs w:val="16"/>
          <w:color w:val="auto"/>
        </w:rPr>
      </w:pPr>
    </w:p>
    <w:p>
      <w:pPr>
        <w:ind w:left="920" w:right="80" w:firstLine="421"/>
        <w:spacing w:after="0" w:line="303" w:lineRule="auto"/>
        <w:tabs>
          <w:tab w:leader="none" w:pos="1637" w:val="left"/>
        </w:tabs>
        <w:numPr>
          <w:ilvl w:val="1"/>
          <w:numId w:val="242"/>
        </w:numPr>
        <w:rPr>
          <w:rFonts w:ascii="Arial" w:cs="Arial" w:eastAsia="Arial" w:hAnsi="Arial"/>
          <w:sz w:val="15"/>
          <w:szCs w:val="15"/>
          <w:color w:val="auto"/>
        </w:rPr>
      </w:pPr>
      <w:r>
        <w:rPr>
          <w:rFonts w:ascii="Arial" w:cs="Arial" w:eastAsia="Arial" w:hAnsi="Arial"/>
          <w:sz w:val="15"/>
          <w:szCs w:val="15"/>
          <w:color w:val="auto"/>
        </w:rPr>
        <w:t>declare, set aside, make or pay any dividend or other distribution or payment (whether in cash, equity interests or property or any combination thereof) with respect to shares of Schlumberger Common Stock, except for (1) regular quarterly dividends on shares of Schlumberger’s Common Stock with declaration, record and payment dates reasonably consistent with Schlumberger’s past practice for the comparable quarter or</w:t>
      </w:r>
    </w:p>
    <w:p>
      <w:pPr>
        <w:spacing w:after="0" w:line="1" w:lineRule="exact"/>
        <w:rPr>
          <w:rFonts w:ascii="Arial" w:cs="Arial" w:eastAsia="Arial" w:hAnsi="Arial"/>
          <w:sz w:val="15"/>
          <w:szCs w:val="15"/>
          <w:color w:val="auto"/>
        </w:rPr>
      </w:pPr>
    </w:p>
    <w:p>
      <w:pPr>
        <w:ind w:left="1160" w:hanging="239"/>
        <w:spacing w:after="0"/>
        <w:tabs>
          <w:tab w:leader="none" w:pos="11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dividends of equity interests or property for which an adjustment to the Exchange Ratio has been effected pursuant to Section 4.3;</w:t>
      </w:r>
    </w:p>
    <w:p>
      <w:pPr>
        <w:spacing w:after="0" w:line="106" w:lineRule="exact"/>
        <w:rPr>
          <w:rFonts w:ascii="Arial" w:cs="Arial" w:eastAsia="Arial" w:hAnsi="Arial"/>
          <w:sz w:val="16"/>
          <w:szCs w:val="16"/>
          <w:color w:val="auto"/>
        </w:rPr>
      </w:pPr>
    </w:p>
    <w:p>
      <w:pPr>
        <w:ind w:left="1580" w:hanging="239"/>
        <w:spacing w:after="0"/>
        <w:tabs>
          <w:tab w:leader="none" w:pos="158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take any action that would, or would reasonably be expected to, (A) result in the failure of any condition set forth in Article 8, or</w:t>
      </w:r>
    </w:p>
    <w:p>
      <w:pPr>
        <w:spacing w:after="0" w:line="38" w:lineRule="exact"/>
        <w:rPr>
          <w:sz w:val="20"/>
          <w:szCs w:val="20"/>
          <w:color w:val="auto"/>
        </w:rPr>
      </w:pPr>
    </w:p>
    <w:p>
      <w:pPr>
        <w:ind w:left="1200" w:hanging="279"/>
        <w:spacing w:after="0"/>
        <w:tabs>
          <w:tab w:leader="none" w:pos="12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prevent, materially delay or materially impede the consummation of the Merger and the other transactions contemplated by this Agreement;</w:t>
      </w:r>
    </w:p>
    <w:p>
      <w:pPr>
        <w:spacing w:after="0" w:line="106" w:lineRule="exact"/>
        <w:rPr>
          <w:rFonts w:ascii="Arial" w:cs="Arial" w:eastAsia="Arial" w:hAnsi="Arial"/>
          <w:sz w:val="16"/>
          <w:szCs w:val="16"/>
          <w:color w:val="auto"/>
        </w:rPr>
      </w:pPr>
    </w:p>
    <w:p>
      <w:pPr>
        <w:ind w:left="920" w:right="200" w:firstLine="421"/>
        <w:spacing w:after="0" w:line="259" w:lineRule="auto"/>
        <w:tabs>
          <w:tab w:leader="none" w:pos="1637"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(vii) agree or commit to do any of the foregoing.</w:t>
      </w:r>
    </w:p>
    <w:p>
      <w:pPr>
        <w:spacing w:after="0" w:line="171" w:lineRule="exact"/>
        <w:rPr>
          <w:sz w:val="20"/>
          <w:szCs w:val="20"/>
          <w:color w:val="auto"/>
        </w:rPr>
      </w:pPr>
    </w:p>
    <w:p>
      <w:pPr>
        <w:ind w:left="460" w:firstLine="876"/>
        <w:spacing w:after="0" w:line="287"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Smith Stockholders Meeting</w:t>
      </w:r>
      <w:r>
        <w:rPr>
          <w:rFonts w:ascii="Arial" w:cs="Arial" w:eastAsia="Arial" w:hAnsi="Arial"/>
          <w:sz w:val="16"/>
          <w:szCs w:val="16"/>
          <w:color w:val="auto"/>
        </w:rPr>
        <w:t>. As promptly as reasonably practicable after the registration statement on Form S-4 to be filed with the SEC by Schlumberger in connection with the issuance of shares of Schlumberger Common Stock in the Merger (with any amendments or supplements thereto, the “</w:t>
      </w:r>
      <w:r>
        <w:rPr>
          <w:rFonts w:ascii="Arial" w:cs="Arial" w:eastAsia="Arial" w:hAnsi="Arial"/>
          <w:sz w:val="16"/>
          <w:szCs w:val="16"/>
          <w:b w:val="1"/>
          <w:bCs w:val="1"/>
          <w:color w:val="auto"/>
        </w:rPr>
        <w:t>Form S-4</w:t>
      </w:r>
      <w:r>
        <w:rPr>
          <w:rFonts w:ascii="Arial" w:cs="Arial" w:eastAsia="Arial" w:hAnsi="Arial"/>
          <w:sz w:val="16"/>
          <w:szCs w:val="16"/>
          <w:color w:val="auto"/>
        </w:rPr>
        <w:t>”) is declared effective under the Securities Act, Smith shall (i) duly call and give notice of a meeting of its stockholders (the “</w:t>
      </w:r>
      <w:r>
        <w:rPr>
          <w:rFonts w:ascii="Arial" w:cs="Arial" w:eastAsia="Arial" w:hAnsi="Arial"/>
          <w:sz w:val="16"/>
          <w:szCs w:val="16"/>
          <w:b w:val="1"/>
          <w:bCs w:val="1"/>
          <w:color w:val="auto"/>
        </w:rPr>
        <w:t>Smith</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Stockholders Meeting</w:t>
      </w:r>
      <w:r>
        <w:rPr>
          <w:rFonts w:ascii="Arial" w:cs="Arial" w:eastAsia="Arial" w:hAnsi="Arial"/>
          <w:sz w:val="16"/>
          <w:szCs w:val="16"/>
          <w:color w:val="auto"/>
        </w:rPr>
        <w:t>”) for the purpose of obtaining the Smith Stockholder Approval, (ii) use its reasonable best efforts to cause the proxy materials to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and constituting part of the Form S-4 (with any amendments or supplements thereto, the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xml:space="preserve">”) to be mailed to Smith’s stockholders as soon as practicable after the Form S-4 is declared effective under the Securities Act, (iii) include the Smith Recommendation in the Proxy Statement/Prospectus;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Smith Board shall not be required to make such Smith Recommendation to the extent that the Smith Board has complied with the requirements of Section 7.3(b), and (iv) convene and hold the Smith Stockholders Meeting for the purpose of obtaining the Smith Stockholder Approval. Smith shall otherwise coordinate and cooperate with Schlumberger and its affiliates with respect to the timing of the Smith Stockholders Meeting and will otherwise comply with all legal requirements applicable to the Smith Stockholders Meeting.</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90" w:lineRule="exact"/>
        <w:rPr>
          <w:sz w:val="20"/>
          <w:szCs w:val="20"/>
          <w:color w:val="auto"/>
        </w:rPr>
      </w:pPr>
    </w:p>
    <w:p>
      <w:pPr>
        <w:ind w:left="460" w:firstLine="881"/>
        <w:spacing w:after="0" w:line="283" w:lineRule="auto"/>
        <w:tabs>
          <w:tab w:leader="none" w:pos="1575" w:val="left"/>
        </w:tabs>
        <w:numPr>
          <w:ilvl w:val="1"/>
          <w:numId w:val="245"/>
        </w:numPr>
        <w:rPr>
          <w:rFonts w:ascii="Arial" w:cs="Arial" w:eastAsia="Arial" w:hAnsi="Arial"/>
          <w:sz w:val="16"/>
          <w:szCs w:val="16"/>
          <w:color w:val="auto"/>
        </w:rPr>
      </w:pPr>
      <w:r>
        <w:rPr>
          <w:rFonts w:ascii="Arial" w:cs="Arial" w:eastAsia="Arial" w:hAnsi="Arial"/>
          <w:sz w:val="16"/>
          <w:szCs w:val="16"/>
          <w:color w:val="auto"/>
        </w:rPr>
        <w:t>Smith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6"/>
          <w:szCs w:val="16"/>
          <w:b w:val="1"/>
          <w:bCs w:val="1"/>
          <w:color w:val="auto"/>
        </w:rPr>
        <w:t>Representatives</w:t>
      </w:r>
      <w:r>
        <w:rPr>
          <w:rFonts w:ascii="Arial" w:cs="Arial" w:eastAsia="Arial" w:hAnsi="Arial"/>
          <w:sz w:val="16"/>
          <w:szCs w:val="16"/>
          <w:color w:val="auto"/>
        </w:rPr>
        <w:t>”) not to, directly or indirectly, (i) take any action to solicit, initiate, knowingly encourage or knowingly facilitate the making, submission or announcement of any Acquisition Proposal (including by amending, or granting any waiver under, the Rights Agreement, as applicable) or any inquiry with respect thereto, or engage in, continue or otherwise participate in discussions or negotiations with any person with respect thereto (except to notify such person of the existence of the provisions of this Section 7.3),</w:t>
      </w:r>
    </w:p>
    <w:p>
      <w:pPr>
        <w:spacing w:after="0" w:line="1" w:lineRule="exact"/>
        <w:rPr>
          <w:rFonts w:ascii="Arial" w:cs="Arial" w:eastAsia="Arial" w:hAnsi="Arial"/>
          <w:sz w:val="16"/>
          <w:szCs w:val="16"/>
          <w:color w:val="auto"/>
        </w:rPr>
      </w:pPr>
    </w:p>
    <w:p>
      <w:pPr>
        <w:ind w:left="460" w:right="140" w:firstLine="4"/>
        <w:spacing w:after="0" w:line="253" w:lineRule="auto"/>
        <w:tabs>
          <w:tab w:leader="none" w:pos="71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furnish any nonpublic information or afford access to properties, books or records to any person that has made or, to the knowledge of Smith,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7.3), or (iv) propose publicly or agree to do any of the foregoing.</w:t>
      </w:r>
    </w:p>
    <w:p>
      <w:pPr>
        <w:spacing w:after="0" w:line="145" w:lineRule="exact"/>
        <w:rPr>
          <w:sz w:val="20"/>
          <w:szCs w:val="20"/>
          <w:color w:val="auto"/>
        </w:rPr>
      </w:pPr>
    </w:p>
    <w:p>
      <w:pPr>
        <w:ind w:left="460" w:right="20" w:firstLine="876"/>
        <w:spacing w:after="0" w:line="286" w:lineRule="auto"/>
        <w:rPr>
          <w:sz w:val="20"/>
          <w:szCs w:val="20"/>
          <w:color w:val="auto"/>
        </w:rPr>
      </w:pPr>
      <w:r>
        <w:rPr>
          <w:rFonts w:ascii="Arial" w:cs="Arial" w:eastAsia="Arial" w:hAnsi="Arial"/>
          <w:sz w:val="16"/>
          <w:szCs w:val="16"/>
          <w:color w:val="auto"/>
        </w:rPr>
        <w:t>Notwithstanding the foregoing, prior to (but not after) the date of the Smith Stockholder Approval, Smith may, directly or indirectly through its Representatives (A) furnish information and access, but only in response to a written request for information or access, to any person making an Acquisition Proposal to the Smith Board after the date hereof which was not solicited, initiated, knowingly encouraged or knowingly facilitated by Smith or any of its affiliates or any Representative of Smith or any of its Subsidiaries on or after the date hereof and (B) may participate in discussions and negotiate with such person concerning any such unsolicited Acquisition Proposal, if and only if, in any such case set forth in clause (A) or (B) of this sentence, (i) Smith has not breached this Section 7.3(a) in any material respect with respect to such Acquisition Proposal, (ii) the Smith Board concludes in good faith, after receipt of the advice of a financial advisor of nationally recognized reputation, that such Acquisition Proposal is reasonably likely to result in a Superior Proposal, and (iii) Smith receives from the person making such an Acquisition Proposal an executed confidentiality agreement the material terms of which, as they relate to confidentiality, are (without regard to the terms of such Acquisition Proposal) in all material respects (x) no less favorable to Smith and (y) no less restrictive to the person making such Acquisition Proposal than those contained in the Confidentiality Agreement dated April 14, 2009 between Schlumberger and Smith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and any information provided to such person has previously been provided to Schlumberger or is provided to Schlumberger concurrently with its provision to such person.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881"/>
        <w:spacing w:after="0" w:line="283" w:lineRule="auto"/>
        <w:tabs>
          <w:tab w:leader="none" w:pos="1585" w:val="left"/>
        </w:tabs>
        <w:numPr>
          <w:ilvl w:val="1"/>
          <w:numId w:val="247"/>
        </w:numPr>
        <w:rPr>
          <w:rFonts w:ascii="Arial" w:cs="Arial" w:eastAsia="Arial" w:hAnsi="Arial"/>
          <w:sz w:val="16"/>
          <w:szCs w:val="16"/>
          <w:color w:val="auto"/>
        </w:rPr>
      </w:pPr>
      <w:r>
        <w:rPr>
          <w:rFonts w:ascii="Arial" w:cs="Arial" w:eastAsia="Arial" w:hAnsi="Arial"/>
          <w:sz w:val="16"/>
          <w:szCs w:val="16"/>
          <w:color w:val="auto"/>
        </w:rPr>
        <w:t>Except as expressly permitted by this Section 7.3(b), the Smith Board shall recommend approval and adoption of this Agreement and the Merger by Smith’s stockholders, and unless permitted by this Section 7.3(b), neither the Smith Board nor any committee thereof shall (i) fail to make, withdraw, modify or qualify, or propose publicly to withhold, withdraw, modify or qualify, in any manner adverse to Schlumberger or its affiliates, the approval of this Agreement, the Merger or the Smith Recommendation, except for notice provided to Schlumberger with respect to such Acquisition Proposal and Smith’s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left="460" w:right="120" w:firstLine="4"/>
        <w:spacing w:after="0" w:line="295" w:lineRule="auto"/>
        <w:tabs>
          <w:tab w:leader="none" w:pos="71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approve, endorse or recommend, or propose publicly to approve, endorse or recommend, any Acquisition Proposal. For purposes of this Agreement, a Change in Recommendation shall include any approval, endorsement or recommendation (or public proposal to approve, endorse or recommend), by the Smith Board or any committee thereof of an Acquisition Proposal, but shall not include any notice provided to Schlumberger with respect to such Acquisition Proposal and Smith’s views thereof prior to any definitive Change in Recommendation.</w:t>
      </w:r>
    </w:p>
    <w:p>
      <w:pPr>
        <w:spacing w:after="0" w:line="115" w:lineRule="exact"/>
        <w:rPr>
          <w:sz w:val="20"/>
          <w:szCs w:val="20"/>
          <w:color w:val="auto"/>
        </w:rPr>
      </w:pPr>
    </w:p>
    <w:p>
      <w:pPr>
        <w:ind w:left="460" w:right="140" w:firstLine="876"/>
        <w:spacing w:after="0" w:line="302" w:lineRule="auto"/>
        <w:rPr>
          <w:sz w:val="20"/>
          <w:szCs w:val="20"/>
          <w:color w:val="auto"/>
        </w:rPr>
      </w:pPr>
      <w:r>
        <w:rPr>
          <w:rFonts w:ascii="Arial" w:cs="Arial" w:eastAsia="Arial" w:hAnsi="Arial"/>
          <w:sz w:val="15"/>
          <w:szCs w:val="15"/>
          <w:color w:val="auto"/>
        </w:rPr>
        <w:t>Notwithstanding the foregoing, the Smith Board shall be permitted not to recommend to Smith’s stockholders that they give the Smith Stockholder Approval, to withhold, withdraw, modify or qualify, or propose to publicly withhold, withdraw, modify or qualify, in a manner adverse to Schlumberger or its affiliates the Smith Recommendation, or to approve, endorse or recommend, or propose publicly to approve, endorse or recommend, any Acquisition Proposal, only if and to the extent that all of the following conditions are met: (i) the Smith Stockholder Approval has not been obtained;</w:t>
      </w:r>
    </w:p>
    <w:p>
      <w:pPr>
        <w:spacing w:after="0" w:line="3" w:lineRule="exact"/>
        <w:rPr>
          <w:sz w:val="20"/>
          <w:szCs w:val="20"/>
          <w:color w:val="auto"/>
        </w:rPr>
      </w:pPr>
    </w:p>
    <w:p>
      <w:pPr>
        <w:ind w:left="460" w:firstLine="4"/>
        <w:spacing w:after="0" w:line="281" w:lineRule="auto"/>
        <w:tabs>
          <w:tab w:leader="none" w:pos="71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the Smith Board determines in good faith, after consulting with outside legal counsel, that failure to so withhold, withdraw, modify or qualify the Smith Recommendation would be inconsistent with the directors’ exercise of their fiduciary duties to stockholders under Applicable Law; and (iii) before taking any such action, Smith promptly gives Schlumberger three business days written notice advising Schlumberger of the decision of the Smith Board to take such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Change in Recommendation, unless this Agreement is terminated in accordance with the terms hereof, Smith shall nevertheless submit this Agreement and the Merger to the stockholders of Smith for the purpose of obtaining the Smith Stockholder Approval at the Smith Stockholders Meeting and nothing contained herein shall be deemed to relieve Smith of such obligation, unless Schlumberger otherwise directs Smith in writing or this Agreement shall have been terminated in accordance with its terms prior to the Smith Stockholders Meeting. In addition, notwithstanding the foregoing, Smith may terminate this Agreement, upon payment of the Smith Termination Fee in accordance with</w:t>
      </w:r>
    </w:p>
    <w:p>
      <w:pPr>
        <w:spacing w:after="0" w:line="5" w:lineRule="exact"/>
        <w:rPr>
          <w:rFonts w:ascii="Arial" w:cs="Arial" w:eastAsia="Arial" w:hAnsi="Arial"/>
          <w:sz w:val="16"/>
          <w:szCs w:val="16"/>
          <w:color w:val="auto"/>
        </w:rPr>
      </w:pPr>
    </w:p>
    <w:p>
      <w:pPr>
        <w:ind w:left="460"/>
        <w:spacing w:after="0" w:line="287" w:lineRule="auto"/>
        <w:rPr>
          <w:rFonts w:ascii="Arial" w:cs="Arial" w:eastAsia="Arial" w:hAnsi="Arial"/>
          <w:sz w:val="16"/>
          <w:szCs w:val="16"/>
          <w:color w:val="auto"/>
        </w:rPr>
      </w:pPr>
      <w:r>
        <w:rPr>
          <w:rFonts w:ascii="Arial" w:cs="Arial" w:eastAsia="Arial" w:hAnsi="Arial"/>
          <w:sz w:val="16"/>
          <w:szCs w:val="16"/>
          <w:color w:val="auto"/>
        </w:rPr>
        <w:t>Section 9.5(a), in order to enter into any agreement, understanding or arrangement providing for an Acquisition Proposal if all of the following conditions are met: (x) the Smith Stockholder Approval has not been obtained, (y) Smith gives Schlumberger written notice at least three business days prior to taking such action, which notice advises Schlumberger of the intention of the Smith Board to take such action and such notice specifies the material terms and conditions of such Acquisition Proposal and identifies the person making such Acquisition Proposal (provided that if there are any subsequent changes in the financial terms of such proposal, Smith will not take any such action prior to the second business day following a subsequent notice to Schlumberger of such changes) (it being understood that there may be multiple extensions); and (z) the Smith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24" w:lineRule="exact"/>
        <w:rPr>
          <w:rFonts w:ascii="Arial" w:cs="Arial" w:eastAsia="Arial" w:hAnsi="Arial"/>
          <w:sz w:val="16"/>
          <w:szCs w:val="16"/>
          <w:color w:val="auto"/>
        </w:rPr>
      </w:pPr>
    </w:p>
    <w:p>
      <w:pPr>
        <w:ind w:left="460" w:right="40" w:firstLine="881"/>
        <w:spacing w:after="0" w:line="253" w:lineRule="auto"/>
        <w:tabs>
          <w:tab w:leader="none" w:pos="1575"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In the event Smith receives an Acquisition Proposal, or any request for nonpublic information relating to Smith or any Subsidiary of Smith or for access to the properties, books or records of Smith or any Subsidiary of Smith by any person that has made or, to the knowledge of Smith, would reasonably be expected to make, an Acquisition Proposal, Smith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881"/>
        <w:spacing w:after="0" w:line="291" w:lineRule="auto"/>
        <w:tabs>
          <w:tab w:leader="none" w:pos="158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Subject to Schlumberger’s rights under Article 9, nothing in this Section 7.3 shall prohibit the Smith Board from taking and disclosing to Smith’s stockholders a position contemplated by Rule 14e-2(a), Rule 14d-9 or Item 1012(a) of Regulation M-A promulgated under the Exchange Act, or other Applicable Law, if the Smith Board, after consultation with outside legal counsel, determines in good faith that the failure to so disclose such position would reasonably be expected to be inconsistent with the directors’ exercise of their fiduciary obligations to Smith’s stockholders under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disclosure that relates to an Acquisition Proposal shall be deemed to be a Change in Recommendation unless the Smith</w:t>
      </w:r>
      <w:r>
        <w:rPr>
          <w:rFonts w:ascii="Arial" w:cs="Arial" w:eastAsia="Arial" w:hAnsi="Arial"/>
          <w:sz w:val="16"/>
          <w:szCs w:val="16"/>
          <w:i w:val="1"/>
          <w:iCs w:val="1"/>
          <w:color w:val="auto"/>
        </w:rPr>
        <w:t xml:space="preserve"> </w:t>
      </w:r>
      <w:r>
        <w:rPr>
          <w:rFonts w:ascii="Arial" w:cs="Arial" w:eastAsia="Arial" w:hAnsi="Arial"/>
          <w:sz w:val="16"/>
          <w:szCs w:val="16"/>
          <w:color w:val="auto"/>
        </w:rPr>
        <w:t>Board reaffirms the Smith Recommendation in such disclosure.</w:t>
      </w:r>
    </w:p>
    <w:p>
      <w:pPr>
        <w:spacing w:after="0" w:line="120" w:lineRule="exact"/>
        <w:rPr>
          <w:rFonts w:ascii="Arial" w:cs="Arial" w:eastAsia="Arial" w:hAnsi="Arial"/>
          <w:sz w:val="16"/>
          <w:szCs w:val="16"/>
          <w:color w:val="auto"/>
        </w:rPr>
      </w:pPr>
    </w:p>
    <w:p>
      <w:pPr>
        <w:ind w:left="460" w:firstLine="881"/>
        <w:spacing w:after="0" w:line="294" w:lineRule="auto"/>
        <w:tabs>
          <w:tab w:leader="none" w:pos="157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Smith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 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15" w:lineRule="exact"/>
        <w:rPr>
          <w:rFonts w:ascii="Arial" w:cs="Arial" w:eastAsia="Arial" w:hAnsi="Arial"/>
          <w:sz w:val="16"/>
          <w:szCs w:val="16"/>
          <w:color w:val="auto"/>
        </w:rPr>
      </w:pPr>
    </w:p>
    <w:p>
      <w:pPr>
        <w:ind w:left="1560" w:hanging="219"/>
        <w:spacing w:after="0"/>
        <w:tabs>
          <w:tab w:leader="none" w:pos="15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65" w:lineRule="exact"/>
        <w:rPr>
          <w:sz w:val="20"/>
          <w:szCs w:val="20"/>
          <w:color w:val="auto"/>
        </w:rPr>
      </w:pPr>
    </w:p>
    <w:p>
      <w:pPr>
        <w:ind w:left="460" w:right="120" w:firstLine="87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Proposal</w:t>
      </w:r>
      <w:r>
        <w:rPr>
          <w:rFonts w:ascii="Arial" w:cs="Arial" w:eastAsia="Arial" w:hAnsi="Arial"/>
          <w:sz w:val="16"/>
          <w:szCs w:val="16"/>
          <w:color w:val="auto"/>
        </w:rPr>
        <w:t>” means any bona fide written offer or proposal for, or any bona fide written indication of interest in, any (i) direct or indirect acquisition or purchase of any business or assets of Smith or any of its Subsidiaries that, individually or in the aggregate, constitutes 20% or more of the net revenues, net income or assets of Smith and its Subsidiaries, taken as a whole, (ii) direct or indirect acquisition or purchase of 20% or more of any class of equity securities of Smith, (iii) tender offer or exchange offer that, if consummated, would result in any person beneficially owning 20% or more of any class of equity securities of Smith, (iv) merger, consolidation, business combination, joint venture, partnership, recapitalization, liquidation, dissolution or similar transaction involving Smith or any of its Subsidiaries whose business constitutes 20% or more of the net revenue, net income or assets of Smith and its Subsidiaries, taken as a whole, or (v) the declaration or payment of an extraordinary dividend (whether in cash or in property) by Smith, other than the transactions contemplated by this Agreement.</w:t>
      </w:r>
    </w:p>
    <w:p>
      <w:pPr>
        <w:spacing w:after="0" w:line="112" w:lineRule="exact"/>
        <w:rPr>
          <w:sz w:val="20"/>
          <w:szCs w:val="20"/>
          <w:color w:val="auto"/>
        </w:rPr>
      </w:pPr>
    </w:p>
    <w:p>
      <w:pPr>
        <w:ind w:left="460" w:right="40" w:firstLine="87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Superior Proposal</w:t>
      </w:r>
      <w:r>
        <w:rPr>
          <w:rFonts w:ascii="Arial" w:cs="Arial" w:eastAsia="Arial" w:hAnsi="Arial"/>
          <w:sz w:val="16"/>
          <w:szCs w:val="16"/>
          <w:color w:val="auto"/>
        </w:rPr>
        <w:t>” means any bona fide written Acquisition Proposal for or in respect of at least a majority of the outstanding shares of Smith Common Stock or all or substantially all of Smith’s and its Subsidiaries’ assets (A) on terms that the Smith Board determines in its good faith judgment (after consultation with a financial advisor of nationally recognized reputation) are more favorable to Smith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14" w:lineRule="exact"/>
        <w:rPr>
          <w:sz w:val="20"/>
          <w:szCs w:val="20"/>
          <w:color w:val="auto"/>
        </w:rPr>
      </w:pPr>
    </w:p>
    <w:p>
      <w:pPr>
        <w:ind w:left="460" w:right="640" w:firstLine="881"/>
        <w:spacing w:after="0" w:line="332" w:lineRule="auto"/>
        <w:tabs>
          <w:tab w:leader="none" w:pos="158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Smith agrees that it will take the necessary steps promptly to inform its Subsidiaries and its officers, directors, investment bankers, consultants, attorneys, accountants, agents and other representatives of the obligations undertaken in this Section 7.3.</w:t>
      </w:r>
    </w:p>
    <w:p>
      <w:pPr>
        <w:spacing w:after="0" w:line="85" w:lineRule="exact"/>
        <w:rPr>
          <w:sz w:val="20"/>
          <w:szCs w:val="20"/>
          <w:color w:val="auto"/>
        </w:rPr>
      </w:pPr>
    </w:p>
    <w:p>
      <w:pPr>
        <w:ind w:left="460" w:right="60" w:firstLine="876"/>
        <w:spacing w:after="0" w:line="290"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i w:val="1"/>
          <w:iCs w:val="1"/>
          <w:color w:val="auto"/>
        </w:rPr>
        <w:t>Reasonable Best Efforts</w:t>
      </w:r>
      <w:r>
        <w:rPr>
          <w:rFonts w:ascii="Arial" w:cs="Arial" w:eastAsia="Arial" w:hAnsi="Arial"/>
          <w:sz w:val="16"/>
          <w:szCs w:val="16"/>
          <w:color w:val="auto"/>
        </w:rPr>
        <w:t>. Subject to Section 7.2 and Section 7.6,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from third parties, (iii) the defending of any lawsuits or other legal proceedings, whether judicial or administrative, challenging this Agreement or the consummation of the transactions contemplated by this Agreement, (iv) the delivery of an officer’s certificate to tax counsel setting forth facts which, in the case of a certificate provided by an officer of Smith, relate to Smith and its Subsidiaries, and, in the case of a certificate provided by an officer of Schlumberger, relate to Schlumberger and its Subsidiaries, and which are relevant to any tax opinion that may be reasonably required in connection with the filing of the Form S-4 or the delivery of the legal opinions described in Sections 8.2(c) and 8.3(b), and (v) the execution and delivery of any additional instruments necessary to consummate the transactions contemplated by this Agreement.</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298" w:lineRule="auto"/>
        <w:tabs>
          <w:tab w:leader="none" w:pos="157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hereof, Schlumberger and Smith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12" w:lineRule="exact"/>
        <w:rPr>
          <w:rFonts w:ascii="Arial" w:cs="Arial" w:eastAsia="Arial" w:hAnsi="Arial"/>
          <w:sz w:val="16"/>
          <w:szCs w:val="16"/>
          <w:color w:val="auto"/>
        </w:rPr>
      </w:pPr>
    </w:p>
    <w:p>
      <w:pPr>
        <w:ind w:left="460" w:right="500" w:firstLine="881"/>
        <w:spacing w:after="0" w:line="259" w:lineRule="auto"/>
        <w:tabs>
          <w:tab w:leader="none" w:pos="158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of Schlumberger and Smith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140" w:lineRule="exact"/>
        <w:rPr>
          <w:rFonts w:ascii="Arial" w:cs="Arial" w:eastAsia="Arial" w:hAnsi="Arial"/>
          <w:sz w:val="18"/>
          <w:szCs w:val="18"/>
          <w:color w:val="auto"/>
        </w:rPr>
      </w:pPr>
    </w:p>
    <w:p>
      <w:pPr>
        <w:ind w:left="460" w:right="40" w:firstLine="881"/>
        <w:spacing w:after="0" w:line="298" w:lineRule="auto"/>
        <w:tabs>
          <w:tab w:leader="none" w:pos="157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Schlumberger and Smith shall, as promptly as practicable after receipt thereof, provide the other party copies of any written comments, and advise the other party of any oral comments, received from the SEC with respect to the Proxy Statement/Prospectus. Schlumberger shall provide Smith with a reasonable opportunity to review and comment on any amendment or supplement to the Form S-4 and any communications prior to filing such with the SEC, and will promptly provide Smith with a copy of all such filings and communications made with the SEC.</w:t>
      </w:r>
    </w:p>
    <w:p>
      <w:pPr>
        <w:spacing w:after="0" w:line="112" w:lineRule="exact"/>
        <w:rPr>
          <w:rFonts w:ascii="Arial" w:cs="Arial" w:eastAsia="Arial" w:hAnsi="Arial"/>
          <w:sz w:val="16"/>
          <w:szCs w:val="16"/>
          <w:color w:val="auto"/>
        </w:rPr>
      </w:pPr>
    </w:p>
    <w:p>
      <w:pPr>
        <w:ind w:left="460" w:firstLine="881"/>
        <w:spacing w:after="0" w:line="253" w:lineRule="auto"/>
        <w:tabs>
          <w:tab w:leader="none" w:pos="158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Smith shall furnish all information concerning Smith and the holders of Smith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47" w:lineRule="exact"/>
        <w:rPr>
          <w:rFonts w:ascii="Arial" w:cs="Arial" w:eastAsia="Arial" w:hAnsi="Arial"/>
          <w:sz w:val="18"/>
          <w:szCs w:val="18"/>
          <w:color w:val="auto"/>
        </w:rPr>
      </w:pPr>
    </w:p>
    <w:p>
      <w:pPr>
        <w:ind w:left="460" w:right="60" w:firstLine="881"/>
        <w:spacing w:after="0" w:line="291" w:lineRule="auto"/>
        <w:tabs>
          <w:tab w:leader="none" w:pos="157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If at any time prior to the Effective Time any information relating to Schlumberger or Smith, or any of their respective affiliates, officers or directors, should be discovered by Schlumberger or Smith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Smith.</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90" w:lineRule="exact"/>
        <w:rPr>
          <w:sz w:val="20"/>
          <w:szCs w:val="20"/>
          <w:color w:val="auto"/>
        </w:rPr>
      </w:pPr>
    </w:p>
    <w:p>
      <w:pPr>
        <w:ind w:left="460" w:right="360" w:firstLine="881"/>
        <w:spacing w:after="0" w:line="259" w:lineRule="auto"/>
        <w:tabs>
          <w:tab w:leader="none" w:pos="157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each of the parties hereto shall use its reasonable best efforts to take, or cause to be taken, all actions, and to do, or cause to be done, and to assist and cooperate with the other parties in doing, all things necessary, proper or advisable 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by this Agreement and (iv) the execution and delivery of any additional instruments necessary to consummate the transactions contemplated by this Agreement.</w:t>
      </w:r>
    </w:p>
    <w:p>
      <w:pPr>
        <w:spacing w:after="0" w:line="118" w:lineRule="exact"/>
        <w:rPr>
          <w:sz w:val="20"/>
          <w:szCs w:val="20"/>
          <w:color w:val="auto"/>
        </w:rPr>
      </w:pPr>
    </w:p>
    <w:p>
      <w:pPr>
        <w:ind w:left="460" w:right="160" w:firstLine="881"/>
        <w:spacing w:after="0" w:line="268" w:lineRule="auto"/>
        <w:tabs>
          <w:tab w:leader="none" w:pos="158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Subject to Section 7.6(c) and the other terms and conditions herein provided and without limiting the foregoing, Smith and Schlumberger shall (and shall cause their respective Subsidiaries to):</w:t>
      </w:r>
    </w:p>
    <w:p>
      <w:pPr>
        <w:spacing w:after="0" w:line="51" w:lineRule="exact"/>
        <w:rPr>
          <w:sz w:val="20"/>
          <w:szCs w:val="20"/>
          <w:color w:val="auto"/>
        </w:rPr>
      </w:pPr>
    </w:p>
    <w:p>
      <w:pPr>
        <w:ind w:left="920" w:right="180" w:firstLine="421"/>
        <w:spacing w:after="0" w:line="256" w:lineRule="auto"/>
        <w:tabs>
          <w:tab w:leader="none" w:pos="154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make their respective required filings (and filings considered by Schlumberger to be advisable) under the HSR Act, the EC Merger Regulation and any other Regulatory Laws (and shall share equally all filing fees incident thereto), which filings shall be made promptly, but in no event later than 10 days after the date hereof with respect to the filing under the HSR Act, and thereafter shall promptly make any other required submissions under the HSR Act or other such laws;</w:t>
      </w:r>
    </w:p>
    <w:p>
      <w:pPr>
        <w:spacing w:after="0" w:line="62" w:lineRule="exact"/>
        <w:rPr>
          <w:rFonts w:ascii="Arial" w:cs="Arial" w:eastAsia="Arial" w:hAnsi="Arial"/>
          <w:sz w:val="18"/>
          <w:szCs w:val="18"/>
          <w:color w:val="auto"/>
        </w:rPr>
      </w:pPr>
    </w:p>
    <w:p>
      <w:pPr>
        <w:ind w:left="920" w:right="120" w:firstLine="421"/>
        <w:spacing w:after="0" w:line="298" w:lineRule="auto"/>
        <w:tabs>
          <w:tab w:leader="none" w:pos="159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use their reasonable best efforts to cooperate with one another in (A) determining which filings are required (or considered by Schlumberger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6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 Agreement, the Merger or the other transactions contemplated by this Agreement to any Governmental Entity;</w:t>
      </w:r>
    </w:p>
    <w:p>
      <w:pPr>
        <w:spacing w:after="0" w:line="25" w:lineRule="exact"/>
        <w:rPr>
          <w:rFonts w:ascii="Arial" w:cs="Arial" w:eastAsia="Arial" w:hAnsi="Arial"/>
          <w:sz w:val="16"/>
          <w:szCs w:val="16"/>
          <w:color w:val="auto"/>
        </w:rPr>
      </w:pPr>
    </w:p>
    <w:p>
      <w:pPr>
        <w:ind w:left="920" w:right="120" w:firstLine="421"/>
        <w:spacing w:after="0" w:line="294" w:lineRule="auto"/>
        <w:tabs>
          <w:tab w:leader="none" w:pos="163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not agree to participate in any meeting or substantive discussion (including, without limitation,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unless the Governmental Entity prohibits such attendance;</w:t>
      </w:r>
    </w:p>
    <w:p>
      <w:pPr>
        <w:spacing w:after="0" w:line="34" w:lineRule="exact"/>
        <w:rPr>
          <w:rFonts w:ascii="Arial" w:cs="Arial" w:eastAsia="Arial" w:hAnsi="Arial"/>
          <w:sz w:val="16"/>
          <w:szCs w:val="16"/>
          <w:color w:val="auto"/>
        </w:rPr>
      </w:pPr>
    </w:p>
    <w:p>
      <w:pPr>
        <w:ind w:left="920" w:firstLine="421"/>
        <w:spacing w:after="0" w:line="294" w:lineRule="auto"/>
        <w:tabs>
          <w:tab w:leader="none" w:pos="158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of all correspondence, filings and communications (and memoranda setting forth the substance thereof) that they, their affiliates or their respective representatives intend to submit to any Governmental Entity, it being understood that correspondence, filings and communications received from any Governmental Entity shall be immediately provided to the other party upon receipt;</w:t>
      </w:r>
    </w:p>
    <w:p>
      <w:pPr>
        <w:spacing w:after="0" w:line="34" w:lineRule="exact"/>
        <w:rPr>
          <w:rFonts w:ascii="Arial" w:cs="Arial" w:eastAsia="Arial" w:hAnsi="Arial"/>
          <w:sz w:val="16"/>
          <w:szCs w:val="16"/>
          <w:color w:val="auto"/>
        </w:rPr>
      </w:pPr>
    </w:p>
    <w:p>
      <w:pPr>
        <w:ind w:left="920" w:right="180" w:firstLine="421"/>
        <w:spacing w:after="0" w:line="298" w:lineRule="auto"/>
        <w:tabs>
          <w:tab w:leader="none" w:pos="163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 any Governmental Entity, including, without limitation, any filings necessary or appropriate under the provisions of Regulatory Laws;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(vii) deliver to the other party’s outside counsel complete copies of all documents furnished to any Governmental Entity as part of any filing.</w:t>
      </w:r>
    </w:p>
    <w:p>
      <w:pPr>
        <w:spacing w:after="0" w:line="194" w:lineRule="exact"/>
        <w:rPr>
          <w:sz w:val="20"/>
          <w:szCs w:val="20"/>
          <w:color w:val="auto"/>
        </w:rPr>
      </w:pPr>
    </w:p>
    <w:p>
      <w:pPr>
        <w:ind w:left="460" w:right="100" w:firstLine="881"/>
        <w:spacing w:after="0" w:line="290" w:lineRule="auto"/>
        <w:tabs>
          <w:tab w:leader="none" w:pos="1575" w:val="left"/>
        </w:tabs>
        <w:numPr>
          <w:ilvl w:val="1"/>
          <w:numId w:val="256"/>
        </w:numPr>
        <w:rPr>
          <w:rFonts w:ascii="Arial" w:cs="Arial" w:eastAsia="Arial" w:hAnsi="Arial"/>
          <w:sz w:val="16"/>
          <w:szCs w:val="16"/>
          <w:color w:val="auto"/>
        </w:rPr>
      </w:pPr>
      <w:r>
        <w:rPr>
          <w:rFonts w:ascii="Arial" w:cs="Arial" w:eastAsia="Arial" w:hAnsi="Arial"/>
          <w:sz w:val="16"/>
          <w:szCs w:val="16"/>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7.6(a), Section 7.6(b), Section 7.6(d) and Section 7.6(e). Smith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Smith shall use its reasonable best efforts to provide full and effective support of Schlumberger in all material respects in all such negotiations and discussions to the extent requested by Schlumberger.</w:t>
      </w:r>
    </w:p>
    <w:p>
      <w:pPr>
        <w:spacing w:after="0" w:line="118" w:lineRule="exact"/>
        <w:rPr>
          <w:rFonts w:ascii="Arial" w:cs="Arial" w:eastAsia="Arial" w:hAnsi="Arial"/>
          <w:sz w:val="16"/>
          <w:szCs w:val="16"/>
          <w:color w:val="auto"/>
        </w:rPr>
      </w:pPr>
    </w:p>
    <w:p>
      <w:pPr>
        <w:ind w:left="460" w:firstLine="881"/>
        <w:spacing w:after="0" w:line="301" w:lineRule="auto"/>
        <w:tabs>
          <w:tab w:leader="none" w:pos="1585" w:val="left"/>
        </w:tabs>
        <w:numPr>
          <w:ilvl w:val="1"/>
          <w:numId w:val="256"/>
        </w:numPr>
        <w:rPr>
          <w:rFonts w:ascii="Arial" w:cs="Arial" w:eastAsia="Arial" w:hAnsi="Arial"/>
          <w:sz w:val="15"/>
          <w:szCs w:val="15"/>
          <w:color w:val="auto"/>
        </w:rPr>
      </w:pPr>
      <w:r>
        <w:rPr>
          <w:rFonts w:ascii="Arial" w:cs="Arial" w:eastAsia="Arial" w:hAnsi="Arial"/>
          <w:sz w:val="15"/>
          <w:szCs w:val="15"/>
          <w:color w:val="auto"/>
        </w:rPr>
        <w:t xml:space="preserve">Without limiting the foregoing, Schlumberger and Merger Sub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contained in this Agreement requires Schlumberger, Merger Sub or Smith to take, or cause to be taken, any action with respect to any of the assets, businesses or product lines of Smith or any of its Subsidiaries, or of Schlumberger or any of its Subsidiaries (including the Surviving Entity), or any combination thereof, if such action would exceed the Detriment Limit. For purposes of this Agreement, the “Detriment Limit” would be exceeded if the assets, businesses or product lines required to be divested or held separate in order to obtain actions or nonactions, waivers, authorizations, expirations or terminations of waiting periods, clearances, consents and approvals from Governmental Entities under Regulatory Laws includes assets, business or product lines other than (i) the assets, businesses and product lines acquired by Smith in connection with its acquisition of W-H Energy Services, Inc. or corresponding assets, businesses or product lines of Schlumberger or its Subsidiaries overlapping with the assets, businesses or product lines acquired by Smith in connection with its acquisition of W-H Energy Services, Inc., and</w:t>
      </w:r>
    </w:p>
    <w:p>
      <w:pPr>
        <w:spacing w:after="0" w:line="3" w:lineRule="exact"/>
        <w:rPr>
          <w:rFonts w:ascii="Arial" w:cs="Arial" w:eastAsia="Arial" w:hAnsi="Arial"/>
          <w:sz w:val="15"/>
          <w:szCs w:val="15"/>
          <w:color w:val="auto"/>
        </w:rPr>
      </w:pPr>
    </w:p>
    <w:p>
      <w:pPr>
        <w:ind w:left="460" w:right="380" w:firstLine="4"/>
        <w:spacing w:after="0" w:line="300" w:lineRule="auto"/>
        <w:tabs>
          <w:tab w:leader="none" w:pos="719" w:val="left"/>
        </w:tabs>
        <w:numPr>
          <w:ilvl w:val="0"/>
          <w:numId w:val="257"/>
        </w:numPr>
        <w:rPr>
          <w:rFonts w:ascii="Arial" w:cs="Arial" w:eastAsia="Arial" w:hAnsi="Arial"/>
          <w:sz w:val="15"/>
          <w:szCs w:val="15"/>
          <w:color w:val="auto"/>
        </w:rPr>
      </w:pPr>
      <w:r>
        <w:rPr>
          <w:rFonts w:ascii="Arial" w:cs="Arial" w:eastAsia="Arial" w:hAnsi="Arial"/>
          <w:sz w:val="15"/>
          <w:szCs w:val="15"/>
          <w:color w:val="auto"/>
        </w:rPr>
        <w:t>other assets, businesses and product lines accounting for not more than $190 million of revenue of either Schlumberger or Smith for the 12 months ending December 31, 2009, excluding from such calculation (A) assets, businesses or product lines described in clause (i) of this Section 7.6(d), and</w:t>
      </w:r>
    </w:p>
    <w:p>
      <w:pPr>
        <w:ind w:left="460" w:right="100"/>
        <w:spacing w:after="0" w:line="287" w:lineRule="auto"/>
        <w:rPr>
          <w:rFonts w:ascii="Arial" w:cs="Arial" w:eastAsia="Arial" w:hAnsi="Arial"/>
          <w:sz w:val="15"/>
          <w:szCs w:val="15"/>
          <w:color w:val="auto"/>
        </w:rPr>
      </w:pPr>
      <w:r>
        <w:rPr>
          <w:rFonts w:ascii="Arial" w:cs="Arial" w:eastAsia="Arial" w:hAnsi="Arial"/>
          <w:sz w:val="16"/>
          <w:szCs w:val="16"/>
          <w:color w:val="auto"/>
        </w:rPr>
        <w:t xml:space="preserve">(B) assets, businesses or product lines of the Wilson business unit of Smith (which assets, businesses or product lines may be required to be divested or held separate and if so will not be deemed to exceed the Detriment Limit). If requested by Schlumberger, Smith will agree to any action contemplated by this Section 7.6(b),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agreement or action is conditioned on the consummation of the Merger. The parties agree that the calculation of revenue shall be measured by reference to the lowest such revenue of Schlumberger or Smith for each such overlapping asset, business or product line so required to be divested, regardless of which asset, business or product line Schlumberger actually divests. The foregoing agreement in this section is made solely to facilitate the closing of the Merger and does not constitute a representation or admission that the Merger, if consummated without any modification, would violate any Regulatory Laws or that agreeing to the divestitures, hold separate conditions or other restrictions permitted herein or suggested by any person or authority acting under any Regulatory Law would not be harmful to the parties.</w:t>
      </w:r>
    </w:p>
    <w:p>
      <w:pPr>
        <w:spacing w:after="0" w:line="124" w:lineRule="exact"/>
        <w:rPr>
          <w:rFonts w:ascii="Arial" w:cs="Arial" w:eastAsia="Arial" w:hAnsi="Arial"/>
          <w:sz w:val="15"/>
          <w:szCs w:val="15"/>
          <w:color w:val="auto"/>
        </w:rPr>
      </w:pPr>
    </w:p>
    <w:p>
      <w:pPr>
        <w:ind w:left="460" w:firstLine="881"/>
        <w:spacing w:after="0" w:line="306" w:lineRule="auto"/>
        <w:tabs>
          <w:tab w:leader="none" w:pos="1575" w:val="left"/>
        </w:tabs>
        <w:numPr>
          <w:ilvl w:val="1"/>
          <w:numId w:val="257"/>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Schlumberger shall have the right, but not the obligation, to oppose by refusing to consent to, through litigation or otherwise any request, attempt or demand by any Governmental Entity or other person for any divestiture, hold separate condition or any other restriction with respect to any assets, businesses or product lines of either Schlumberger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color w:val="auto"/>
        </w:rPr>
        <w:t xml:space="preserve">Smith and shall have the obligation to defend litigation instituted by such Governmental Entity or other person with respect to the legality of the Merger under applicable Regulatory Laws. In the event Schlumberger exercises its rights to oppose through litigation, including any appeals, a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 manner, as are necessary to achieve the clearance or approval of the Governmental Entity or other person prior to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shall not be required to take actions that would exceed the Detriment Limit. If there is no decree, order or injunction restricting or prohibiting the Merger, but the decision of a Governmental Entity in litigation contemplated by this Section 7.6(e) is under appeal, Schlumberger shall have the right to elect, and Smith shall have the obligation upon such election by Schlumberger, to proceed to close the Merger if the other conditions to Closing have been satisfied.</w:t>
      </w:r>
    </w:p>
    <w:p>
      <w:pPr>
        <w:spacing w:after="0" w:line="114" w:lineRule="exact"/>
        <w:rPr>
          <w:sz w:val="20"/>
          <w:szCs w:val="20"/>
          <w:color w:val="auto"/>
        </w:rPr>
      </w:pPr>
    </w:p>
    <w:p>
      <w:pPr>
        <w:ind w:left="460" w:right="80" w:firstLine="881"/>
        <w:spacing w:after="0" w:line="256" w:lineRule="auto"/>
        <w:tabs>
          <w:tab w:leader="none" w:pos="155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Regulatory Laws</w:t>
      </w:r>
      <w:r>
        <w:rPr>
          <w:rFonts w:ascii="Arial" w:cs="Arial" w:eastAsia="Arial" w:hAnsi="Arial"/>
          <w:sz w:val="18"/>
          <w:szCs w:val="18"/>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without limitation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45" w:lineRule="exact"/>
        <w:rPr>
          <w:sz w:val="20"/>
          <w:szCs w:val="20"/>
          <w:color w:val="auto"/>
        </w:rPr>
      </w:pPr>
    </w:p>
    <w:p>
      <w:pPr>
        <w:ind w:left="460" w:right="220" w:firstLine="876"/>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shall use its reasonable best efforts to cause the shares of Schlumberger Common Stock to be issued in the Merger and the shares of Schlumberger Common Stock to be reserved for issuance upon exercise of the Smith Options to be approved for listing on the NYSE, subject to official notice of issuance, prior to the Effective Time.</w:t>
      </w:r>
    </w:p>
    <w:p>
      <w:pPr>
        <w:spacing w:after="0" w:line="140" w:lineRule="exact"/>
        <w:rPr>
          <w:sz w:val="20"/>
          <w:szCs w:val="20"/>
          <w:color w:val="auto"/>
        </w:rPr>
      </w:pPr>
    </w:p>
    <w:p>
      <w:pPr>
        <w:ind w:left="460" w:right="40" w:firstLine="876"/>
        <w:spacing w:after="0" w:line="255"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Smith shall take all such steps as may be required to cause any dispositions of Smith Common Stock (including derivative securities with respect to Smith Common Stock) or acquisitions of Schlumberger Common Stock (including derivative securities with respect to Schlumberger Common Stock) resulting from the transactions contemplated by this Agreement by each individual who is subject to the reporting requirements of Section 16(a) of the Exchange Act with respect to Smith, to be exempt under Rule 16b-3 promulgated under the Exchange Act.</w:t>
      </w:r>
    </w:p>
    <w:p>
      <w:pPr>
        <w:spacing w:after="0" w:line="143" w:lineRule="exact"/>
        <w:rPr>
          <w:sz w:val="20"/>
          <w:szCs w:val="20"/>
          <w:color w:val="auto"/>
        </w:rPr>
      </w:pPr>
    </w:p>
    <w:p>
      <w:pPr>
        <w:ind w:left="460" w:firstLine="876"/>
        <w:spacing w:after="0" w:line="290"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i w:val="1"/>
          <w:iCs w:val="1"/>
          <w:color w:val="auto"/>
        </w:rPr>
        <w:t>Schlumberger Options and Stock Incentive Awards</w:t>
      </w:r>
      <w:r>
        <w:rPr>
          <w:rFonts w:ascii="Arial" w:cs="Arial" w:eastAsia="Arial" w:hAnsi="Arial"/>
          <w:sz w:val="16"/>
          <w:szCs w:val="16"/>
          <w:color w:val="auto"/>
        </w:rPr>
        <w:t>. As of the Closing Date, to the extent necessary to provide for registration of shares of Schlumberger Common Stock subject to a substituted Schlumberger Option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 prospectuses, for so long as such Schlumberger Options or Schlumberger Stock Incentive Awards remain outstanding.</w:t>
      </w:r>
    </w:p>
    <w:p>
      <w:pPr>
        <w:spacing w:after="0" w:line="118" w:lineRule="exact"/>
        <w:rPr>
          <w:sz w:val="20"/>
          <w:szCs w:val="20"/>
          <w:color w:val="auto"/>
        </w:rPr>
      </w:pPr>
    </w:p>
    <w:p>
      <w:pPr>
        <w:ind w:left="460" w:right="660" w:firstLine="876"/>
        <w:spacing w:after="0" w:line="268"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Coordination of Dividends</w:t>
      </w:r>
      <w:r>
        <w:rPr>
          <w:rFonts w:ascii="Arial" w:cs="Arial" w:eastAsia="Arial" w:hAnsi="Arial"/>
          <w:sz w:val="18"/>
          <w:szCs w:val="18"/>
          <w:color w:val="auto"/>
        </w:rPr>
        <w:t>. Smith shall coordinate with Schlumberger to designate the record dates for Smith’s quarterly dividends to coincide with the record dates for Schlumberger’s quarterly dividends.</w:t>
      </w:r>
    </w:p>
    <w:p>
      <w:pPr>
        <w:spacing w:after="0" w:line="132" w:lineRule="exact"/>
        <w:rPr>
          <w:sz w:val="20"/>
          <w:szCs w:val="20"/>
          <w:color w:val="auto"/>
        </w:rPr>
      </w:pPr>
    </w:p>
    <w:p>
      <w:pPr>
        <w:ind w:left="460" w:right="80" w:firstLine="876"/>
        <w:spacing w:after="0" w:line="268"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Inspection</w:t>
      </w:r>
      <w:r>
        <w:rPr>
          <w:rFonts w:ascii="Arial" w:cs="Arial" w:eastAsia="Arial" w:hAnsi="Arial"/>
          <w:sz w:val="18"/>
          <w:szCs w:val="18"/>
          <w:color w:val="auto"/>
        </w:rPr>
        <w:t>. From the date hereof to the Effective Time, each of Smith on the one hand, and Schlumberger and Merger Sub on the other hand, shall allow designated officers, attorneys,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 xml:space="preserve">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investigation pursuant to this Section 7.11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Smith on the one hand, nor Schlumberger or Merger Sub on the other 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7.11 for any purpose unrelated to the consummation of the Merger and the other transactions contemplated by this Agreement. All nonpublic information obtained pursuant to this Section 7.11 shall be governed by the Confidentiality Agreement.</w:t>
      </w:r>
    </w:p>
    <w:p>
      <w:pPr>
        <w:spacing w:after="0" w:line="124" w:lineRule="exact"/>
        <w:rPr>
          <w:sz w:val="20"/>
          <w:szCs w:val="20"/>
          <w:color w:val="auto"/>
        </w:rPr>
      </w:pPr>
    </w:p>
    <w:p>
      <w:pPr>
        <w:ind w:left="460" w:right="20" w:firstLine="876"/>
        <w:spacing w:after="0" w:line="290"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Publicity</w:t>
      </w:r>
      <w:r>
        <w:rPr>
          <w:rFonts w:ascii="Arial" w:cs="Arial" w:eastAsia="Arial" w:hAnsi="Arial"/>
          <w:sz w:val="16"/>
          <w:szCs w:val="16"/>
          <w:color w:val="auto"/>
        </w:rPr>
        <w:t>. Schlumberger and Smith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 the foregoing, except to the extent disclosed in or consistent with the Proxy Statement/Prospectus in accordance with the provisions of Section 7.2, neither Schlumberger nor Smith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Smith agree to issue a mutually acceptable joint press release announcing this Agreement.</w:t>
      </w:r>
    </w:p>
    <w:p>
      <w:pPr>
        <w:spacing w:after="0" w:line="118"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9.5,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43"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i w:val="1"/>
          <w:iCs w:val="1"/>
          <w:color w:val="auto"/>
        </w:rPr>
        <w:t>Rights Agreement</w:t>
      </w:r>
      <w:r>
        <w:rPr>
          <w:rFonts w:ascii="Arial" w:cs="Arial" w:eastAsia="Arial" w:hAnsi="Arial"/>
          <w:sz w:val="16"/>
          <w:szCs w:val="16"/>
          <w:color w:val="auto"/>
        </w:rPr>
        <w:t>. Prior to the Effective Time, the Smith Board shall take any action (including, as necessary, amending or terminating (but with respect to termination, only as of immediately prior to the Effective Time) the Rights Agreement) necessary so that (a) none of the execution and delivery of this Agreement, the conversion of shares of Smith Common Stock into the right to receive the Merger Consideration in accordance with this Agreement, and the consummation of the Merger or any other transaction contemplated by this Agreement hereby will cause (i) the Smith Rights to become exercisable under the Rights Agreement, (ii) Schlumberger or any of its affiliates to be deemed an “Acquiring Person” (as defined in the Rights Agreement), (iii) the provisions of Section 11 or Section 13 of the Rights Agreement to become applicable to any such event or (iv) the “Distribution Date” or the “Shares Acquisition Date” (each as defined in the Rights Agreement) to occur upon any such event, and (b) the “Final Expiration Date” (as defined in the Rights Agreement) of the Smith Rights will occur immediately prior to the Effective Time so that the Smith Rights will expire immediately prior to the Effective Time. Without the prior written consent of Schlumberger, neither the Smith Board nor Smith shall take any other action to terminate the Rights Agreement, redeem the Smith Rights, cause any person not to be or become an “Acquiring Person” or otherwise amend the Rights Agreement in a manner, or take any other action under the Rights Agreement, adverse to Schlumberger or its affiliates.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firstLine="876"/>
        <w:spacing w:after="0" w:line="255"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State Takeover Laws</w:t>
      </w:r>
      <w:r>
        <w:rPr>
          <w:rFonts w:ascii="Arial" w:cs="Arial" w:eastAsia="Arial" w:hAnsi="Arial"/>
          <w:sz w:val="18"/>
          <w:szCs w:val="18"/>
          <w:color w:val="auto"/>
        </w:rPr>
        <w:t>. If any “fair price,” “moratorium,” “business combination,” or “control share acquisition” statute or other similar statute or regulation is or shall become applicable to the transactions contemplated by this Agreement, Smith and the Smith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43" w:lineRule="exact"/>
        <w:rPr>
          <w:sz w:val="20"/>
          <w:szCs w:val="20"/>
          <w:color w:val="auto"/>
        </w:rPr>
      </w:pPr>
    </w:p>
    <w:p>
      <w:pPr>
        <w:ind w:left="460" w:firstLine="876"/>
        <w:spacing w:after="0" w:line="294" w:lineRule="auto"/>
        <w:rPr>
          <w:sz w:val="20"/>
          <w:szCs w:val="20"/>
          <w:color w:val="auto"/>
        </w:rPr>
      </w:pPr>
      <w:r>
        <w:rPr>
          <w:rFonts w:ascii="Arial" w:cs="Arial" w:eastAsia="Arial" w:hAnsi="Arial"/>
          <w:sz w:val="16"/>
          <w:szCs w:val="16"/>
          <w:color w:val="auto"/>
        </w:rPr>
        <w:t xml:space="preserve">Section 7.16 </w:t>
      </w:r>
      <w:r>
        <w:rPr>
          <w:rFonts w:ascii="Arial" w:cs="Arial" w:eastAsia="Arial" w:hAnsi="Arial"/>
          <w:sz w:val="16"/>
          <w:szCs w:val="16"/>
          <w:i w:val="1"/>
          <w:iCs w:val="1"/>
          <w:color w:val="auto"/>
        </w:rPr>
        <w:t>Stockholder Litigation</w:t>
      </w:r>
      <w:r>
        <w:rPr>
          <w:rFonts w:ascii="Arial" w:cs="Arial" w:eastAsia="Arial" w:hAnsi="Arial"/>
          <w:sz w:val="16"/>
          <w:szCs w:val="16"/>
          <w:color w:val="auto"/>
        </w:rPr>
        <w:t>. Smith shall give Schlumberger the opportunity to participate in the defense or settlement of any stockholder litigation against Smith and/or its directors or officers relating to the transactions contemplated by this Agreement. Smith agrees that it shall not settle or offer to settle any litigation commenced on or after the date hereof against Smith or any of its directors or officers by any stockholder of Smith relating to this Agreement, the Merger, any other transaction contemplated by this Agreement or otherwise, without the prior written consent of Schlumberger (such consent not to be unreasonably withheld, conditioned or delayed).</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171" w:lineRule="exact"/>
        <w:rPr>
          <w:sz w:val="20"/>
          <w:szCs w:val="20"/>
          <w:color w:val="auto"/>
        </w:rPr>
      </w:pPr>
    </w:p>
    <w:p>
      <w:pPr>
        <w:ind w:left="460" w:right="160" w:firstLine="881"/>
        <w:spacing w:after="0" w:line="282" w:lineRule="auto"/>
        <w:tabs>
          <w:tab w:leader="none" w:pos="1575" w:val="left"/>
        </w:tabs>
        <w:numPr>
          <w:ilvl w:val="1"/>
          <w:numId w:val="259"/>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the Surviving Entity (i) shall indemnify, defend and hold harmless each person who is, or at any time prior to the Effective Time has been, a director, officer or employee of Smith or any of its Subsidiaries and each person who is, or at any time prior to the Effective Time, served at the request of Smith as a director, officer, employee or agent of another corporation or of a partnership, joint venture, trust or other enterprise, including service with respect to employee benefit plans (individually, an “</w:t>
      </w:r>
      <w:r>
        <w:rPr>
          <w:rFonts w:ascii="Arial" w:cs="Arial" w:eastAsia="Arial" w:hAnsi="Arial"/>
          <w:sz w:val="16"/>
          <w:szCs w:val="16"/>
          <w:b w:val="1"/>
          <w:bCs w:val="1"/>
          <w:color w:val="auto"/>
        </w:rPr>
        <w:t>Indemnified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against all expense, liability and loss (including attorneys’ fees, judgments, fines, ERISA excise Taxes or penalties and amounts paid or to be paid in settlement) reasonably incurred or suffered by such person in connection with any action, suit or proceeding, whether civil, criminal, administrative or investigative (an “</w:t>
      </w:r>
      <w:r>
        <w:rPr>
          <w:rFonts w:ascii="Arial" w:cs="Arial" w:eastAsia="Arial" w:hAnsi="Arial"/>
          <w:sz w:val="16"/>
          <w:szCs w:val="16"/>
          <w:b w:val="1"/>
          <w:bCs w:val="1"/>
          <w:color w:val="auto"/>
        </w:rPr>
        <w:t>Action</w:t>
      </w:r>
      <w:r>
        <w:rPr>
          <w:rFonts w:ascii="Arial" w:cs="Arial" w:eastAsia="Arial" w:hAnsi="Arial"/>
          <w:sz w:val="16"/>
          <w:szCs w:val="16"/>
          <w:color w:val="auto"/>
        </w:rPr>
        <w:t>”), by reason of the fact that such Indemnified Party is or was a director, officer, employee or agent of Smith, any of its Subsidiaries or any such corporation, partnership, joint venture, trust or other enterprise, to the fullest extent permitted by Applicable Law, and</w:t>
      </w:r>
    </w:p>
    <w:p>
      <w:pPr>
        <w:spacing w:after="0" w:line="5" w:lineRule="exact"/>
        <w:rPr>
          <w:rFonts w:ascii="Arial" w:cs="Arial" w:eastAsia="Arial" w:hAnsi="Arial"/>
          <w:sz w:val="16"/>
          <w:szCs w:val="16"/>
          <w:color w:val="auto"/>
        </w:rPr>
      </w:pPr>
    </w:p>
    <w:p>
      <w:pPr>
        <w:ind w:left="460" w:right="80" w:firstLine="4"/>
        <w:spacing w:after="0" w:line="290" w:lineRule="auto"/>
        <w:tabs>
          <w:tab w:leader="none" w:pos="71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without limitation to clause (i), to the fullest extent permitted by Applicable Law, shall also advance expenses as incurred to the same such extent;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person to whom fees and expenses are advanced shall, if required by Applicable Law, provide an undertaking to repay such advances if 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ultimately determined that such person is not entitled to indemnification;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Surviving Entity shall not be required to pay the fees and expenses of more than one counsel (which counsel shall be reasonably acceptable to the Surviving Entity) in addition to local counsel for all Indemnified Parties in any single Action unless, in the good faith judgment of any of the Indemnified Parties, there is or may be a conflict of interest between two or more of such Indemnified Parties.</w:t>
      </w:r>
    </w:p>
    <w:p>
      <w:pPr>
        <w:spacing w:after="0" w:line="118" w:lineRule="exact"/>
        <w:rPr>
          <w:rFonts w:ascii="Arial" w:cs="Arial" w:eastAsia="Arial" w:hAnsi="Arial"/>
          <w:sz w:val="16"/>
          <w:szCs w:val="16"/>
          <w:color w:val="auto"/>
        </w:rPr>
      </w:pPr>
    </w:p>
    <w:p>
      <w:pPr>
        <w:ind w:left="460" w:right="60" w:firstLine="881"/>
        <w:spacing w:after="0" w:line="287" w:lineRule="auto"/>
        <w:tabs>
          <w:tab w:leader="none" w:pos="1585"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Smith may purchase a “tail” directors’ and officers’ liability insurance policy covering the Indemnified Parties who are or at any time prior to the Effective Time covered by Smith’s existing directors’ and officers’ liability insurance policies for at least six years after the Effective Time on terms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premium thereof shall not exceed the amount specified in Section 7.17(a) of the Smith Disclosure Letter. If Smith does not purchase such a policy, then for a period of six years after the Effective Time, the Surviving Entity shall cause to be maintained officers’ and directors’ liability insurance covering the Indemnified Parties who are, or at any time prior to the Effective Time were, covered by Smith’s existing officers’ and directors’ liability insurance policies on terms substantially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Surviving Entity shall not be required to pay annual premiums in excess of 300% of the last annual premium paid by Smith prior to the date hereof (the amount of which premium is set forth in Section 7.17(b)(2) of the Smith Disclosure Letter), but in such case shall purchase as much coverage as reasonably practicable for such amount. In either case, Schlumberger and the Surviving Entity will maintain such policies in full force and effect and honor the obligations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firstLine="881"/>
        <w:spacing w:after="0" w:line="256" w:lineRule="auto"/>
        <w:tabs>
          <w:tab w:leader="none" w:pos="157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 the event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7.17.</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86" w:lineRule="auto"/>
        <w:tabs>
          <w:tab w:leader="none" w:pos="157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Smith Benefit Plans and compensation arrangements and agreements in accordance with their terms as in effect immediately prior to the Effective Time. For a period of one year following the Effective Time, Schlumberger shall provide, or shall cause to be provided, to each current and former employee of Smith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xml:space="preserve">”) compensation and benefits that are no less favorable, in the aggregate, than the compensation and benefits provided to each such Covered Employee immediately prior to the Effective Time, excluding for purposes of this comparison any equity-based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agrees to provide equity compensation to Covered Employees substantially comparable to equity compensation provided to similarly situated employees of Schlumberger. For a period of one year following the Effective Time, Schlumberger shall provide, or shall cause to be provided, (i) to each Covered Employee who suffers a termination of employment severance benefits in accordance with the applicable severance plans, programs, agreements and arrangements of Smith as in effect immediately prior to the Effective Time (with full service credit for years of service with Smith and its Subsidiaries (and predecessors)) and (ii) to Covered Employees who are eligible for retiree welfare benefits immediately prior to the Effective Time, retiree welfare benefits that are no less favorable than those provided pursuant to the arrangements of Smith and its Subsidiaries as in effect immediately prior to the Effective Time.</w:t>
      </w:r>
    </w:p>
    <w:p>
      <w:pPr>
        <w:spacing w:after="0" w:line="124" w:lineRule="exact"/>
        <w:rPr>
          <w:rFonts w:ascii="Arial" w:cs="Arial" w:eastAsia="Arial" w:hAnsi="Arial"/>
          <w:sz w:val="16"/>
          <w:szCs w:val="16"/>
          <w:color w:val="auto"/>
        </w:rPr>
      </w:pPr>
    </w:p>
    <w:p>
      <w:pPr>
        <w:ind w:left="460" w:firstLine="881"/>
        <w:spacing w:after="0" w:line="284" w:lineRule="auto"/>
        <w:tabs>
          <w:tab w:leader="none" w:pos="158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severance plan or program eligibility or retiree welfare eligibility under any retiree welfare plan sponsored by Schlumberger or its Subsidiaries (other than under plans sponsored by Smith and its Subsidiaries immediately prior to the Effective Date or a direct successor plan)) under the employee benefit plans of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Smith and its Subsidiaries (and predecessors) prior to the Effective Time, to the same extent as such Covered Employee was entitled, prior to the Effective Time, to credit for such service under any similar Smith employee benefit plan in which such Covered Employee participated or was eligible to participate immediately prior to the Effective Time (and to the extent there is no similar Smith plan, service as recognized for purposes of Smith’s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For purposes of determining severance benefits under any New Plan providing severance benefits based on years of service (other than under an employment or change in control agreement) payable to a Covered Employee whose employment is terminated in circumstances eligible for severance benefits: (i) following the first anniversary of the Effective Time and on or prior to the third anniversary of the Effective Time, severance benefits shall be based on the sum of (A) severance payable under the terms of the Smith severance arrangement applicable to such employee as in effect immediately prior to the Effective Time based on service with Smith and its Subsidiaries (and predecessors) up to the Effective Time and (B) severance payable under the relevant severance arrangement of Schlumberger or its applicable Subsidiary based on years of service with Schlumberger and its Subsidiaries following the Effective Time, (ii) on or following the fifth anniversary of the Effective Time, severance benefits shall be based on the severance payable under the relevant severance arrangement of Schlumberger or its applicable Subsidiary based on the sum of years of service with Smith and its Subsidiaries (and predecessors) prior to the Effective Time and years of service with Schlumberger and its Subsidiaries following the Effective Time and (iii) between the third and fifth anniversaries of the Effective Time, severance benefits shall be based 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83" w:lineRule="auto"/>
        <w:rPr>
          <w:sz w:val="20"/>
          <w:szCs w:val="20"/>
          <w:color w:val="auto"/>
        </w:rPr>
      </w:pPr>
      <w:r>
        <w:rPr>
          <w:rFonts w:ascii="Arial" w:cs="Arial" w:eastAsia="Arial" w:hAnsi="Arial"/>
          <w:sz w:val="16"/>
          <w:szCs w:val="16"/>
          <w:color w:val="auto"/>
        </w:rPr>
        <w:t>a formula which provides a ratable transition between the severance determined under clauses (i) and (ii) above. Following the first anniversary of the Effective Time, Covered Employees will be treated as new hires in any New Plan providing retiree welfare benefits, with service credited only from the period beginning with the Effective Time. In addition, and without limiting the generality of the foregoing: (i) each Covered Employee shall be immediately eligible to participate, without any waiting time, in any and all New Plans to the extent coverage under such New Plan is comparable to a Smith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w:t>
      </w:r>
    </w:p>
    <w:p>
      <w:pPr>
        <w:spacing w:after="0" w:line="2" w:lineRule="exact"/>
        <w:rPr>
          <w:sz w:val="20"/>
          <w:szCs w:val="20"/>
          <w:color w:val="auto"/>
        </w:rPr>
      </w:pPr>
    </w:p>
    <w:p>
      <w:pPr>
        <w:ind w:left="460" w:right="80" w:firstLine="4"/>
        <w:spacing w:after="0" w:line="286" w:lineRule="auto"/>
        <w:tabs>
          <w:tab w:leader="none" w:pos="71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Smith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 Schlumberger agrees to consider in good faith, and to consult with Smith in good faith between the date hereof and the Closing Date in respect of, design alternatives with respect to equitable treatment under (x) the retiree medical programs of Schlumberger and its Subsidiaries of Covered Employees who have attained the age of 40 prior to the Closing Date, and (y) the defined benefit pension plans of Schlumberger and its Subsidiaries of Covered Employees who were previously employed by Schlumberger and its Subsidiaries and participated in such plans.</w:t>
      </w:r>
    </w:p>
    <w:p>
      <w:pPr>
        <w:spacing w:after="0" w:line="120" w:lineRule="exact"/>
        <w:rPr>
          <w:rFonts w:ascii="Arial" w:cs="Arial" w:eastAsia="Arial" w:hAnsi="Arial"/>
          <w:sz w:val="16"/>
          <w:szCs w:val="16"/>
          <w:color w:val="auto"/>
        </w:rPr>
      </w:pPr>
    </w:p>
    <w:p>
      <w:pPr>
        <w:ind w:left="460" w:right="140" w:firstLine="881"/>
        <w:spacing w:after="0" w:line="259" w:lineRule="auto"/>
        <w:tabs>
          <w:tab w:leader="none" w:pos="157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Schlumberger and Smith hereby acknowledge that a “change of control” or “change in control” (or term of similar import) within the meaning of each of the Smith Benefit Plans identified on Section 5.11(e) of the Smith Disclosure Letter will occur at or immediately prior to the Effective Time, as applicable.</w:t>
      </w:r>
    </w:p>
    <w:p>
      <w:pPr>
        <w:spacing w:after="0" w:line="140" w:lineRule="exact"/>
        <w:rPr>
          <w:rFonts w:ascii="Arial" w:cs="Arial" w:eastAsia="Arial" w:hAnsi="Arial"/>
          <w:sz w:val="18"/>
          <w:szCs w:val="18"/>
          <w:color w:val="auto"/>
        </w:rPr>
      </w:pPr>
    </w:p>
    <w:p>
      <w:pPr>
        <w:ind w:left="460" w:firstLine="881"/>
        <w:spacing w:after="0" w:line="301" w:lineRule="auto"/>
        <w:tabs>
          <w:tab w:leader="none" w:pos="1585" w:val="left"/>
        </w:tabs>
        <w:numPr>
          <w:ilvl w:val="1"/>
          <w:numId w:val="263"/>
        </w:numPr>
        <w:rPr>
          <w:rFonts w:ascii="Arial" w:cs="Arial" w:eastAsia="Arial" w:hAnsi="Arial"/>
          <w:sz w:val="15"/>
          <w:szCs w:val="15"/>
          <w:color w:val="auto"/>
        </w:rPr>
      </w:pPr>
      <w:r>
        <w:rPr>
          <w:rFonts w:ascii="Arial" w:cs="Arial" w:eastAsia="Arial" w:hAnsi="Arial"/>
          <w:sz w:val="15"/>
          <w:szCs w:val="15"/>
          <w:color w:val="auto"/>
        </w:rPr>
        <w:t xml:space="preserve">Smith may set and pay short-term incentive bonuses (i.e., bonuses in respect of a performance period of one year or less) in the ordinary course of business consistent in all material respects with past practice,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if the Effective Time occurs after the end of any short-term performance period and prior to the time that short-term incentive bonuses for such period would be paid in the ordinary course of business consistent in all material respects with past practice, Smith shall pay, immediately prior to the Effective Time, to each person who is a participant in a short-term incentive program immediately prior to the Effective Time (a “</w:t>
      </w:r>
      <w:r>
        <w:rPr>
          <w:rFonts w:ascii="Arial" w:cs="Arial" w:eastAsia="Arial" w:hAnsi="Arial"/>
          <w:sz w:val="15"/>
          <w:szCs w:val="15"/>
          <w:b w:val="1"/>
          <w:bCs w:val="1"/>
          <w:color w:val="auto"/>
        </w:rPr>
        <w:t>Bonus Plan Participant</w:t>
      </w:r>
      <w:r>
        <w:rPr>
          <w:rFonts w:ascii="Arial" w:cs="Arial" w:eastAsia="Arial" w:hAnsi="Arial"/>
          <w:sz w:val="15"/>
          <w:szCs w:val="15"/>
          <w:color w:val="auto"/>
        </w:rPr>
        <w:t>”) a bonus with respect to such performance period based on actual performance for the applicable performance period, provided to the extent that actual results are not yet available for such period or any portion thereof, such bonus shall be paid following the Effective Time at the time at which the actual results are available and (ii) for the performance period in which the Effective Time occurs, the Surviving Entity shall pay, following the conclusion of the relevant performance period to each Bonus Plan Participant an amount equal to the amount payable based on actual performance under the terms of the Smith incentive arrangement, payable at the time such amounts would have been paid in the ordinary course of business consistent in all material respects with past practice. Notwithstanding the foregoing, with respect to any Bonus Plan Participant who incurs a severance-qualifying termination of employment prior to payment of a bonus for a performance period described in this Section 7.18(d), the Surviving Entity shall pay such Bonus Plan Participant, at the same time as bonuses for such performance period are paid generally, a prorated bonus equal to the product of (x) the bonus that would have been payable to such Bonus Plan Participant had he or she remained employed through the conclusion of such period (determined without regard to any subjective criteria that could reduce such amount) times (y) the lesser of</w:t>
      </w:r>
    </w:p>
    <w:p>
      <w:pPr>
        <w:spacing w:after="0" w:line="2" w:lineRule="exact"/>
        <w:rPr>
          <w:rFonts w:ascii="Arial" w:cs="Arial" w:eastAsia="Arial" w:hAnsi="Arial"/>
          <w:sz w:val="15"/>
          <w:szCs w:val="15"/>
          <w:color w:val="auto"/>
        </w:rPr>
      </w:pPr>
    </w:p>
    <w:p>
      <w:pPr>
        <w:ind w:left="460" w:right="300"/>
        <w:spacing w:after="0" w:line="255" w:lineRule="auto"/>
        <w:rPr>
          <w:rFonts w:ascii="Arial" w:cs="Arial" w:eastAsia="Arial" w:hAnsi="Arial"/>
          <w:sz w:val="15"/>
          <w:szCs w:val="15"/>
          <w:color w:val="auto"/>
        </w:rPr>
      </w:pPr>
      <w:r>
        <w:rPr>
          <w:rFonts w:ascii="Arial" w:cs="Arial" w:eastAsia="Arial" w:hAnsi="Arial"/>
          <w:sz w:val="18"/>
          <w:szCs w:val="18"/>
          <w:color w:val="auto"/>
        </w:rPr>
        <w:t>(1) a fraction, the numerator of which is the number of days that has elapsed in the performance period for the short term incentive program through the date of such termination and the denominator of which is the total number of days scheduled in the performance period for the short term incentive program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and (2) one. For purposes of this Agreement, a severance-qualifying termination shall include any termination of employment by Schlumberger and its Subsidiaries other than for Cause (as defined in the Company’s 1989 Long-Term Incentive Compensation Plan) or any other termination of employment that entitles the applicable Covered Employee to severance under an individual agreement.</w:t>
      </w:r>
    </w:p>
    <w:p>
      <w:pPr>
        <w:spacing w:after="0" w:line="140" w:lineRule="exact"/>
        <w:rPr>
          <w:sz w:val="20"/>
          <w:szCs w:val="20"/>
          <w:color w:val="auto"/>
        </w:rPr>
      </w:pPr>
    </w:p>
    <w:p>
      <w:pPr>
        <w:ind w:left="460" w:right="120" w:firstLine="881"/>
        <w:spacing w:after="0" w:line="268" w:lineRule="auto"/>
        <w:tabs>
          <w:tab w:leader="none" w:pos="157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of the Effective Time, Schlumberger shall (or shall cause the Surviving Entity to) take all action necessary to effectuate the agreements set forth in Section 7.18(e) of the Smith Disclosure Letter.</w:t>
      </w:r>
    </w:p>
    <w:p>
      <w:pPr>
        <w:spacing w:after="0" w:line="131" w:lineRule="exact"/>
        <w:rPr>
          <w:rFonts w:ascii="Arial" w:cs="Arial" w:eastAsia="Arial" w:hAnsi="Arial"/>
          <w:sz w:val="18"/>
          <w:szCs w:val="18"/>
          <w:color w:val="auto"/>
        </w:rPr>
      </w:pPr>
    </w:p>
    <w:p>
      <w:pPr>
        <w:ind w:left="460" w:right="340" w:firstLine="881"/>
        <w:spacing w:after="0" w:line="259" w:lineRule="auto"/>
        <w:tabs>
          <w:tab w:leader="none" w:pos="155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With respect to any Covered Employees based outside of the United States, Schlumberger’s obligations under this Section 7.18 shall be modified to the extent necessary to comply with Applicable Laws of the foreign countries and political subdivisions thereof in which such Covered Employees are based.</w:t>
      </w:r>
    </w:p>
    <w:p>
      <w:pPr>
        <w:spacing w:after="0" w:line="140" w:lineRule="exact"/>
        <w:rPr>
          <w:rFonts w:ascii="Arial" w:cs="Arial" w:eastAsia="Arial" w:hAnsi="Arial"/>
          <w:sz w:val="18"/>
          <w:szCs w:val="18"/>
          <w:color w:val="auto"/>
        </w:rPr>
      </w:pPr>
    </w:p>
    <w:p>
      <w:pPr>
        <w:ind w:left="460" w:right="20" w:firstLine="881"/>
        <w:spacing w:after="0" w:line="259" w:lineRule="auto"/>
        <w:tabs>
          <w:tab w:leader="none" w:pos="158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7.18, to amend, terminate or otherwise modify any employee benefit plan following the Effective Time.</w:t>
      </w:r>
    </w:p>
    <w:p>
      <w:pPr>
        <w:spacing w:after="0" w:line="140" w:lineRule="exact"/>
        <w:rPr>
          <w:rFonts w:ascii="Arial" w:cs="Arial" w:eastAsia="Arial" w:hAnsi="Arial"/>
          <w:sz w:val="18"/>
          <w:szCs w:val="18"/>
          <w:color w:val="auto"/>
        </w:rPr>
      </w:pPr>
    </w:p>
    <w:p>
      <w:pPr>
        <w:jc w:val="both"/>
        <w:ind w:left="460" w:right="60" w:firstLine="881"/>
        <w:spacing w:after="0" w:line="298" w:lineRule="auto"/>
        <w:tabs>
          <w:tab w:leader="none" w:pos="158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parties acknowledge and agree that all provisions contained in this Section 7.18 with respect to employees are included for the sole benefit of the parties to this Agreement, and that nothing in this Agreement, whether express or implied, shall create any third party beneficiary or other rights (i) in any other Person, including, without limitation, any employees, former employees, any participant in any Smith Benefit Plan, or any dependent or beneficiary thereof, or (ii) to continued employment with Schlumberger or any Subsidiary.</w:t>
      </w:r>
    </w:p>
    <w:p>
      <w:pPr>
        <w:spacing w:after="0" w:line="113"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i w:val="1"/>
          <w:iCs w:val="1"/>
          <w:color w:val="auto"/>
        </w:rPr>
        <w:t>Certain Transfer Taxes</w:t>
      </w:r>
      <w:r>
        <w:rPr>
          <w:rFonts w:ascii="Arial" w:cs="Arial" w:eastAsia="Arial" w:hAnsi="Arial"/>
          <w:sz w:val="18"/>
          <w:szCs w:val="18"/>
          <w:color w:val="auto"/>
        </w:rPr>
        <w:t>. Any liability arising out of any real estate transfer Tax (which, for the avoidance of doubt, shall not include any Tax imposed by Section 897 or 1445 of the Code or other income Taxes) with respect to interests in real property owned directly or indirectly by Smith or any of its Subsidiaries immediately prior to the Merger, if applicable and due with respect to the Merger, shall be borne by the Surviving Entity and expressly shall not be a liability of stockholders of Smith.</w:t>
      </w:r>
    </w:p>
    <w:p>
      <w:pPr>
        <w:spacing w:after="0" w:line="143" w:lineRule="exact"/>
        <w:rPr>
          <w:sz w:val="20"/>
          <w:szCs w:val="20"/>
          <w:color w:val="auto"/>
        </w:rPr>
      </w:pPr>
    </w:p>
    <w:p>
      <w:pPr>
        <w:ind w:left="460" w:firstLine="876"/>
        <w:spacing w:after="0" w:line="306" w:lineRule="auto"/>
        <w:rPr>
          <w:sz w:val="20"/>
          <w:szCs w:val="20"/>
          <w:color w:val="auto"/>
        </w:rPr>
      </w:pPr>
      <w:r>
        <w:rPr>
          <w:rFonts w:ascii="Arial" w:cs="Arial" w:eastAsia="Arial" w:hAnsi="Arial"/>
          <w:sz w:val="16"/>
          <w:szCs w:val="16"/>
          <w:color w:val="auto"/>
        </w:rPr>
        <w:t xml:space="preserve">Section 7.20 </w:t>
      </w:r>
      <w:r>
        <w:rPr>
          <w:rFonts w:ascii="Arial" w:cs="Arial" w:eastAsia="Arial" w:hAnsi="Arial"/>
          <w:sz w:val="16"/>
          <w:szCs w:val="16"/>
          <w:i w:val="1"/>
          <w:iCs w:val="1"/>
          <w:color w:val="auto"/>
        </w:rPr>
        <w:t>Tax Matters.</w:t>
      </w:r>
      <w:r>
        <w:rPr>
          <w:rFonts w:ascii="Arial" w:cs="Arial" w:eastAsia="Arial" w:hAnsi="Arial"/>
          <w:sz w:val="16"/>
          <w:szCs w:val="16"/>
          <w:color w:val="auto"/>
        </w:rPr>
        <w:t xml:space="preserve"> Neither Schlumberger, Merger Sub nor Smith shall take any action or knowingly fail to take any action, which action or failure to act would (i) prevent or impede, or would be reasonably likely to prevent or impede, the Merger from qualifying as a “reorganization” within the meaning of Section 368(a) of the Code, or (ii) cause the stockholders of Smith to recognize gain pursuant to Section 367(a) of the Code.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177"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51" w:lineRule="exact"/>
        <w:rPr>
          <w:sz w:val="20"/>
          <w:szCs w:val="20"/>
          <w:color w:val="auto"/>
        </w:rPr>
      </w:pPr>
    </w:p>
    <w:p>
      <w:pPr>
        <w:ind w:left="1580" w:hanging="239"/>
        <w:spacing w:after="0"/>
        <w:tabs>
          <w:tab w:leader="none" w:pos="15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Smith Stockholder Approval shall have been obtained.</w:t>
      </w:r>
    </w:p>
    <w:p>
      <w:pPr>
        <w:spacing w:after="0" w:line="90" w:lineRule="exact"/>
        <w:rPr>
          <w:rFonts w:ascii="Arial" w:cs="Arial" w:eastAsia="Arial" w:hAnsi="Arial"/>
          <w:sz w:val="18"/>
          <w:szCs w:val="18"/>
          <w:color w:val="auto"/>
        </w:rPr>
      </w:pPr>
    </w:p>
    <w:p>
      <w:pPr>
        <w:ind w:left="920" w:right="60" w:firstLine="421"/>
        <w:spacing w:after="0" w:line="256" w:lineRule="auto"/>
        <w:tabs>
          <w:tab w:leader="none" w:pos="158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51" w:lineRule="exact"/>
        <w:rPr>
          <w:sz w:val="20"/>
          <w:szCs w:val="20"/>
          <w:color w:val="auto"/>
        </w:rPr>
      </w:pPr>
    </w:p>
    <w:p>
      <w:pPr>
        <w:ind w:left="920" w:right="220" w:firstLine="421"/>
        <w:spacing w:after="0" w:line="255" w:lineRule="auto"/>
        <w:tabs>
          <w:tab w:leader="none" w:pos="157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8.1(c) of the Smith Disclosure Letter shall have been obtained, except for those waiting and other time periods and clearances or approvals the failure of which to expire, lapse, terminate or be obtained would not reasonably be expected to have a Smith Material Adverse Effect or a Schlumberger Material Adverse Effect (after giving effect to the Merger).</w:t>
      </w:r>
    </w:p>
    <w:p>
      <w:pPr>
        <w:spacing w:after="0" w:line="61" w:lineRule="exact"/>
        <w:rPr>
          <w:rFonts w:ascii="Arial" w:cs="Arial" w:eastAsia="Arial" w:hAnsi="Arial"/>
          <w:sz w:val="18"/>
          <w:szCs w:val="18"/>
          <w:color w:val="auto"/>
        </w:rPr>
      </w:pPr>
    </w:p>
    <w:p>
      <w:pPr>
        <w:ind w:left="920" w:right="20" w:firstLine="421"/>
        <w:spacing w:after="0" w:line="290" w:lineRule="auto"/>
        <w:tabs>
          <w:tab w:leader="none" w:pos="158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No judgment, injunction, order or decree of any Governmental Entity of competent jurisdiction in the United States, the European Union, or a jurisdiction whose waiting or time period must expire, lapse or terminate or whose clearance or approval must be obtained under Section 8.1(c) (an “</w:t>
      </w:r>
      <w:r>
        <w:rPr>
          <w:rFonts w:ascii="Arial" w:cs="Arial" w:eastAsia="Arial" w:hAnsi="Arial"/>
          <w:sz w:val="16"/>
          <w:szCs w:val="16"/>
          <w:b w:val="1"/>
          <w:bCs w:val="1"/>
          <w:color w:val="auto"/>
        </w:rPr>
        <w:t>8.1(c) Jurisdiction</w:t>
      </w:r>
      <w:r>
        <w:rPr>
          <w:rFonts w:ascii="Arial" w:cs="Arial" w:eastAsia="Arial" w:hAnsi="Arial"/>
          <w:sz w:val="16"/>
          <w:szCs w:val="16"/>
          <w:color w:val="auto"/>
        </w:rPr>
        <w:t xml:space="preserve">”) shall prohibit or enjoin the consummation of the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attempting to invoke this condition to delay the Closing shall have complied with Section 7.4 and 7.6, and with respect to other matters not covered by Section 7.4 and 7.6,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an 8.1(c) Jurisdiction which prohibits or makes unlawful the consummation of the Merger.</w:t>
      </w:r>
    </w:p>
    <w:p>
      <w:pPr>
        <w:spacing w:after="0" w:line="37" w:lineRule="exact"/>
        <w:rPr>
          <w:rFonts w:ascii="Arial" w:cs="Arial" w:eastAsia="Arial" w:hAnsi="Arial"/>
          <w:sz w:val="16"/>
          <w:szCs w:val="16"/>
          <w:color w:val="auto"/>
        </w:rPr>
      </w:pPr>
    </w:p>
    <w:p>
      <w:pPr>
        <w:ind w:left="920" w:right="300" w:firstLine="421"/>
        <w:spacing w:after="0" w:line="332" w:lineRule="auto"/>
        <w:tabs>
          <w:tab w:leader="none" w:pos="157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no proceedings for that purpose shall have been initiated or threatened by the SEC.</w:t>
      </w:r>
    </w:p>
    <w:p>
      <w:pPr>
        <w:spacing w:after="0" w:line="4" w:lineRule="exact"/>
        <w:rPr>
          <w:rFonts w:ascii="Arial" w:cs="Arial" w:eastAsia="Arial" w:hAnsi="Arial"/>
          <w:sz w:val="16"/>
          <w:szCs w:val="16"/>
          <w:color w:val="auto"/>
        </w:rPr>
      </w:pPr>
    </w:p>
    <w:p>
      <w:pPr>
        <w:ind w:left="920" w:right="20" w:firstLine="421"/>
        <w:spacing w:after="0" w:line="268" w:lineRule="auto"/>
        <w:tabs>
          <w:tab w:leader="none" w:pos="155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pursuant to the Merger shall have been authorized for listing on the NYSE, subject to official notice of issuance.</w:t>
      </w:r>
    </w:p>
    <w:p>
      <w:pPr>
        <w:spacing w:after="0" w:line="132" w:lineRule="exact"/>
        <w:rPr>
          <w:sz w:val="20"/>
          <w:szCs w:val="20"/>
          <w:color w:val="auto"/>
        </w:rPr>
      </w:pPr>
    </w:p>
    <w:p>
      <w:pPr>
        <w:ind w:left="460" w:right="640" w:firstLine="876"/>
        <w:spacing w:after="0" w:line="268"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Conditions to Obligation of Smith to Effect the Merger</w:t>
      </w:r>
      <w:r>
        <w:rPr>
          <w:rFonts w:ascii="Arial" w:cs="Arial" w:eastAsia="Arial" w:hAnsi="Arial"/>
          <w:sz w:val="18"/>
          <w:szCs w:val="18"/>
          <w:color w:val="auto"/>
        </w:rPr>
        <w:t>. The obligation of Smith to effect the Merger shall be subject to the satisfaction or waiver at or prior to the Closing Date of the following conditions:</w:t>
      </w:r>
    </w:p>
    <w:p>
      <w:pPr>
        <w:spacing w:after="0" w:line="51" w:lineRule="exact"/>
        <w:rPr>
          <w:sz w:val="20"/>
          <w:szCs w:val="20"/>
          <w:color w:val="auto"/>
        </w:rPr>
      </w:pPr>
    </w:p>
    <w:p>
      <w:pPr>
        <w:ind w:left="920" w:right="320" w:firstLine="421"/>
        <w:spacing w:after="0" w:line="306" w:lineRule="auto"/>
        <w:tabs>
          <w:tab w:leader="none" w:pos="157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Each of Schlumberger and Merger Sub shall have performed, in all material respects, its covenants and agreements contained in this Agreement required to be performed on or prior to the Closing Date, and Smith shall have received a certificate of Schlumberger, executed on its behalf by its President or one of its Vice Presidents, dated the Closing Date, certifying to such effect.</w:t>
      </w:r>
    </w:p>
    <w:p>
      <w:pPr>
        <w:spacing w:after="0" w:line="25" w:lineRule="exact"/>
        <w:rPr>
          <w:rFonts w:ascii="Arial" w:cs="Arial" w:eastAsia="Arial" w:hAnsi="Arial"/>
          <w:sz w:val="16"/>
          <w:szCs w:val="16"/>
          <w:color w:val="auto"/>
        </w:rPr>
      </w:pPr>
    </w:p>
    <w:p>
      <w:pPr>
        <w:ind w:left="920" w:firstLine="421"/>
        <w:spacing w:after="0" w:line="289" w:lineRule="auto"/>
        <w:tabs>
          <w:tab w:leader="none" w:pos="158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and Merger Sub contained in this Agreement (i) that are qualified as to a Schlumberger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Schlumberger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Schlumberger Material Adverse Effect, and Smith shall have received a certificate of Schlumberger, executed on its behalf by its President or one of its Vice Presidents, dated the Closing Date, certifying to such effect.</w:t>
      </w:r>
    </w:p>
    <w:p>
      <w:pPr>
        <w:spacing w:after="0" w:line="37" w:lineRule="exact"/>
        <w:rPr>
          <w:rFonts w:ascii="Arial" w:cs="Arial" w:eastAsia="Arial" w:hAnsi="Arial"/>
          <w:sz w:val="16"/>
          <w:szCs w:val="16"/>
          <w:color w:val="auto"/>
        </w:rPr>
      </w:pPr>
    </w:p>
    <w:p>
      <w:pPr>
        <w:ind w:left="920" w:right="100" w:firstLine="421"/>
        <w:spacing w:after="0" w:line="259" w:lineRule="auto"/>
        <w:tabs>
          <w:tab w:leader="none" w:pos="157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Smith shall have received an opinion from Wachtell, Lipton, Rosen &amp; Katz, in form and substance reasonably satisfactory to Smith, on the basis of representations and warranties set forth or referred to in such opinion, dated as of the Closing Date, to the effect that (i) the Merger will be treated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94" w:lineRule="auto"/>
        <w:rPr>
          <w:sz w:val="20"/>
          <w:szCs w:val="20"/>
          <w:color w:val="auto"/>
        </w:rPr>
      </w:pPr>
      <w:r>
        <w:rPr>
          <w:rFonts w:ascii="Arial" w:cs="Arial" w:eastAsia="Arial" w:hAnsi="Arial"/>
          <w:sz w:val="16"/>
          <w:szCs w:val="16"/>
          <w:color w:val="auto"/>
        </w:rPr>
        <w:t>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i w:val="1"/>
          <w:iCs w:val="1"/>
          <w:color w:val="auto"/>
        </w:rPr>
        <w:t>Conditions to Obligation of Schlumberger to Effect the Merger</w:t>
      </w:r>
      <w:r>
        <w:rPr>
          <w:rFonts w:ascii="Arial" w:cs="Arial" w:eastAsia="Arial" w:hAnsi="Arial"/>
          <w:sz w:val="16"/>
          <w:szCs w:val="16"/>
          <w:color w:val="auto"/>
        </w:rPr>
        <w:t>. The obligations of Schlumberger and Merger Sub to effect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Merger shall be subject to the satisfaction or waiver at or prior to the Closing Date of the following conditions:</w:t>
      </w:r>
    </w:p>
    <w:p>
      <w:pPr>
        <w:spacing w:after="0" w:line="84" w:lineRule="exact"/>
        <w:rPr>
          <w:sz w:val="20"/>
          <w:szCs w:val="20"/>
          <w:color w:val="auto"/>
        </w:rPr>
      </w:pPr>
    </w:p>
    <w:p>
      <w:pPr>
        <w:ind w:left="920" w:right="40" w:firstLine="421"/>
        <w:spacing w:after="0" w:line="288" w:lineRule="auto"/>
        <w:tabs>
          <w:tab w:leader="none" w:pos="157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Smith shall have performed, in all material respects, its covenants and agreements contained in this Agreement required to be performed on or prior to the Closing Date, and the representations and warranties of Smith contained in this Agreement (i) that are qualified as to a Smith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Smith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Smith Material Adverse Effect, and Schlumberger shall have received a certificate of Smith, executed on its behalf by its President or one of its Vice Presidents, dated the Closing Date, certifying to such effect.</w:t>
      </w:r>
    </w:p>
    <w:p>
      <w:pPr>
        <w:spacing w:after="0" w:line="38" w:lineRule="exact"/>
        <w:rPr>
          <w:rFonts w:ascii="Arial" w:cs="Arial" w:eastAsia="Arial" w:hAnsi="Arial"/>
          <w:sz w:val="16"/>
          <w:szCs w:val="16"/>
          <w:color w:val="auto"/>
        </w:rPr>
      </w:pPr>
    </w:p>
    <w:p>
      <w:pPr>
        <w:ind w:left="920" w:right="60" w:firstLine="421"/>
        <w:spacing w:after="0" w:line="290" w:lineRule="auto"/>
        <w:tabs>
          <w:tab w:leader="none" w:pos="158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Schlumberger shall have received an opinion from Baker Botts L.L.P., in form and substance reasonably satisfactory to Schlumberger, on the basis of representations and warranties set forth or referred to in such opinion, dated as of the Closing Date, to the effect that (i) the Merger will be treated 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77" w:lineRule="exact"/>
        <w:rPr>
          <w:sz w:val="20"/>
          <w:szCs w:val="20"/>
          <w:color w:val="auto"/>
        </w:rPr>
      </w:pPr>
    </w:p>
    <w:p>
      <w:pPr>
        <w:ind w:left="460" w:firstLine="876"/>
        <w:spacing w:after="0" w:line="268"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Termination by Mutual Consent</w:t>
      </w:r>
      <w:r>
        <w:rPr>
          <w:rFonts w:ascii="Arial" w:cs="Arial" w:eastAsia="Arial" w:hAnsi="Arial"/>
          <w:sz w:val="18"/>
          <w:szCs w:val="18"/>
          <w:color w:val="auto"/>
        </w:rPr>
        <w:t>. This Agreement may be terminated at any time prior to the Effective Time, whether before or after the receipt of the Smith Stockholder Approval, by the mutual written consent of Smith and Schlumberger.</w:t>
      </w:r>
    </w:p>
    <w:p>
      <w:pPr>
        <w:spacing w:after="0" w:line="132" w:lineRule="exact"/>
        <w:rPr>
          <w:sz w:val="20"/>
          <w:szCs w:val="20"/>
          <w:color w:val="auto"/>
        </w:rPr>
      </w:pPr>
    </w:p>
    <w:p>
      <w:pPr>
        <w:ind w:left="460" w:right="60" w:firstLine="876"/>
        <w:spacing w:after="0" w:line="330"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i w:val="1"/>
          <w:iCs w:val="1"/>
          <w:color w:val="auto"/>
        </w:rPr>
        <w:t>Termination by Schlumberger or Smith</w:t>
      </w:r>
      <w:r>
        <w:rPr>
          <w:rFonts w:ascii="Arial" w:cs="Arial" w:eastAsia="Arial" w:hAnsi="Arial"/>
          <w:sz w:val="16"/>
          <w:szCs w:val="16"/>
          <w:color w:val="auto"/>
        </w:rPr>
        <w:t>. This Agreement may be terminated at any time prior to the Effective Time, whether before or after the receipt of the Smith Stockholder Approval, by action of the Smith Board or the Board of Directors of Schlumberger if:</w:t>
      </w:r>
    </w:p>
    <w:p>
      <w:pPr>
        <w:spacing w:after="0" w:line="1" w:lineRule="exact"/>
        <w:rPr>
          <w:sz w:val="20"/>
          <w:szCs w:val="20"/>
          <w:color w:val="auto"/>
        </w:rPr>
      </w:pPr>
    </w:p>
    <w:p>
      <w:pPr>
        <w:ind w:left="920" w:right="140" w:firstLine="421"/>
        <w:spacing w:after="0" w:line="262" w:lineRule="auto"/>
        <w:tabs>
          <w:tab w:leader="none" w:pos="157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Merger shall not have been consummated by February 21, 2011 (the “</w:t>
      </w:r>
      <w:r>
        <w:rPr>
          <w:rFonts w:ascii="Arial" w:cs="Arial" w:eastAsia="Arial" w:hAnsi="Arial"/>
          <w:sz w:val="18"/>
          <w:szCs w:val="18"/>
          <w:b w:val="1"/>
          <w:bCs w:val="1"/>
          <w:color w:val="auto"/>
        </w:rPr>
        <w:t>Initial Termination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9.2(a) shall not be available to any party whose failure to perform or observe in any material respect any of its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 xml:space="preserve">obligations under this Agreement in any manner shall have been the cause of, or resulted in, the failure of the Merger to occur on or before such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on the Initial Termination Date the condition to Closing set forth in Section 8.1(b), (c) or (d) (but for purposes of</w:t>
      </w:r>
    </w:p>
    <w:p>
      <w:pPr>
        <w:ind w:left="920" w:right="40"/>
        <w:spacing w:after="0" w:line="292" w:lineRule="auto"/>
        <w:rPr>
          <w:sz w:val="20"/>
          <w:szCs w:val="20"/>
          <w:color w:val="auto"/>
        </w:rPr>
      </w:pPr>
      <w:r>
        <w:rPr>
          <w:rFonts w:ascii="Arial" w:cs="Arial" w:eastAsia="Arial" w:hAnsi="Arial"/>
          <w:sz w:val="16"/>
          <w:szCs w:val="16"/>
          <w:color w:val="auto"/>
        </w:rPr>
        <w:t>Section 8.1(d) 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Smith by written notice to the other to a date not later than May 31, 2011. As used in this Agreement, the term “</w:t>
      </w:r>
      <w:r>
        <w:rPr>
          <w:rFonts w:ascii="Arial" w:cs="Arial" w:eastAsia="Arial" w:hAnsi="Arial"/>
          <w:sz w:val="16"/>
          <w:szCs w:val="16"/>
          <w:b w:val="1"/>
          <w:b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shall mean the Initial Termination Date, unless the Initial Termination Date has been extended pursuant to the foregoing proviso,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case, the term “Termination Date” shall mean the date to which the Termination Date has been extended;</w:t>
      </w:r>
    </w:p>
    <w:p>
      <w:pPr>
        <w:spacing w:after="0" w:line="36" w:lineRule="exact"/>
        <w:rPr>
          <w:sz w:val="20"/>
          <w:szCs w:val="20"/>
          <w:color w:val="auto"/>
        </w:rPr>
      </w:pPr>
    </w:p>
    <w:p>
      <w:pPr>
        <w:jc w:val="both"/>
        <w:ind w:left="920" w:right="200" w:firstLine="421"/>
        <w:spacing w:after="0" w:line="259" w:lineRule="auto"/>
        <w:tabs>
          <w:tab w:leader="none" w:pos="158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Smith Stockholders Meeting (including adjournments and postponements) shall have concluded and the Smith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9.2(b) shall not be available to Smith if it has not materially complied with its obligations under Section 7.3; or</w:t>
      </w:r>
    </w:p>
    <w:p>
      <w:pPr>
        <w:spacing w:after="0" w:line="59" w:lineRule="exact"/>
        <w:rPr>
          <w:rFonts w:ascii="Arial" w:cs="Arial" w:eastAsia="Arial" w:hAnsi="Arial"/>
          <w:sz w:val="18"/>
          <w:szCs w:val="18"/>
          <w:color w:val="auto"/>
        </w:rPr>
      </w:pPr>
    </w:p>
    <w:p>
      <w:pPr>
        <w:ind w:left="920" w:right="80" w:firstLine="421"/>
        <w:spacing w:after="0" w:line="294" w:lineRule="auto"/>
        <w:tabs>
          <w:tab w:leader="none" w:pos="157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a court of competent jurisdiction in the United States, the European Union or an 8.1(c)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seeking to terminate this Agreement pursuant to this Section 9.2(c) shall have complied with Section 7.4 and Section 7.6 and, with respect to other matters not covered by Section 7.4 and Section 7.6, shall have used its reasonable best efforts to remove such injunction, order or decree.</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i w:val="1"/>
          <w:iCs w:val="1"/>
          <w:color w:val="auto"/>
        </w:rPr>
        <w:t>Termination by Smith</w:t>
      </w:r>
      <w:r>
        <w:rPr>
          <w:rFonts w:ascii="Arial" w:cs="Arial" w:eastAsia="Arial" w:hAnsi="Arial"/>
          <w:sz w:val="16"/>
          <w:szCs w:val="16"/>
          <w:color w:val="auto"/>
        </w:rPr>
        <w:t>. This Agreement may be terminated at any time prior to the Effective Time by action of the Smith Board</w:t>
      </w:r>
    </w:p>
    <w:p>
      <w:pPr>
        <w:spacing w:after="0" w:line="38" w:lineRule="exact"/>
        <w:rPr>
          <w:sz w:val="20"/>
          <w:szCs w:val="20"/>
          <w:color w:val="auto"/>
        </w:rPr>
      </w:pPr>
    </w:p>
    <w:p>
      <w:pPr>
        <w:ind w:left="460" w:firstLine="4"/>
        <w:spacing w:after="0" w:line="288" w:lineRule="auto"/>
        <w:tabs>
          <w:tab w:leader="none" w:pos="69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if there has been a breach by Schlumberger of any representation, warranty, covenant or agreement set forth in this Agreement or if any representation or warranty of Schlumberger shall have become untrue, in either case such that the conditions set forth in Section 8.2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pursuant to this Section 9.3 shall not be available to Smith if it, at such time, is in breach of any representation, warranty, covenant or agreement set forth in this Agreement such that the conditions set forth in Section 8.3(a) shall not be satisfied, or (b) at any time prior to obtaining the Smith Stockholder Approval, in order to enter into any agreement, understanding or arrangement providing for a Superior Proposal in accordance with Section 7.3(b); </w:t>
      </w:r>
      <w:r>
        <w:rPr>
          <w:rFonts w:ascii="Arial" w:cs="Arial" w:eastAsia="Arial" w:hAnsi="Arial"/>
          <w:sz w:val="16"/>
          <w:szCs w:val="16"/>
          <w:i w:val="1"/>
          <w:iCs w:val="1"/>
          <w:color w:val="auto"/>
        </w:rPr>
        <w:t>provided</w:t>
      </w:r>
      <w:r>
        <w:rPr>
          <w:rFonts w:ascii="Arial" w:cs="Arial" w:eastAsia="Arial" w:hAnsi="Arial"/>
          <w:sz w:val="16"/>
          <w:szCs w:val="16"/>
          <w:color w:val="auto"/>
        </w:rPr>
        <w:t>, that Smith shall concurrently with such termination pay to Schlumberger the Termination Fee in accordance with Section 9.5(a).</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Termination by Schlumberger</w:t>
      </w:r>
      <w:r>
        <w:rPr>
          <w:rFonts w:ascii="Arial" w:cs="Arial" w:eastAsia="Arial" w:hAnsi="Arial"/>
          <w:sz w:val="16"/>
          <w:szCs w:val="16"/>
          <w:color w:val="auto"/>
        </w:rPr>
        <w:t>. This Agreement may be terminated at any time prior to the Effective Time by action of the Board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of Schlumberger, if:</w:t>
      </w:r>
    </w:p>
    <w:p>
      <w:pPr>
        <w:spacing w:after="0" w:line="84" w:lineRule="exact"/>
        <w:rPr>
          <w:sz w:val="20"/>
          <w:szCs w:val="20"/>
          <w:color w:val="auto"/>
        </w:rPr>
      </w:pPr>
    </w:p>
    <w:p>
      <w:pPr>
        <w:jc w:val="both"/>
        <w:ind w:left="920" w:firstLine="421"/>
        <w:spacing w:after="0" w:line="318" w:lineRule="auto"/>
        <w:tabs>
          <w:tab w:leader="none" w:pos="1579" w:val="left"/>
        </w:tabs>
        <w:numPr>
          <w:ilvl w:val="0"/>
          <w:numId w:val="272"/>
        </w:numPr>
        <w:rPr>
          <w:rFonts w:ascii="Arial" w:cs="Arial" w:eastAsia="Arial" w:hAnsi="Arial"/>
          <w:sz w:val="15"/>
          <w:szCs w:val="15"/>
          <w:color w:val="auto"/>
        </w:rPr>
      </w:pPr>
      <w:r>
        <w:rPr>
          <w:rFonts w:ascii="Arial" w:cs="Arial" w:eastAsia="Arial" w:hAnsi="Arial"/>
          <w:sz w:val="15"/>
          <w:szCs w:val="15"/>
          <w:color w:val="auto"/>
        </w:rPr>
        <w:t xml:space="preserve">there has been a breach by Smith of any representation, warranty, covenant or agreement set forth in this Agreement or if any representation or warranty of Smith shall have become untrue, in either case such that the conditions set forth in Section 8.3 would not be satisfied, and such breach or failure to be true and correct is not curable by the Termination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right to terminate this Agreement pursuant to this Section 9.4(a) shall not be available to Schlumberger if it, at such time, is in breach of any representation, warranty, covenant or agreement set forth in this Agreement such that any of the conditions set forth in Section 8.2(a) and Section 8.2(b) shall not be satisfied; or</w:t>
      </w:r>
    </w:p>
    <w:p>
      <w:pPr>
        <w:spacing w:after="0" w:line="18" w:lineRule="exact"/>
        <w:rPr>
          <w:rFonts w:ascii="Arial" w:cs="Arial" w:eastAsia="Arial" w:hAnsi="Arial"/>
          <w:sz w:val="15"/>
          <w:szCs w:val="15"/>
          <w:color w:val="auto"/>
        </w:rPr>
      </w:pPr>
    </w:p>
    <w:p>
      <w:pPr>
        <w:ind w:left="920" w:right="480" w:firstLine="421"/>
        <w:spacing w:after="0" w:line="268" w:lineRule="auto"/>
        <w:tabs>
          <w:tab w:leader="none" w:pos="158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Smith Board shall have failed to recommend its approval or recommendation of this Agreement or the Merger or there has been a Change in Recommendation, whether or not permitted by the terms 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165" w:lineRule="exact"/>
        <w:rPr>
          <w:sz w:val="20"/>
          <w:szCs w:val="20"/>
          <w:color w:val="auto"/>
        </w:rPr>
      </w:pPr>
    </w:p>
    <w:p>
      <w:pPr>
        <w:ind w:left="1580" w:hanging="239"/>
        <w:spacing w:after="0"/>
        <w:tabs>
          <w:tab w:leader="none" w:pos="1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Smith shall pay Schlumberger a fee of $340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500" w:right="120" w:firstLine="389"/>
        <w:spacing w:after="0" w:line="255" w:lineRule="auto"/>
        <w:tabs>
          <w:tab w:leader="none" w:pos="2107"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9.2(b), and (x) such termination occurs after an Acquisition Proposal shall have been made known to Smith (including any of its Representatives) and communicated publicly or shall have been made directly to the stockholders of Smith by any person, in each case such Acquisition Proposal shall not have been withdrawn, and (y) within one year after such termination, Smith enters into a definitive agreement with respect to an Acquisition Proposal or an Acquisition Proposal is consummated;</w:t>
      </w:r>
    </w:p>
    <w:p>
      <w:pPr>
        <w:spacing w:after="0" w:line="61" w:lineRule="exact"/>
        <w:rPr>
          <w:rFonts w:ascii="Arial" w:cs="Arial" w:eastAsia="Arial" w:hAnsi="Arial"/>
          <w:sz w:val="18"/>
          <w:szCs w:val="18"/>
          <w:color w:val="auto"/>
        </w:rPr>
      </w:pPr>
    </w:p>
    <w:p>
      <w:pPr>
        <w:ind w:left="2140" w:hanging="251"/>
        <w:spacing w:after="0"/>
        <w:tabs>
          <w:tab w:leader="none" w:pos="214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9.3(b); or</w:t>
      </w:r>
    </w:p>
    <w:p>
      <w:pPr>
        <w:spacing w:after="0" w:line="90" w:lineRule="exact"/>
        <w:rPr>
          <w:rFonts w:ascii="Arial" w:cs="Arial" w:eastAsia="Arial" w:hAnsi="Arial"/>
          <w:sz w:val="18"/>
          <w:szCs w:val="18"/>
          <w:color w:val="auto"/>
        </w:rPr>
      </w:pPr>
    </w:p>
    <w:p>
      <w:pPr>
        <w:ind w:left="2200" w:hanging="311"/>
        <w:spacing w:after="0"/>
        <w:tabs>
          <w:tab w:leader="none" w:pos="22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9.4(b);</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which fee shall be payable: in the case of clause (i), upon the first to occur of such entering into a definitive agreement or consummation referred to in subclause</w:t>
      </w:r>
    </w:p>
    <w:p>
      <w:pPr>
        <w:spacing w:after="0" w:line="38" w:lineRule="exact"/>
        <w:rPr>
          <w:sz w:val="20"/>
          <w:szCs w:val="20"/>
          <w:color w:val="auto"/>
        </w:rPr>
      </w:pPr>
    </w:p>
    <w:p>
      <w:pPr>
        <w:ind w:firstLine="8"/>
        <w:spacing w:after="0" w:line="307" w:lineRule="auto"/>
        <w:tabs>
          <w:tab w:leader="none" w:pos="249" w:val="left"/>
        </w:tabs>
        <w:numPr>
          <w:ilvl w:val="0"/>
          <w:numId w:val="274"/>
        </w:numPr>
        <w:rPr>
          <w:rFonts w:ascii="Arial" w:cs="Arial" w:eastAsia="Arial" w:hAnsi="Arial"/>
          <w:sz w:val="15"/>
          <w:szCs w:val="15"/>
          <w:color w:val="auto"/>
        </w:rPr>
      </w:pPr>
      <w:r>
        <w:rPr>
          <w:rFonts w:ascii="Arial" w:cs="Arial" w:eastAsia="Arial" w:hAnsi="Arial"/>
          <w:sz w:val="15"/>
          <w:szCs w:val="15"/>
          <w:color w:val="auto"/>
        </w:rPr>
        <w:t xml:space="preserve">thereof; and in the case of clauses (ii) and (iii), upon such 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purposes of this Section 9.5(a), the references to “20%” in the definition of Acquisition Proposal shall be deemed to be references to “50%”. Any amount payable pursuant to this Section 9.5(a) shall be reduced by any amount paid pursuant to Section 9.5(c). Schlumberger and Merger Sub agree that in the event that the Termination Fee is paid or may be payable to Schlumberger pursuant to this Section 9.5(a),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5"/>
          <w:szCs w:val="15"/>
          <w:b w:val="1"/>
          <w:bCs w:val="1"/>
          <w:color w:val="auto"/>
        </w:rPr>
        <w:t>Related Persons</w:t>
      </w:r>
      <w:r>
        <w:rPr>
          <w:rFonts w:ascii="Arial" w:cs="Arial" w:eastAsia="Arial" w:hAnsi="Arial"/>
          <w:sz w:val="15"/>
          <w:szCs w:val="15"/>
          <w:color w:val="auto"/>
        </w:rPr>
        <w:t>”) against Smith or any of its Related Persons for, and in no event will Schlumberger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Schlumberger of the Termination Fee, neither Smith nor any Related Person of Smith shall have any further liability or obligation to Schlumberger or any of its Related Persons relating to or arising out of this Agreement or the transactions contemplated hereby (subject to Section 9.5(g)).</w:t>
      </w:r>
    </w:p>
    <w:p>
      <w:pPr>
        <w:spacing w:after="0" w:line="110" w:lineRule="exact"/>
        <w:rPr>
          <w:rFonts w:ascii="Arial" w:cs="Arial" w:eastAsia="Arial" w:hAnsi="Arial"/>
          <w:sz w:val="15"/>
          <w:szCs w:val="15"/>
          <w:color w:val="auto"/>
        </w:rPr>
      </w:pPr>
    </w:p>
    <w:p>
      <w:pPr>
        <w:ind w:left="460" w:right="100" w:firstLine="881"/>
        <w:spacing w:after="0" w:line="286" w:lineRule="auto"/>
        <w:tabs>
          <w:tab w:leader="none" w:pos="1585" w:val="left"/>
        </w:tabs>
        <w:numPr>
          <w:ilvl w:val="1"/>
          <w:numId w:val="274"/>
        </w:numPr>
        <w:rPr>
          <w:rFonts w:ascii="Arial" w:cs="Arial" w:eastAsia="Arial" w:hAnsi="Arial"/>
          <w:sz w:val="16"/>
          <w:szCs w:val="16"/>
          <w:color w:val="auto"/>
        </w:rPr>
      </w:pPr>
      <w:r>
        <w:rPr>
          <w:rFonts w:ascii="Arial" w:cs="Arial" w:eastAsia="Arial" w:hAnsi="Arial"/>
          <w:sz w:val="16"/>
          <w:szCs w:val="16"/>
          <w:color w:val="auto"/>
        </w:rPr>
        <w:t>If this Agreement is terminated by Smith or Schlumberger pursuant to Section 9.2(c) as a result of an order, decree, ruling or other action under Regulatory Laws or Section 9.2(a) and all of the conditions to Closing set forth in Article 8 (other than (A) the conditions set forth in Section 8.1(b), Section 8.1(c) and Section 8.1(d) and (B) those other conditions that, by their nature, cannot be satisfied until the Closing Date, but, in the case of clause (B), which conditions would be capable of satisfaction if the Closing Date were the date of such termination) have been satisfied or waived on or prior to the date of such termination, then Schlumberger shall pay to Smith a fee of $615 million (the “</w:t>
      </w:r>
      <w:r>
        <w:rPr>
          <w:rFonts w:ascii="Arial" w:cs="Arial" w:eastAsia="Arial" w:hAnsi="Arial"/>
          <w:sz w:val="16"/>
          <w:szCs w:val="16"/>
          <w:b w:val="1"/>
          <w:bCs w:val="1"/>
          <w:color w:val="auto"/>
        </w:rPr>
        <w:t>Reverse Termination Fee</w:t>
      </w:r>
      <w:r>
        <w:rPr>
          <w:rFonts w:ascii="Arial" w:cs="Arial" w:eastAsia="Arial" w:hAnsi="Arial"/>
          <w:sz w:val="16"/>
          <w:szCs w:val="16"/>
          <w:color w:val="auto"/>
        </w:rPr>
        <w:t>”) (which fee shall be payable within two (2) business days after written notice of such termination). Smith agrees that in the event that the Reverse Termination Fee is paid to Smith pursuant to this Section 9.5(b), the payment of such Reverse Termination Fee shall be the sole and exclusive remedy of Smith and its Related Persons against Schlumberger, Merger Sub or any of their Related Persons for, and in no event will Smith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Smith of the Reverse Termination Fee, neither Schlumberger, Merger Sub nor any Related Person of Schlumberger shall have any further liability or obligation to Smith or any of its Related Persons relating to or arising out of this Agreement or the transactions contemplated hereby (subject to Section 9.5(g)).</w:t>
      </w:r>
    </w:p>
    <w:p>
      <w:pPr>
        <w:spacing w:after="0" w:line="120" w:lineRule="exact"/>
        <w:rPr>
          <w:rFonts w:ascii="Arial" w:cs="Arial" w:eastAsia="Arial" w:hAnsi="Arial"/>
          <w:sz w:val="16"/>
          <w:szCs w:val="16"/>
          <w:color w:val="auto"/>
        </w:rPr>
      </w:pPr>
    </w:p>
    <w:p>
      <w:pPr>
        <w:ind w:left="460" w:right="400" w:firstLine="881"/>
        <w:spacing w:after="0" w:line="268" w:lineRule="auto"/>
        <w:tabs>
          <w:tab w:leader="none" w:pos="1575"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Without limiting the rights of Schlumberger under Section 9.5(g), if this Agreement is terminated (i) pursuant to Section 9.2(b) and no Termination Fee is yet payable in respect thereof pursuant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to Section 9.5(a), or (ii) Section 9.4(a) because there has been a willful and material breach by Smith of any covenant or agreement set forth herein, then Smith shall reimburse Schlumberger for its actual costs and expenses incurred in connection with the transactions contemplated hereby in an amount not to exceed $10 million.</w:t>
      </w:r>
    </w:p>
    <w:p>
      <w:pPr>
        <w:spacing w:after="0" w:line="140" w:lineRule="exact"/>
        <w:rPr>
          <w:sz w:val="20"/>
          <w:szCs w:val="20"/>
          <w:color w:val="auto"/>
        </w:rPr>
      </w:pPr>
    </w:p>
    <w:p>
      <w:pPr>
        <w:ind w:left="460" w:right="20" w:firstLine="881"/>
        <w:spacing w:after="0" w:line="256" w:lineRule="auto"/>
        <w:tabs>
          <w:tab w:leader="none" w:pos="158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Without limiting the rights of Smith under Section 9.5(g), if this Agreement is terminated by Smith pursuant to Section 9.3(a) because there has been a willful and material breach by Schlumberger of any covenant or agreement set forth herein and no Reverse Termination Fee is payable pursuant to Section 9.5(b), then Schlumberger shall reimburse Smith for its actual costs and expenses incurred in connection with the transactions contemplated hereby in an amount not to exceed $10 million.</w:t>
      </w:r>
    </w:p>
    <w:p>
      <w:pPr>
        <w:spacing w:after="0" w:line="143" w:lineRule="exact"/>
        <w:rPr>
          <w:rFonts w:ascii="Arial" w:cs="Arial" w:eastAsia="Arial" w:hAnsi="Arial"/>
          <w:sz w:val="18"/>
          <w:szCs w:val="18"/>
          <w:color w:val="auto"/>
        </w:rPr>
      </w:pPr>
    </w:p>
    <w:p>
      <w:pPr>
        <w:ind w:left="460" w:right="420" w:firstLine="881"/>
        <w:spacing w:after="0" w:line="268" w:lineRule="auto"/>
        <w:tabs>
          <w:tab w:leader="none" w:pos="157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All payments under this Section 9.5 shall be made promptly upon becoming due by wire transfer of immediately available funds to an account designated by the receiving party.</w:t>
      </w:r>
    </w:p>
    <w:p>
      <w:pPr>
        <w:spacing w:after="0" w:line="131" w:lineRule="exact"/>
        <w:rPr>
          <w:rFonts w:ascii="Arial" w:cs="Arial" w:eastAsia="Arial" w:hAnsi="Arial"/>
          <w:sz w:val="18"/>
          <w:szCs w:val="18"/>
          <w:color w:val="auto"/>
        </w:rPr>
      </w:pPr>
    </w:p>
    <w:p>
      <w:pPr>
        <w:ind w:left="460" w:right="40" w:firstLine="881"/>
        <w:spacing w:after="0" w:line="253" w:lineRule="auto"/>
        <w:tabs>
          <w:tab w:leader="none" w:pos="155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Each of Smith and Schlumberger acknowledge that the agreements contained in this Section 9.5 are an integral part of the transactions contemplated by this Agreement, and that, without these agreements, neither Smith nor Schlumberger would enter into this Agreement; accordingly, if either Smith fails to pay, or Schlumberger fails to pay, as applicable, any amount due pursuant to this Section 9.5, and, in order to obtain such payment, the party entitled to such payment commences a suit which results in a judgment against the party failing to pay for the fees to which reference is made in this Section 9.5, 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Street Journal</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ind w:left="460" w:firstLine="881"/>
        <w:spacing w:after="0" w:line="291" w:lineRule="auto"/>
        <w:tabs>
          <w:tab w:leader="none" w:pos="158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and the abandonment of the Merger pursuant to this Article 9, all obligations of the parties hereto shall terminate, except the obligations of the parties pursuant to this Section 9.5, the last sentence of Section 7.11 and Section 7.13, Section 7.17 and Article 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relieve any party from any liability for any willful and material breach by such party of any of its covenants or agreements set forth in this Agreement, and all rights and remedies of such nonbreaching party under this Agreement in the case of such a willful and material breach, at law or in equity, shall be preserved. The Confidentiality Agreement shall survive any termination of this Agreement, and the provisions of such Confidentiality Agreement shall apply to all information and material delivered by any party hereunder.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Nonsurvival of Representations, Warranties and Agreements</w:t>
      </w:r>
      <w:r>
        <w:rPr>
          <w:rFonts w:ascii="Arial" w:cs="Arial" w:eastAsia="Arial" w:hAnsi="Arial"/>
          <w:sz w:val="18"/>
          <w:szCs w:val="18"/>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agreements contained in Article 4 and in Section 3.1, Section 3.2, Section 7.9, Section 7.17, Section 7.18 and Section 7.19 and this Article 10, and the agreements delivered pursuant to this Agreement shall survive the Effective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87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or by overnight courier (with proof of service), hand delivery or certified or registered mail (return receipt requested and first-class postage prepaid), addressed as follows:</w:t>
      </w:r>
    </w:p>
    <w:p>
      <w:pPr>
        <w:spacing w:after="0" w:line="127" w:lineRule="exact"/>
        <w:rPr>
          <w:sz w:val="20"/>
          <w:szCs w:val="20"/>
          <w:color w:val="auto"/>
        </w:rPr>
      </w:pPr>
    </w:p>
    <w:p>
      <w:pPr>
        <w:ind w:left="1480" w:hanging="567"/>
        <w:spacing w:after="0"/>
        <w:tabs>
          <w:tab w:leader="none" w:pos="14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to Smith:</w:t>
      </w:r>
    </w:p>
    <w:p>
      <w:pPr>
        <w:spacing w:after="0" w:line="144"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Smith International, Inc.</w:t>
      </w:r>
    </w:p>
    <w:p>
      <w:pPr>
        <w:spacing w:after="0" w:line="15" w:lineRule="exact"/>
        <w:rPr>
          <w:rFonts w:ascii="Arial" w:cs="Arial" w:eastAsia="Arial" w:hAnsi="Arial"/>
          <w:sz w:val="18"/>
          <w:szCs w:val="18"/>
          <w:color w:val="auto"/>
        </w:rPr>
      </w:pPr>
    </w:p>
    <w:p>
      <w:pPr>
        <w:ind w:left="1500" w:right="7500"/>
        <w:spacing w:after="0" w:line="254" w:lineRule="auto"/>
        <w:rPr>
          <w:rFonts w:ascii="Arial" w:cs="Arial" w:eastAsia="Arial" w:hAnsi="Arial"/>
          <w:sz w:val="18"/>
          <w:szCs w:val="18"/>
          <w:color w:val="auto"/>
        </w:rPr>
      </w:pPr>
      <w:r>
        <w:rPr>
          <w:rFonts w:ascii="Arial" w:cs="Arial" w:eastAsia="Arial" w:hAnsi="Arial"/>
          <w:sz w:val="18"/>
          <w:szCs w:val="18"/>
          <w:color w:val="auto"/>
        </w:rPr>
        <w:t>1310 Rankin Road Houston, Texas 77073 Attention: Richard E. Chandler, Jr. Facsimile: (281) 233-5996</w:t>
      </w:r>
    </w:p>
    <w:p>
      <w:pPr>
        <w:spacing w:after="0" w:line="11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144" w:lineRule="exact"/>
        <w:rPr>
          <w:rFonts w:ascii="Arial" w:cs="Arial" w:eastAsia="Arial" w:hAnsi="Arial"/>
          <w:sz w:val="18"/>
          <w:szCs w:val="18"/>
          <w:color w:val="auto"/>
        </w:rPr>
      </w:pPr>
    </w:p>
    <w:p>
      <w:pPr>
        <w:ind w:left="1500" w:right="7680"/>
        <w:spacing w:after="0" w:line="254" w:lineRule="auto"/>
        <w:rPr>
          <w:rFonts w:ascii="Arial" w:cs="Arial" w:eastAsia="Arial" w:hAnsi="Arial"/>
          <w:sz w:val="18"/>
          <w:szCs w:val="18"/>
          <w:color w:val="auto"/>
        </w:rPr>
      </w:pPr>
      <w:r>
        <w:rPr>
          <w:rFonts w:ascii="Arial" w:cs="Arial" w:eastAsia="Arial" w:hAnsi="Arial"/>
          <w:sz w:val="18"/>
          <w:szCs w:val="18"/>
          <w:color w:val="auto"/>
        </w:rPr>
        <w:t>Wachtell, Lipton, Rosen &amp; Katz 51 West 52nd Street</w:t>
      </w:r>
    </w:p>
    <w:p>
      <w:pPr>
        <w:ind w:left="1500" w:right="79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 Attention: Daniel A. Neff</w:t>
      </w:r>
    </w:p>
    <w:p>
      <w:pPr>
        <w:spacing w:after="0" w:line="1" w:lineRule="exact"/>
        <w:rPr>
          <w:rFonts w:ascii="Arial" w:cs="Arial" w:eastAsia="Arial" w:hAnsi="Arial"/>
          <w:sz w:val="18"/>
          <w:szCs w:val="18"/>
          <w:color w:val="auto"/>
        </w:rPr>
      </w:pPr>
    </w:p>
    <w:p>
      <w:pPr>
        <w:ind w:left="1500" w:right="8060" w:firstLine="790"/>
        <w:spacing w:after="0" w:line="323" w:lineRule="auto"/>
        <w:rPr>
          <w:rFonts w:ascii="Arial" w:cs="Arial" w:eastAsia="Arial" w:hAnsi="Arial"/>
          <w:sz w:val="18"/>
          <w:szCs w:val="18"/>
          <w:color w:val="auto"/>
        </w:rPr>
      </w:pPr>
      <w:r>
        <w:rPr>
          <w:rFonts w:ascii="Arial" w:cs="Arial" w:eastAsia="Arial" w:hAnsi="Arial"/>
          <w:sz w:val="16"/>
          <w:szCs w:val="16"/>
          <w:color w:val="auto"/>
        </w:rPr>
        <w:t>David Shapiro Facsimile: (212) 403-2000</w:t>
      </w:r>
    </w:p>
    <w:p>
      <w:pPr>
        <w:spacing w:after="0" w:line="79" w:lineRule="exact"/>
        <w:rPr>
          <w:rFonts w:ascii="Arial" w:cs="Arial" w:eastAsia="Arial" w:hAnsi="Arial"/>
          <w:sz w:val="18"/>
          <w:szCs w:val="18"/>
          <w:color w:val="auto"/>
        </w:rPr>
      </w:pPr>
    </w:p>
    <w:p>
      <w:pPr>
        <w:ind w:left="1480" w:hanging="567"/>
        <w:spacing w:after="0"/>
        <w:tabs>
          <w:tab w:leader="none" w:pos="14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to Schlumberger or Merger Sub:</w:t>
      </w:r>
    </w:p>
    <w:p>
      <w:pPr>
        <w:spacing w:after="0" w:line="144" w:lineRule="exact"/>
        <w:rPr>
          <w:rFonts w:ascii="Arial" w:cs="Arial" w:eastAsia="Arial" w:hAnsi="Arial"/>
          <w:sz w:val="18"/>
          <w:szCs w:val="18"/>
          <w:color w:val="auto"/>
        </w:rPr>
      </w:pPr>
    </w:p>
    <w:p>
      <w:pPr>
        <w:ind w:left="1500" w:right="8000"/>
        <w:spacing w:after="0" w:line="327" w:lineRule="auto"/>
        <w:rPr>
          <w:rFonts w:ascii="Arial" w:cs="Arial" w:eastAsia="Arial" w:hAnsi="Arial"/>
          <w:sz w:val="18"/>
          <w:szCs w:val="18"/>
          <w:color w:val="auto"/>
        </w:rPr>
      </w:pPr>
      <w:r>
        <w:rPr>
          <w:rFonts w:ascii="Arial" w:cs="Arial" w:eastAsia="Arial" w:hAnsi="Arial"/>
          <w:sz w:val="16"/>
          <w:szCs w:val="16"/>
          <w:color w:val="auto"/>
        </w:rPr>
        <w:t>Schlumberger Limited 5599 San Felipe Houston, Texas 77056 Attention: General Counsel Facsimile: (713) 375-3481 with a copy to:</w:t>
      </w:r>
    </w:p>
    <w:p>
      <w:pPr>
        <w:spacing w:after="0" w:line="62" w:lineRule="exact"/>
        <w:rPr>
          <w:rFonts w:ascii="Arial" w:cs="Arial" w:eastAsia="Arial" w:hAnsi="Arial"/>
          <w:sz w:val="18"/>
          <w:szCs w:val="18"/>
          <w:color w:val="auto"/>
        </w:rPr>
      </w:pPr>
    </w:p>
    <w:p>
      <w:pPr>
        <w:ind w:left="1500" w:right="8620"/>
        <w:spacing w:after="0" w:line="286" w:lineRule="auto"/>
        <w:rPr>
          <w:rFonts w:ascii="Arial" w:cs="Arial" w:eastAsia="Arial" w:hAnsi="Arial"/>
          <w:sz w:val="18"/>
          <w:szCs w:val="18"/>
          <w:color w:val="auto"/>
        </w:rPr>
      </w:pPr>
      <w:r>
        <w:rPr>
          <w:rFonts w:ascii="Arial" w:cs="Arial" w:eastAsia="Arial" w:hAnsi="Arial"/>
          <w:sz w:val="16"/>
          <w:szCs w:val="16"/>
          <w:color w:val="auto"/>
        </w:rPr>
        <w:t>Baker Botts L.L.P. One Shell Plaza</w:t>
      </w:r>
    </w:p>
    <w:p>
      <w:pPr>
        <w:ind w:left="1500" w:right="7680"/>
        <w:spacing w:after="0" w:line="295" w:lineRule="auto"/>
        <w:rPr>
          <w:rFonts w:ascii="Arial" w:cs="Arial" w:eastAsia="Arial" w:hAnsi="Arial"/>
          <w:sz w:val="18"/>
          <w:szCs w:val="18"/>
          <w:color w:val="auto"/>
        </w:rPr>
      </w:pPr>
      <w:r>
        <w:rPr>
          <w:rFonts w:ascii="Arial" w:cs="Arial" w:eastAsia="Arial" w:hAnsi="Arial"/>
          <w:sz w:val="16"/>
          <w:szCs w:val="16"/>
          <w:color w:val="auto"/>
        </w:rPr>
        <w:t>910 Louisiana Street Houston, Texas 77002-4995 Attention: J. David Kirkland, Jr. Facsimile: (713) 229-7701</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 to such other address as any party shall specify by written notice so given. Any notice, request, instruction or other document given as provided above shall be deemed given to the receiving party upon actual receipt, if delivered personally; three business days after deposit in the mail, if sent by registered or certified mail; upon confirmation of successful transmission, if sent by facsimile (provided that if given by facsimile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20" w:lineRule="exact"/>
        <w:rPr>
          <w:sz w:val="20"/>
          <w:szCs w:val="20"/>
          <w:color w:val="auto"/>
        </w:rPr>
      </w:pPr>
    </w:p>
    <w:p>
      <w:pPr>
        <w:jc w:val="both"/>
        <w:ind w:left="460" w:right="140" w:firstLine="876"/>
        <w:spacing w:after="0" w:line="30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Assignment; Binding Effect</w:t>
      </w:r>
      <w:r>
        <w:rPr>
          <w:rFonts w:ascii="Arial" w:cs="Arial" w:eastAsia="Arial" w:hAnsi="Arial"/>
          <w:sz w:val="16"/>
          <w:szCs w:val="16"/>
          <w:color w:val="auto"/>
        </w:rPr>
        <w:t>. Neither this Agreement nor any of the rights, interests or obligations hereunder shall be assigned by any of the parties hereto (whether by operation of law or otherwise) without the prior written consent of the other parties, except that Schlumberger may, notwithstanding any provision in this Agreement to the contrary and without the consent of any party 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assign any of its rights (but not its obligations) hereunder to, and/or transfer any or all of the stock of Merger Sub to, any Subsidiary in which, prior to and at the time of the Merger, Schlumberger owns stock constituting control within the meaning of Section 368(c) of the Code. Subject to the preceding sentence, this Agreement shall be binding upon and shall inure to the benefit of the parties hereto and their respective successors and assigns.</w:t>
      </w:r>
    </w:p>
    <w:p>
      <w:pPr>
        <w:spacing w:after="0" w:line="107" w:lineRule="exact"/>
        <w:rPr>
          <w:sz w:val="20"/>
          <w:szCs w:val="20"/>
          <w:color w:val="auto"/>
        </w:rPr>
      </w:pPr>
    </w:p>
    <w:p>
      <w:pPr>
        <w:ind w:left="460" w:right="100" w:firstLine="876"/>
        <w:spacing w:after="0" w:line="25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Third-Party Beneficiaries</w:t>
      </w:r>
      <w:r>
        <w:rPr>
          <w:rFonts w:ascii="Arial" w:cs="Arial" w:eastAsia="Arial" w:hAnsi="Arial"/>
          <w:sz w:val="18"/>
          <w:szCs w:val="18"/>
          <w:color w:val="auto"/>
        </w:rPr>
        <w:t>. Notwithstanding anything contained in this Agreement to the contrary, except for the provisions of Section 7.17, nothing in this Agreement, expressed or implied, is intended to confer standing to any person other than the parties hereto or their respective heirs, successors, executors, administrators and assigns except, following the Effective Time, for the provisions of Section 4.1, Section 7.17 and Section 7.19.</w:t>
      </w:r>
    </w:p>
    <w:p>
      <w:pPr>
        <w:spacing w:after="0" w:line="143" w:lineRule="exact"/>
        <w:rPr>
          <w:sz w:val="20"/>
          <w:szCs w:val="20"/>
          <w:color w:val="auto"/>
        </w:rPr>
      </w:pPr>
    </w:p>
    <w:p>
      <w:pPr>
        <w:jc w:val="both"/>
        <w:ind w:left="460" w:right="320" w:firstLine="876"/>
        <w:spacing w:after="0" w:line="29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the exhibits to this Agreement, the Smith Disclosure Letter, the Schlumberger Disclosure Letter and any documents delivered by the parties in connection herewith constitute 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113" w:lineRule="exact"/>
        <w:rPr>
          <w:sz w:val="20"/>
          <w:szCs w:val="20"/>
          <w:color w:val="auto"/>
        </w:rPr>
      </w:pPr>
    </w:p>
    <w:p>
      <w:pPr>
        <w:ind w:left="460" w:right="20" w:firstLine="876"/>
        <w:spacing w:after="0" w:line="29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Amendments</w:t>
      </w:r>
      <w:r>
        <w:rPr>
          <w:rFonts w:ascii="Arial" w:cs="Arial" w:eastAsia="Arial" w:hAnsi="Arial"/>
          <w:sz w:val="16"/>
          <w:szCs w:val="16"/>
          <w:color w:val="auto"/>
        </w:rPr>
        <w:t>. This Agreement may be amended by the parties hereto, by action taken or authorized by their respective Boards of Directors, at any time before or after the Smith Stockholder Approval, but after the Smith Stockholder Approval has been obtained, no amendment shall be made which by law or in accordance with the rules of any relevant stock exchange requires the further approval of stockholders without obtaining such further approval. This Agreement may not be amended except by an instrument in writing signed on behalf of each of the parties hereto.</w:t>
      </w:r>
    </w:p>
    <w:p>
      <w:pPr>
        <w:spacing w:after="0" w:line="113" w:lineRule="exact"/>
        <w:rPr>
          <w:sz w:val="20"/>
          <w:szCs w:val="20"/>
          <w:color w:val="auto"/>
        </w:rPr>
      </w:pPr>
    </w:p>
    <w:p>
      <w:pPr>
        <w:ind w:left="460" w:firstLine="876"/>
        <w:spacing w:after="0" w:line="284"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and construed in accordance with the laws of the State of Delaware, without regard to its rules of 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10.7, (b) 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MAILING OF COPIES THEREOF BY REGISTERED AIRMAIL, POSTAGE PREPAID, TO IT AT ITS ADDRESS SET FORTH IN SECTION 10.2 OF THIS AGREEMENT, SUCH SERVICE OF PROCESS TO BE EFFECTIVE UPON ACKNOWLEDGMENT OF RECEIPT OF SUCH REGISTERED MAIL. NOTHING HEREIN SHALL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380"/>
          </w:cols>
          <w:pgMar w:left="240" w:top="459" w:right="2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40" w:lineRule="exact"/>
        <w:rPr>
          <w:sz w:val="20"/>
          <w:szCs w:val="20"/>
          <w:color w:val="auto"/>
        </w:rPr>
      </w:pPr>
    </w:p>
    <w:p>
      <w:pPr>
        <w:ind w:left="460" w:right="220" w:firstLine="876"/>
        <w:spacing w:after="0" w:line="268"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32"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32" w:lineRule="exact"/>
        <w:rPr>
          <w:sz w:val="20"/>
          <w:szCs w:val="20"/>
          <w:color w:val="auto"/>
        </w:rPr>
      </w:pPr>
    </w:p>
    <w:p>
      <w:pPr>
        <w:ind w:left="460" w:firstLine="876"/>
        <w:spacing w:after="0" w:line="287"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i w:val="1"/>
          <w:iCs w:val="1"/>
          <w:color w:val="auto"/>
        </w:rPr>
        <w:t>Interpretation; Disclosure Letter</w:t>
      </w:r>
      <w:r>
        <w:rPr>
          <w:rFonts w:ascii="Arial" w:cs="Arial" w:eastAsia="Arial" w:hAnsi="Arial"/>
          <w:sz w:val="16"/>
          <w:szCs w:val="16"/>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 indicated. Whenever the words “include”, “includes” or “including” are used in this Agreement, they shall be deemed to be followed by the words “without limitation.” Any matter disclosed in any section of the Smith Disclosure Letter or Schlumberger Disclosure Letter shall be deemed disclosed for the purposes of any Sections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84" w:lineRule="exact"/>
        <w:rPr>
          <w:sz w:val="20"/>
          <w:szCs w:val="20"/>
          <w:color w:val="auto"/>
        </w:rPr>
      </w:pPr>
    </w:p>
    <w:p>
      <w:pPr>
        <w:ind w:left="920" w:right="80" w:firstLine="421"/>
        <w:spacing w:after="0" w:line="275" w:lineRule="auto"/>
        <w:tabs>
          <w:tab w:leader="none" w:pos="157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Smith or Schlumberger, as the case may be, shall mean the actual knowledge of its executive officers and senior management.</w:t>
      </w:r>
    </w:p>
    <w:p>
      <w:pPr>
        <w:spacing w:after="0" w:line="38" w:lineRule="exact"/>
        <w:rPr>
          <w:rFonts w:ascii="Arial" w:cs="Arial" w:eastAsia="Arial" w:hAnsi="Arial"/>
          <w:sz w:val="18"/>
          <w:szCs w:val="18"/>
          <w:color w:val="auto"/>
        </w:rPr>
      </w:pPr>
    </w:p>
    <w:p>
      <w:pPr>
        <w:ind w:left="920" w:right="60" w:firstLine="421"/>
        <w:spacing w:after="0" w:line="296" w:lineRule="auto"/>
        <w:tabs>
          <w:tab w:leader="none" w:pos="158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 (ii) 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26" w:lineRule="exact"/>
        <w:rPr>
          <w:rFonts w:ascii="Arial" w:cs="Arial" w:eastAsia="Arial" w:hAnsi="Arial"/>
          <w:sz w:val="16"/>
          <w:szCs w:val="16"/>
          <w:color w:val="auto"/>
        </w:rPr>
      </w:pPr>
    </w:p>
    <w:p>
      <w:pPr>
        <w:ind w:left="920" w:right="360" w:firstLine="421"/>
        <w:spacing w:after="0" w:line="310" w:lineRule="auto"/>
        <w:tabs>
          <w:tab w:leader="none" w:pos="157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Governmental Entity</w:t>
      </w:r>
      <w:r>
        <w:rPr>
          <w:rFonts w:ascii="Arial" w:cs="Arial" w:eastAsia="Arial" w:hAnsi="Arial"/>
          <w:sz w:val="16"/>
          <w:szCs w:val="16"/>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16" w:lineRule="exact"/>
        <w:rPr>
          <w:rFonts w:ascii="Arial" w:cs="Arial" w:eastAsia="Arial" w:hAnsi="Arial"/>
          <w:sz w:val="16"/>
          <w:szCs w:val="16"/>
          <w:color w:val="auto"/>
        </w:rPr>
      </w:pPr>
    </w:p>
    <w:p>
      <w:pPr>
        <w:ind w:left="920" w:right="60" w:firstLine="421"/>
        <w:spacing w:after="0" w:line="296" w:lineRule="auto"/>
        <w:tabs>
          <w:tab w:leader="none" w:pos="158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with respect to any person shall mean (i) a material adverse effect on or material adverse change in the business, assets, liabilities, financial condition or results of operations of such person and its Subsidiaries, taken as a whole, other than any effect or change relating to or resulting from (A) changes or conditions affecting the economy or financial markets in general, (B) changes or conditions in the industries in which the person operates, (C) the announcement or the existence of, or compliance with, or taking any action required or permitted by this Agreement or the transactions contemplated hereby or any litigation referred to in Section 7.16,</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1"/>
        <w:spacing w:after="0" w:line="256" w:lineRule="auto"/>
        <w:tabs>
          <w:tab w:leader="none" w:pos="120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taking any action by such person at the written request of Schlumberger or Merger Sub, in the case of Smith, or of Smith, in the case of Schlumberger or Merger Sub, or (E) any weather-related or other force majeure event or outbreak or escalation of hostilities or acts of war or terrorism. “</w:t>
      </w:r>
      <w:r>
        <w:rPr>
          <w:rFonts w:ascii="Arial" w:cs="Arial" w:eastAsia="Arial" w:hAnsi="Arial"/>
          <w:sz w:val="18"/>
          <w:szCs w:val="18"/>
          <w:b w:val="1"/>
          <w:bCs w:val="1"/>
          <w:color w:val="auto"/>
        </w:rPr>
        <w:t>Smith Material Adverse Effect</w:t>
      </w:r>
      <w:r>
        <w:rPr>
          <w:rFonts w:ascii="Arial" w:cs="Arial" w:eastAsia="Arial" w:hAnsi="Arial"/>
          <w:sz w:val="18"/>
          <w:szCs w:val="18"/>
          <w:color w:val="auto"/>
        </w:rPr>
        <w:t>” and “</w:t>
      </w:r>
      <w:r>
        <w:rPr>
          <w:rFonts w:ascii="Arial" w:cs="Arial" w:eastAsia="Arial" w:hAnsi="Arial"/>
          <w:sz w:val="18"/>
          <w:szCs w:val="18"/>
          <w:b w:val="1"/>
          <w:bCs w:val="1"/>
          <w:color w:val="auto"/>
        </w:rPr>
        <w:t>Schlumberger Material Adverse Effect</w:t>
      </w:r>
      <w:r>
        <w:rPr>
          <w:rFonts w:ascii="Arial" w:cs="Arial" w:eastAsia="Arial" w:hAnsi="Arial"/>
          <w:sz w:val="18"/>
          <w:szCs w:val="18"/>
          <w:color w:val="auto"/>
        </w:rPr>
        <w:t>” mean a Material Adverse Effect with respect to Smith and Schlumberger, respectively.</w:t>
      </w:r>
    </w:p>
    <w:p>
      <w:pPr>
        <w:spacing w:after="0" w:line="56" w:lineRule="exact"/>
        <w:rPr>
          <w:rFonts w:ascii="Arial" w:cs="Arial" w:eastAsia="Arial" w:hAnsi="Arial"/>
          <w:sz w:val="18"/>
          <w:szCs w:val="18"/>
          <w:color w:val="auto"/>
        </w:rPr>
      </w:pPr>
    </w:p>
    <w:p>
      <w:pPr>
        <w:ind w:left="920" w:right="220" w:firstLine="421"/>
        <w:spacing w:after="0" w:line="256" w:lineRule="auto"/>
        <w:tabs>
          <w:tab w:leader="none" w:pos="1579"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Permitted Lien</w:t>
      </w:r>
      <w:r>
        <w:rPr>
          <w:rFonts w:ascii="Arial" w:cs="Arial" w:eastAsia="Arial" w:hAnsi="Arial"/>
          <w:sz w:val="18"/>
          <w:szCs w:val="18"/>
          <w:color w:val="auto"/>
        </w:rPr>
        <w:t>” means (i) any liens for Taxes not yet due or which are being contested in good faith by appropriate proceedings, (ii) carriers’, warehousemen’s, mechanics’, materialmen’s, repairmen’s or other similar liens, (iii) pledges or deposits in connection with workers’ compensation, unemployment insurance, and other social security legislation or (iv) easements, rights-of-way, restrictions and other similar encumbrances incurred in the ordinary course of business, which do not in any case materially detract from the utilization of the property subject thereto.</w:t>
      </w:r>
    </w:p>
    <w:p>
      <w:pPr>
        <w:spacing w:after="0" w:line="57" w:lineRule="exact"/>
        <w:rPr>
          <w:rFonts w:ascii="Arial" w:cs="Arial" w:eastAsia="Arial" w:hAnsi="Arial"/>
          <w:sz w:val="18"/>
          <w:szCs w:val="18"/>
          <w:color w:val="auto"/>
        </w:rPr>
      </w:pPr>
    </w:p>
    <w:p>
      <w:pPr>
        <w:ind w:left="920" w:right="140" w:firstLine="421"/>
        <w:spacing w:after="0" w:line="275" w:lineRule="auto"/>
        <w:tabs>
          <w:tab w:leader="none" w:pos="1559"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38" w:lineRule="exact"/>
        <w:rPr>
          <w:rFonts w:ascii="Arial" w:cs="Arial" w:eastAsia="Arial" w:hAnsi="Arial"/>
          <w:sz w:val="18"/>
          <w:szCs w:val="18"/>
          <w:color w:val="auto"/>
        </w:rPr>
      </w:pPr>
    </w:p>
    <w:p>
      <w:pPr>
        <w:ind w:left="920" w:firstLine="421"/>
        <w:spacing w:after="0" w:line="288" w:lineRule="auto"/>
        <w:tabs>
          <w:tab w:leader="none" w:pos="1585"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CE Franklin LTD (“</w:t>
      </w:r>
      <w:r>
        <w:rPr>
          <w:rFonts w:ascii="Arial" w:cs="Arial" w:eastAsia="Arial" w:hAnsi="Arial"/>
          <w:sz w:val="16"/>
          <w:szCs w:val="16"/>
          <w:b w:val="1"/>
          <w:bCs w:val="1"/>
          <w:color w:val="auto"/>
        </w:rPr>
        <w:t>Franklin</w:t>
      </w:r>
      <w:r>
        <w:rPr>
          <w:rFonts w:ascii="Arial" w:cs="Arial" w:eastAsia="Arial" w:hAnsi="Arial"/>
          <w:sz w:val="16"/>
          <w:szCs w:val="16"/>
          <w:color w:val="auto"/>
        </w:rPr>
        <w:t>”) shall not be deemed a Subsidiary for any section of this Agreement other than Article 5 hereof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or warranties made by Smith with respect to Franklin shall only be a representation as to facts and circumstances concerning Franklin that are known to Smith.</w:t>
      </w:r>
    </w:p>
    <w:p>
      <w:pPr>
        <w:spacing w:after="0" w:line="34" w:lineRule="exact"/>
        <w:rPr>
          <w:rFonts w:ascii="Arial" w:cs="Arial" w:eastAsia="Arial" w:hAnsi="Arial"/>
          <w:sz w:val="16"/>
          <w:szCs w:val="16"/>
          <w:color w:val="auto"/>
        </w:rPr>
      </w:pPr>
    </w:p>
    <w:p>
      <w:pPr>
        <w:ind w:left="920" w:firstLine="421"/>
        <w:spacing w:after="0" w:line="301" w:lineRule="auto"/>
        <w:tabs>
          <w:tab w:leader="none" w:pos="1588"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all net income, gross income, gross receipts, sales, use, ad valorem, transfer, accumulated earnings, excess profits, franchise, profits, license, withholding, payroll, employment, social security, excise, severance, stamp, occupation, premium, property, disability, capital stock, or windfall profits taxes, customs duties or other taxes, fees, assessments or governmental charges of any kind whatsoever, together with any interest and any penalties, additions to tax or additional amounts imposed by any taxing authority.</w:t>
      </w:r>
    </w:p>
    <w:p>
      <w:pPr>
        <w:spacing w:after="0" w:line="109" w:lineRule="exact"/>
        <w:rPr>
          <w:sz w:val="20"/>
          <w:szCs w:val="20"/>
          <w:color w:val="auto"/>
        </w:rPr>
      </w:pPr>
    </w:p>
    <w:p>
      <w:pPr>
        <w:ind w:left="460" w:firstLine="876"/>
        <w:spacing w:after="0" w:line="291"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i w:val="1"/>
          <w:iCs w:val="1"/>
          <w:color w:val="auto"/>
        </w:rPr>
        <w:t>Extensions; Waiver</w:t>
      </w:r>
      <w:r>
        <w:rPr>
          <w:rFonts w:ascii="Arial" w:cs="Arial" w:eastAsia="Arial" w:hAnsi="Arial"/>
          <w:sz w:val="16"/>
          <w:szCs w:val="16"/>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 operate or be construed as a waiver of any prior or subsequent breach of the same or any other provision hereunder.</w:t>
      </w:r>
    </w:p>
    <w:p>
      <w:pPr>
        <w:spacing w:after="0" w:line="120" w:lineRule="exact"/>
        <w:rPr>
          <w:sz w:val="20"/>
          <w:szCs w:val="20"/>
          <w:color w:val="auto"/>
        </w:rPr>
      </w:pPr>
    </w:p>
    <w:p>
      <w:pPr>
        <w:ind w:left="460" w:right="140" w:firstLine="876"/>
        <w:spacing w:after="0" w:line="298"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Severability</w:t>
      </w:r>
      <w:r>
        <w:rPr>
          <w:rFonts w:ascii="Arial" w:cs="Arial" w:eastAsia="Arial" w:hAnsi="Arial"/>
          <w:sz w:val="16"/>
          <w:szCs w:val="16"/>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876"/>
        <w:spacing w:after="0" w:line="289"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Enforcement of Agreement</w:t>
      </w:r>
      <w:r>
        <w:rPr>
          <w:rFonts w:ascii="Arial" w:cs="Arial" w:eastAsia="Arial" w:hAnsi="Arial"/>
          <w:sz w:val="16"/>
          <w:szCs w:val="16"/>
          <w:color w:val="auto"/>
        </w:rPr>
        <w: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in the applicable Delaware Court,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 (d) waives any right to trial by jury with respect to any action related to or arising out of this Agreement</w:t>
      </w:r>
    </w:p>
    <w:p>
      <w:pPr>
        <w:spacing w:after="0" w:line="118" w:lineRule="exact"/>
        <w:rPr>
          <w:sz w:val="20"/>
          <w:szCs w:val="20"/>
          <w:color w:val="auto"/>
        </w:rPr>
      </w:pPr>
    </w:p>
    <w:p>
      <w:pPr>
        <w:ind w:left="460" w:right="60" w:firstLine="876"/>
        <w:spacing w:after="0" w:line="256"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MERGER SUB AND SMITH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43" w:lineRule="exact"/>
        <w:rPr>
          <w:sz w:val="20"/>
          <w:szCs w:val="20"/>
          <w:color w:val="auto"/>
        </w:rPr>
      </w:pPr>
    </w:p>
    <w:p>
      <w:pPr>
        <w:ind w:left="460" w:right="160" w:firstLine="876"/>
        <w:spacing w:after="0" w:line="268" w:lineRule="auto"/>
        <w:rPr>
          <w:sz w:val="20"/>
          <w:szCs w:val="20"/>
          <w:color w:val="auto"/>
        </w:rPr>
      </w:pPr>
      <w:r>
        <w:rPr>
          <w:rFonts w:ascii="Arial" w:cs="Arial" w:eastAsia="Arial" w:hAnsi="Arial"/>
          <w:sz w:val="18"/>
          <w:szCs w:val="18"/>
          <w:color w:val="auto"/>
        </w:rPr>
        <w:t>IN WITNESS WHEREOF, the parties have executed this Agreement and caused the same to be duly delivered on their behalf on the day and year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Gould</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Andrew Gould</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TURNBERRY MERGER SUB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Jean-Francois Poupeau</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Jean-Francois Poupeau</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SMITH INTERNATIONAL,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Yearwood</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John Yearwood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w w:val="89"/>
              </w:rPr>
              <w:t>Chief Executive Officer, President and Chief Operating</w:t>
            </w:r>
          </w:p>
        </w:tc>
      </w:tr>
      <w:tr>
        <w:trPr>
          <w:trHeight w:val="222"/>
        </w:trPr>
        <w:tc>
          <w:tcPr>
            <w:tcW w:w="580" w:type="dxa"/>
            <w:vAlign w:val="bottom"/>
          </w:tcPr>
          <w:p>
            <w:pPr>
              <w:spacing w:after="0"/>
              <w:rPr>
                <w:sz w:val="19"/>
                <w:szCs w:val="19"/>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Officer</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449070" cy="3429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49070" cy="34290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1000 Main Street, Suite 2750</w:t>
      </w:r>
    </w:p>
    <w:p>
      <w:pPr>
        <w:jc w:val="right"/>
        <w:spacing w:after="0" w:line="222" w:lineRule="auto"/>
        <w:rPr>
          <w:sz w:val="20"/>
          <w:szCs w:val="20"/>
          <w:color w:val="auto"/>
        </w:rPr>
      </w:pPr>
      <w:r>
        <w:rPr>
          <w:rFonts w:ascii="Arial" w:cs="Arial" w:eastAsia="Arial" w:hAnsi="Arial"/>
          <w:sz w:val="14"/>
          <w:szCs w:val="14"/>
          <w:color w:val="auto"/>
        </w:rPr>
        <w:t>Houston, Texas 77002</w:t>
      </w:r>
    </w:p>
    <w:p>
      <w:pPr>
        <w:jc w:val="right"/>
        <w:spacing w:after="0"/>
        <w:rPr>
          <w:sz w:val="20"/>
          <w:szCs w:val="20"/>
          <w:color w:val="auto"/>
        </w:rPr>
      </w:pPr>
      <w:r>
        <w:rPr>
          <w:rFonts w:ascii="Arial" w:cs="Arial" w:eastAsia="Arial" w:hAnsi="Arial"/>
          <w:sz w:val="14"/>
          <w:szCs w:val="14"/>
          <w:color w:val="auto"/>
        </w:rPr>
        <w:t>www.ubs.com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Smith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16740 East Hardy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77032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understand that Smith International, Inc., a Delaware corporation (the “Company”), is considering a transaction whereby Schlumberger Limited, a Netherlands Antilles corporation (“Schlumberger”), will enter into a business combination with the Company. Pursuant to the terms of an Agreement and Plan of Merger, draft dated as of February 14, 2009 (the “Agreement”), by and among Schlumberger, the Company and Turnberry Merger Sub, a Delaware corporation and wholly owned subsidiary of Schlumberger (“Sub”), Sub will merge with and into the Company whereby the Company will become a wholly owned subsidiary of Schlumberger (the “Transaction”). Pursuant to the terms of the Agreement all of the issued and outstanding shares of the common stock, par value of $1.00 per share, of the Company (the “Company Common Stock”), will be converted into the right to receive, for each outstanding share of Company Common Stock, 0.6966 (the “Exchange Ratio”) shares of the common stock, par value $0.01 per share, of Schlumberger (“Schlumberger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and conditions of the Transaction are more fully set forth in the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the Company Common Stock (other than Schlumberger and its affiliates) of the Exchange Ratio provided for in the Transaction.</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UBS Securities LLC (“UBS”) has acted as financial advisor to the Board of Directors of the Company in connection with the Transaction and will receive a fee for its services, a portion of which is payable in connection with this opinion and a significant portion of which is contingent upon consummation of the Transaction. In the past, UBS and its affiliates have provided investment banking services to the Company unrelated to the proposed Transaction, for which UBS and its affiliates received compensation, including having acted as a co-manager in the Company’s offering of Company Common Stock in 2009. In the ordinary course of business, UBS and its affiliates may hold or trade, for their own accounts and the accounts of their customers, securities of the Company and Schlumberger and, accordingly, may at any time hold a long or short position in such securities. The issuance of this opinion was approved by an authorized committee of UBS.</w:t>
      </w:r>
    </w:p>
    <w:p>
      <w:pPr>
        <w:spacing w:after="0" w:line="14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opinion does not address the relative merits of the Transaction as compared to other business strategies or transactions that might be available with respect to the Company or the Company’s underlying business decision to effect the Transaction. Our opinion does not constitute a recommendation to any shareholder as to how such shareholder should vote or act with respect to the Transaction. At your direction, we have not been asked to, nor do we, offer any opinion as to the terms, other than the Exchange Ratio to the extent expressly specified herein, of the Agreement or the form of the Transaction. In addition, we express no opinion as to the fairness of the amount or nature of any compensation to be received by any officers, directors or employees of any parties to the Transaction, or any class of such persons, relative to the Exchange Ratio. We express no opinion as to what the value of Schlumberger Common Stock will be when issued pursuant to the Transaction or the price at which Company Common Stock or Schlumberger Common Stock will trade at any time. In rendering this opinion, we have assumed, with your consent, that (i) the final executed form of the Agreement will not differ in any material respect from the draft that we have reviewed, (ii) Schlumberger and the Company will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comply with all material terms of the Agreement, and (iii) the Transaction will be consummated in accordance with the terms of the Agreement without any adverse waiver or amendment of any material term or condition thereof. We have also assumed that all governmental, regulatory or other consents and approvals necessary for the consummation of the Transaction will be obtained without any material adverse effect on the Company, Schlumberger or the Transaction. We have not been authorized to solicit and have not solicited indications of interest in a transaction with the Company from any party.</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arriving at our opinion, we have, among other things: (i) reviewed certain publicly available business and financial information relating to the Company and Schlumberger; (ii) reviewed certain internal financial information and other data relating to the businesses and financial prospects of the Company and not publicly available, including financial forecasts and estimates prepared by the management of the Company that you have directed us to utilize for purposes of our analysis; (iii) reviewed certain financial information and other data relating to the businesses and financial prospects of Schlumberger that were publicly available, including Wall Street consensus financial forecasts and estimates as published by Institutional Brokers’ Estimate System (I/B/E/S) for 2010 (“Street Estimates”) that management of the Company has directed us to utilize for purposes of our analysis; (iv) conducted discussions with members of the senior managements of the Company and Schlumberger concerning the businesses and financial prospects of the Company and Schlumberger; (v) reviewed publicly available financial and stock market data with respect to certain other companies we believe to be generally relevant; (vi) compared the financial terms of the Transaction with the publicly available financial terms of certain other transactions we believe to be generally relevant; (vii) reviewed current and historical market prices of Company Common Stock and Schlumberger Common Stock; (viii) reviewed the Agreement; and (ix) conducted such other financial studies, analyses and investigations, and considered such other information, as we deemed necessary or appropriate.</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the Company or Schlumberger, nor have we been furnished with any such evaluation or appraisal. With respect to the financial forecasts and estimates for the Company referred to above, we have assumed, at your direction, that they have been reasonably prepared on a basis reflecting the best currently available estimates and judgments of the management of the Company as to the future financial performance of the Company. We were not provided with any Schlumberger internal financial forecasts or estimates, nor with any forecasts or estimates regarding Schlumberger prepared by the Company, and therefore did not consider any such information in connection with our analyses or this opinion. Based on our discussions with you, we have assumed, with your consent, that the Schlumberger Street Estimates that we reviewed were a reasonable basis upon which to evaluate the future performance of Schlumberger for that year, and we have used such forecasts for purposes of our analyses and this opinion. We also have assumed, with your consent, that the Transaction will qualify for U.S. federal income tax purposes as a reorganization within the meaning of Section 368(a) of the Internal Revenue Code of 1986, as amended. Our opinion is necessarily based on economic, monetary, market and other conditions as in effect on, and the information available to us as of, the date hereof.</w:t>
      </w:r>
    </w:p>
    <w:p>
      <w:pPr>
        <w:spacing w:after="0" w:line="12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provided for in the Transaction is fair, from a financial point of view, to holders of Company Common Stock other than Schlumberger and its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opinion is provided for the benefit of the Board of Directors in connection with, and for the purpose of, its evaluation of the Transaction.</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UBS SECURITIES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SMITH INTERNATIONAL,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20"/>
        <w:spacing w:after="0"/>
        <w:tabs>
          <w:tab w:leader="none" w:pos="8300" w:val="left"/>
        </w:tabs>
        <w:rPr>
          <w:sz w:val="20"/>
          <w:szCs w:val="20"/>
          <w:color w:val="auto"/>
        </w:rPr>
      </w:pPr>
      <w:r>
        <w:rPr>
          <w:rFonts w:ascii="Arial" w:cs="Arial" w:eastAsia="Arial" w:hAnsi="Arial"/>
          <w:sz w:val="24"/>
          <w:szCs w:val="24"/>
          <w:b w:val="1"/>
          <w:bCs w:val="1"/>
          <w:color w:val="auto"/>
        </w:rPr>
        <w:t>(Amended and Restated Effective as of</w:t>
      </w:r>
      <w:r>
        <w:rPr>
          <w:sz w:val="20"/>
          <w:szCs w:val="20"/>
          <w:color w:val="auto"/>
        </w:rPr>
        <w:tab/>
      </w: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-10795</wp:posOffset>
            </wp:positionV>
            <wp:extent cx="7715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SECTION 1</w:t>
            </w:r>
          </w:p>
        </w:tc>
        <w:tc>
          <w:tcPr>
            <w:tcW w:w="10020" w:type="dxa"/>
            <w:vAlign w:val="bottom"/>
          </w:tcPr>
          <w:p>
            <w:pPr>
              <w:ind w:left="100"/>
              <w:spacing w:after="0"/>
              <w:rPr>
                <w:sz w:val="20"/>
                <w:szCs w:val="20"/>
                <w:color w:val="auto"/>
              </w:rPr>
            </w:pPr>
            <w:r>
              <w:rPr>
                <w:rFonts w:ascii="Arial" w:cs="Arial" w:eastAsia="Arial" w:hAnsi="Arial"/>
                <w:sz w:val="18"/>
                <w:szCs w:val="18"/>
                <w:b w:val="1"/>
                <w:bCs w:val="1"/>
                <w:color w:val="auto"/>
              </w:rPr>
              <w:t>GENERAL PROVISIONS RELATING TO PLAN GOVERNANCE, COVERAGE AND BENEFITS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C-1</w:t>
            </w: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600" w:type="dxa"/>
            <w:vAlign w:val="bottom"/>
            <w:gridSpan w:val="2"/>
          </w:tcPr>
          <w:p>
            <w:pPr>
              <w:ind w:left="80"/>
              <w:spacing w:after="0"/>
              <w:rPr>
                <w:sz w:val="20"/>
                <w:szCs w:val="20"/>
                <w:color w:val="auto"/>
              </w:rPr>
            </w:pPr>
            <w:r>
              <w:rPr>
                <w:rFonts w:ascii="Arial" w:cs="Arial" w:eastAsia="Arial" w:hAnsi="Arial"/>
                <w:sz w:val="18"/>
                <w:szCs w:val="18"/>
                <w:color w:val="auto"/>
              </w:rPr>
              <w:t>Background and Purpose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600" w:type="dxa"/>
            <w:vAlign w:val="bottom"/>
            <w:gridSpan w:val="2"/>
          </w:tcPr>
          <w:p>
            <w:pPr>
              <w:ind w:left="80"/>
              <w:spacing w:after="0"/>
              <w:rPr>
                <w:sz w:val="20"/>
                <w:szCs w:val="20"/>
                <w:color w:val="auto"/>
              </w:rPr>
            </w:pPr>
            <w:r>
              <w:rPr>
                <w:rFonts w:ascii="Arial" w:cs="Arial" w:eastAsia="Arial" w:hAnsi="Arial"/>
                <w:sz w:val="18"/>
                <w:szCs w:val="18"/>
                <w:color w:val="auto"/>
              </w:rPr>
              <w:t>Definitions</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(a)</w:t>
            </w:r>
          </w:p>
        </w:tc>
        <w:tc>
          <w:tcPr>
            <w:tcW w:w="10020" w:type="dxa"/>
            <w:vAlign w:val="bottom"/>
          </w:tcPr>
          <w:p>
            <w:pPr>
              <w:ind w:left="100"/>
              <w:spacing w:after="0"/>
              <w:rPr>
                <w:sz w:val="20"/>
                <w:szCs w:val="20"/>
                <w:color w:val="auto"/>
              </w:rPr>
            </w:pPr>
            <w:r>
              <w:rPr>
                <w:rFonts w:ascii="Arial" w:cs="Arial" w:eastAsia="Arial" w:hAnsi="Arial"/>
                <w:sz w:val="18"/>
                <w:szCs w:val="18"/>
                <w:color w:val="auto"/>
              </w:rPr>
              <w:t>Advisory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(b)</w:t>
            </w:r>
          </w:p>
        </w:tc>
        <w:tc>
          <w:tcPr>
            <w:tcW w:w="10020" w:type="dxa"/>
            <w:vAlign w:val="bottom"/>
          </w:tcPr>
          <w:p>
            <w:pPr>
              <w:ind w:left="100"/>
              <w:spacing w:after="0"/>
              <w:rPr>
                <w:sz w:val="20"/>
                <w:szCs w:val="20"/>
                <w:color w:val="auto"/>
              </w:rPr>
            </w:pPr>
            <w:r>
              <w:rPr>
                <w:rFonts w:ascii="Arial" w:cs="Arial" w:eastAsia="Arial" w:hAnsi="Arial"/>
                <w:sz w:val="18"/>
                <w:szCs w:val="18"/>
                <w:color w:val="auto"/>
              </w:rPr>
              <w:t>Authorized Officer.</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(c)</w:t>
            </w:r>
          </w:p>
        </w:tc>
        <w:tc>
          <w:tcPr>
            <w:tcW w:w="10020" w:type="dxa"/>
            <w:vAlign w:val="bottom"/>
          </w:tcPr>
          <w:p>
            <w:pPr>
              <w:ind w:left="100"/>
              <w:spacing w:after="0"/>
              <w:rPr>
                <w:sz w:val="20"/>
                <w:szCs w:val="20"/>
                <w:color w:val="auto"/>
              </w:rPr>
            </w:pPr>
            <w:r>
              <w:rPr>
                <w:rFonts w:ascii="Arial" w:cs="Arial" w:eastAsia="Arial" w:hAnsi="Arial"/>
                <w:sz w:val="18"/>
                <w:szCs w:val="18"/>
                <w:color w:val="auto"/>
              </w:rPr>
              <w:t>Award Date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(d)</w:t>
            </w:r>
          </w:p>
        </w:tc>
        <w:tc>
          <w:tcPr>
            <w:tcW w:w="10020" w:type="dxa"/>
            <w:vAlign w:val="bottom"/>
          </w:tcPr>
          <w:p>
            <w:pPr>
              <w:ind w:left="100"/>
              <w:spacing w:after="0"/>
              <w:rPr>
                <w:sz w:val="20"/>
                <w:szCs w:val="20"/>
                <w:color w:val="auto"/>
              </w:rPr>
            </w:pPr>
            <w:r>
              <w:rPr>
                <w:rFonts w:ascii="Arial" w:cs="Arial" w:eastAsia="Arial" w:hAnsi="Arial"/>
                <w:sz w:val="18"/>
                <w:szCs w:val="18"/>
                <w:color w:val="auto"/>
              </w:rPr>
              <w:t>Board</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(e)</w:t>
            </w:r>
          </w:p>
        </w:tc>
        <w:tc>
          <w:tcPr>
            <w:tcW w:w="10020" w:type="dxa"/>
            <w:vAlign w:val="bottom"/>
          </w:tcPr>
          <w:p>
            <w:pPr>
              <w:ind w:left="100"/>
              <w:spacing w:after="0"/>
              <w:rPr>
                <w:sz w:val="20"/>
                <w:szCs w:val="20"/>
                <w:color w:val="auto"/>
              </w:rPr>
            </w:pPr>
            <w:r>
              <w:rPr>
                <w:rFonts w:ascii="Arial" w:cs="Arial" w:eastAsia="Arial" w:hAnsi="Arial"/>
                <w:sz w:val="18"/>
                <w:szCs w:val="18"/>
                <w:color w:val="auto"/>
              </w:rPr>
              <w:t>Cause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(f)</w:t>
            </w:r>
          </w:p>
        </w:tc>
        <w:tc>
          <w:tcPr>
            <w:tcW w:w="10020" w:type="dxa"/>
            <w:vAlign w:val="bottom"/>
          </w:tcPr>
          <w:p>
            <w:pPr>
              <w:ind w:left="100"/>
              <w:spacing w:after="0"/>
              <w:rPr>
                <w:sz w:val="20"/>
                <w:szCs w:val="20"/>
                <w:color w:val="auto"/>
              </w:rPr>
            </w:pPr>
            <w:r>
              <w:rPr>
                <w:rFonts w:ascii="Arial" w:cs="Arial" w:eastAsia="Arial" w:hAnsi="Arial"/>
                <w:sz w:val="18"/>
                <w:szCs w:val="18"/>
                <w:color w:val="auto"/>
              </w:rPr>
              <w:t>CEO</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(g)</w:t>
            </w:r>
          </w:p>
        </w:tc>
        <w:tc>
          <w:tcPr>
            <w:tcW w:w="10020" w:type="dxa"/>
            <w:vAlign w:val="bottom"/>
          </w:tcPr>
          <w:p>
            <w:pPr>
              <w:ind w:left="100"/>
              <w:spacing w:after="0"/>
              <w:rPr>
                <w:sz w:val="20"/>
                <w:szCs w:val="20"/>
                <w:color w:val="auto"/>
              </w:rPr>
            </w:pPr>
            <w:r>
              <w:rPr>
                <w:rFonts w:ascii="Arial" w:cs="Arial" w:eastAsia="Arial" w:hAnsi="Arial"/>
                <w:sz w:val="18"/>
                <w:szCs w:val="18"/>
                <w:color w:val="auto"/>
              </w:rPr>
              <w:t>Change in Control</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(h)</w:t>
            </w:r>
          </w:p>
        </w:tc>
        <w:tc>
          <w:tcPr>
            <w:tcW w:w="10020" w:type="dxa"/>
            <w:vAlign w:val="bottom"/>
          </w:tcPr>
          <w:p>
            <w:pPr>
              <w:ind w:left="100"/>
              <w:spacing w:after="0"/>
              <w:rPr>
                <w:sz w:val="20"/>
                <w:szCs w:val="20"/>
                <w:color w:val="auto"/>
              </w:rPr>
            </w:pPr>
            <w:r>
              <w:rPr>
                <w:rFonts w:ascii="Arial" w:cs="Arial" w:eastAsia="Arial" w:hAnsi="Arial"/>
                <w:sz w:val="18"/>
                <w:szCs w:val="18"/>
                <w:color w:val="auto"/>
              </w:rPr>
              <w:t>Code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(i)</w:t>
            </w:r>
          </w:p>
        </w:tc>
        <w:tc>
          <w:tcPr>
            <w:tcW w:w="10020" w:type="dxa"/>
            <w:vAlign w:val="bottom"/>
          </w:tcPr>
          <w:p>
            <w:pPr>
              <w:ind w:left="100"/>
              <w:spacing w:after="0"/>
              <w:rPr>
                <w:sz w:val="20"/>
                <w:szCs w:val="20"/>
                <w:color w:val="auto"/>
              </w:rPr>
            </w:pPr>
            <w:r>
              <w:rPr>
                <w:rFonts w:ascii="Arial" w:cs="Arial" w:eastAsia="Arial" w:hAnsi="Arial"/>
                <w:sz w:val="18"/>
                <w:szCs w:val="18"/>
                <w:color w:val="auto"/>
              </w:rPr>
              <w:t>Committee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(j)</w:t>
            </w:r>
          </w:p>
        </w:tc>
        <w:tc>
          <w:tcPr>
            <w:tcW w:w="1002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(k)</w:t>
            </w:r>
          </w:p>
        </w:tc>
        <w:tc>
          <w:tcPr>
            <w:tcW w:w="10020" w:type="dxa"/>
            <w:vAlign w:val="bottom"/>
          </w:tcPr>
          <w:p>
            <w:pPr>
              <w:ind w:left="100"/>
              <w:spacing w:after="0"/>
              <w:rPr>
                <w:sz w:val="20"/>
                <w:szCs w:val="20"/>
                <w:color w:val="auto"/>
              </w:rPr>
            </w:pPr>
            <w:r>
              <w:rPr>
                <w:rFonts w:ascii="Arial" w:cs="Arial" w:eastAsia="Arial" w:hAnsi="Arial"/>
                <w:sz w:val="18"/>
                <w:szCs w:val="18"/>
                <w:color w:val="auto"/>
              </w:rPr>
              <w:t>Common Stock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(l)</w:t>
            </w:r>
          </w:p>
        </w:tc>
        <w:tc>
          <w:tcPr>
            <w:tcW w:w="10020" w:type="dxa"/>
            <w:vAlign w:val="bottom"/>
          </w:tcPr>
          <w:p>
            <w:pPr>
              <w:ind w:left="100"/>
              <w:spacing w:after="0"/>
              <w:rPr>
                <w:sz w:val="20"/>
                <w:szCs w:val="20"/>
                <w:color w:val="auto"/>
              </w:rPr>
            </w:pPr>
            <w:r>
              <w:rPr>
                <w:rFonts w:ascii="Arial" w:cs="Arial" w:eastAsia="Arial" w:hAnsi="Arial"/>
                <w:sz w:val="18"/>
                <w:szCs w:val="18"/>
                <w:color w:val="auto"/>
              </w:rPr>
              <w:t>Company</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(m)</w:t>
            </w:r>
          </w:p>
        </w:tc>
        <w:tc>
          <w:tcPr>
            <w:tcW w:w="10020" w:type="dxa"/>
            <w:vAlign w:val="bottom"/>
          </w:tcPr>
          <w:p>
            <w:pPr>
              <w:ind w:left="100"/>
              <w:spacing w:after="0"/>
              <w:rPr>
                <w:sz w:val="20"/>
                <w:szCs w:val="20"/>
                <w:color w:val="auto"/>
              </w:rPr>
            </w:pPr>
            <w:r>
              <w:rPr>
                <w:rFonts w:ascii="Arial" w:cs="Arial" w:eastAsia="Arial" w:hAnsi="Arial"/>
                <w:sz w:val="18"/>
                <w:szCs w:val="18"/>
                <w:color w:val="auto"/>
              </w:rPr>
              <w:t>Covered Employee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(n)</w:t>
            </w:r>
          </w:p>
        </w:tc>
        <w:tc>
          <w:tcPr>
            <w:tcW w:w="10020" w:type="dxa"/>
            <w:vAlign w:val="bottom"/>
          </w:tcPr>
          <w:p>
            <w:pPr>
              <w:ind w:left="100"/>
              <w:spacing w:after="0"/>
              <w:rPr>
                <w:sz w:val="20"/>
                <w:szCs w:val="20"/>
                <w:color w:val="auto"/>
              </w:rPr>
            </w:pPr>
            <w:r>
              <w:rPr>
                <w:rFonts w:ascii="Arial" w:cs="Arial" w:eastAsia="Arial" w:hAnsi="Arial"/>
                <w:sz w:val="18"/>
                <w:szCs w:val="18"/>
                <w:color w:val="auto"/>
              </w:rPr>
              <w:t>Disability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(o)</w:t>
            </w:r>
          </w:p>
        </w:tc>
        <w:tc>
          <w:tcPr>
            <w:tcW w:w="10020" w:type="dxa"/>
            <w:vAlign w:val="bottom"/>
          </w:tcPr>
          <w:p>
            <w:pPr>
              <w:ind w:left="100"/>
              <w:spacing w:after="0"/>
              <w:rPr>
                <w:sz w:val="20"/>
                <w:szCs w:val="20"/>
                <w:color w:val="auto"/>
              </w:rPr>
            </w:pPr>
            <w:r>
              <w:rPr>
                <w:rFonts w:ascii="Arial" w:cs="Arial" w:eastAsia="Arial" w:hAnsi="Arial"/>
                <w:sz w:val="18"/>
                <w:szCs w:val="18"/>
                <w:color w:val="auto"/>
              </w:rPr>
              <w:t>Employee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(p)</w:t>
            </w:r>
          </w:p>
        </w:tc>
        <w:tc>
          <w:tcPr>
            <w:tcW w:w="10020" w:type="dxa"/>
            <w:vAlign w:val="bottom"/>
          </w:tcPr>
          <w:p>
            <w:pPr>
              <w:ind w:left="100"/>
              <w:spacing w:after="0"/>
              <w:rPr>
                <w:sz w:val="20"/>
                <w:szCs w:val="20"/>
                <w:color w:val="auto"/>
              </w:rPr>
            </w:pPr>
            <w:r>
              <w:rPr>
                <w:rFonts w:ascii="Arial" w:cs="Arial" w:eastAsia="Arial" w:hAnsi="Arial"/>
                <w:sz w:val="18"/>
                <w:szCs w:val="18"/>
                <w:color w:val="auto"/>
              </w:rPr>
              <w:t>Employment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(q)</w:t>
            </w:r>
          </w:p>
        </w:tc>
        <w:tc>
          <w:tcPr>
            <w:tcW w:w="10020" w:type="dxa"/>
            <w:vAlign w:val="bottom"/>
          </w:tcPr>
          <w:p>
            <w:pPr>
              <w:ind w:left="100"/>
              <w:spacing w:after="0"/>
              <w:rPr>
                <w:sz w:val="20"/>
                <w:szCs w:val="20"/>
                <w:color w:val="auto"/>
              </w:rPr>
            </w:pPr>
            <w:r>
              <w:rPr>
                <w:rFonts w:ascii="Arial" w:cs="Arial" w:eastAsia="Arial" w:hAnsi="Arial"/>
                <w:sz w:val="18"/>
                <w:szCs w:val="18"/>
                <w:color w:val="auto"/>
              </w:rPr>
              <w:t>Exchange Act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(r)</w:t>
            </w:r>
          </w:p>
        </w:tc>
        <w:tc>
          <w:tcPr>
            <w:tcW w:w="10020" w:type="dxa"/>
            <w:vAlign w:val="bottom"/>
          </w:tcPr>
          <w:p>
            <w:pPr>
              <w:ind w:left="100"/>
              <w:spacing w:after="0"/>
              <w:rPr>
                <w:sz w:val="20"/>
                <w:szCs w:val="20"/>
                <w:color w:val="auto"/>
              </w:rPr>
            </w:pPr>
            <w:r>
              <w:rPr>
                <w:rFonts w:ascii="Arial" w:cs="Arial" w:eastAsia="Arial" w:hAnsi="Arial"/>
                <w:sz w:val="18"/>
                <w:szCs w:val="18"/>
                <w:color w:val="auto"/>
              </w:rPr>
              <w:t>Fair Market Value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w:t>
            </w:r>
          </w:p>
        </w:tc>
        <w:tc>
          <w:tcPr>
            <w:tcW w:w="10020" w:type="dxa"/>
            <w:vAlign w:val="bottom"/>
          </w:tcPr>
          <w:p>
            <w:pPr>
              <w:ind w:left="100"/>
              <w:spacing w:after="0"/>
              <w:rPr>
                <w:sz w:val="20"/>
                <w:szCs w:val="20"/>
                <w:color w:val="auto"/>
              </w:rPr>
            </w:pPr>
            <w:r>
              <w:rPr>
                <w:rFonts w:ascii="Arial" w:cs="Arial" w:eastAsia="Arial" w:hAnsi="Arial"/>
                <w:sz w:val="18"/>
                <w:szCs w:val="18"/>
                <w:color w:val="auto"/>
              </w:rPr>
              <w:t>Grantee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(t)</w:t>
            </w:r>
          </w:p>
        </w:tc>
        <w:tc>
          <w:tcPr>
            <w:tcW w:w="10020" w:type="dxa"/>
            <w:vAlign w:val="bottom"/>
          </w:tcPr>
          <w:p>
            <w:pPr>
              <w:ind w:left="100"/>
              <w:spacing w:after="0"/>
              <w:rPr>
                <w:sz w:val="20"/>
                <w:szCs w:val="20"/>
                <w:color w:val="auto"/>
              </w:rPr>
            </w:pPr>
            <w:r>
              <w:rPr>
                <w:rFonts w:ascii="Arial" w:cs="Arial" w:eastAsia="Arial" w:hAnsi="Arial"/>
                <w:sz w:val="18"/>
                <w:szCs w:val="18"/>
                <w:color w:val="auto"/>
              </w:rPr>
              <w:t>Immediate Family</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(u)</w:t>
            </w:r>
          </w:p>
        </w:tc>
        <w:tc>
          <w:tcPr>
            <w:tcW w:w="10020" w:type="dxa"/>
            <w:vAlign w:val="bottom"/>
          </w:tcPr>
          <w:p>
            <w:pPr>
              <w:ind w:left="100"/>
              <w:spacing w:after="0"/>
              <w:rPr>
                <w:sz w:val="20"/>
                <w:szCs w:val="20"/>
                <w:color w:val="auto"/>
              </w:rPr>
            </w:pPr>
            <w:r>
              <w:rPr>
                <w:rFonts w:ascii="Arial" w:cs="Arial" w:eastAsia="Arial" w:hAnsi="Arial"/>
                <w:sz w:val="18"/>
                <w:szCs w:val="18"/>
                <w:color w:val="auto"/>
              </w:rPr>
              <w:t>Incentive Agreement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(v)</w:t>
            </w:r>
          </w:p>
        </w:tc>
        <w:tc>
          <w:tcPr>
            <w:tcW w:w="10020" w:type="dxa"/>
            <w:vAlign w:val="bottom"/>
          </w:tcPr>
          <w:p>
            <w:pPr>
              <w:ind w:left="100"/>
              <w:spacing w:after="0"/>
              <w:rPr>
                <w:sz w:val="20"/>
                <w:szCs w:val="20"/>
                <w:color w:val="auto"/>
              </w:rPr>
            </w:pPr>
            <w:r>
              <w:rPr>
                <w:rFonts w:ascii="Arial" w:cs="Arial" w:eastAsia="Arial" w:hAnsi="Arial"/>
                <w:sz w:val="18"/>
                <w:szCs w:val="18"/>
                <w:color w:val="auto"/>
              </w:rPr>
              <w:t>Incentive Award or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w:t>
            </w:r>
          </w:p>
        </w:tc>
        <w:tc>
          <w:tcPr>
            <w:tcW w:w="10020" w:type="dxa"/>
            <w:vAlign w:val="bottom"/>
          </w:tcPr>
          <w:p>
            <w:pPr>
              <w:ind w:left="100"/>
              <w:spacing w:after="0"/>
              <w:rPr>
                <w:sz w:val="20"/>
                <w:szCs w:val="20"/>
                <w:color w:val="auto"/>
              </w:rPr>
            </w:pPr>
            <w:r>
              <w:rPr>
                <w:rFonts w:ascii="Arial" w:cs="Arial" w:eastAsia="Arial" w:hAnsi="Arial"/>
                <w:sz w:val="18"/>
                <w:szCs w:val="18"/>
                <w:color w:val="auto"/>
              </w:rPr>
              <w:t>Independent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(x)</w:t>
            </w:r>
          </w:p>
        </w:tc>
        <w:tc>
          <w:tcPr>
            <w:tcW w:w="10020" w:type="dxa"/>
            <w:vAlign w:val="bottom"/>
          </w:tcPr>
          <w:p>
            <w:pPr>
              <w:ind w:left="100"/>
              <w:spacing w:after="0"/>
              <w:rPr>
                <w:sz w:val="20"/>
                <w:szCs w:val="20"/>
                <w:color w:val="auto"/>
              </w:rPr>
            </w:pPr>
            <w:r>
              <w:rPr>
                <w:rFonts w:ascii="Arial" w:cs="Arial" w:eastAsia="Arial" w:hAnsi="Arial"/>
                <w:sz w:val="18"/>
                <w:szCs w:val="18"/>
                <w:color w:val="auto"/>
              </w:rPr>
              <w:t>Independent SAR or SAR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(y)</w:t>
            </w:r>
          </w:p>
        </w:tc>
        <w:tc>
          <w:tcPr>
            <w:tcW w:w="10020" w:type="dxa"/>
            <w:vAlign w:val="bottom"/>
          </w:tcPr>
          <w:p>
            <w:pPr>
              <w:ind w:left="100"/>
              <w:spacing w:after="0"/>
              <w:rPr>
                <w:sz w:val="20"/>
                <w:szCs w:val="20"/>
                <w:color w:val="auto"/>
              </w:rPr>
            </w:pPr>
            <w:r>
              <w:rPr>
                <w:rFonts w:ascii="Arial" w:cs="Arial" w:eastAsia="Arial" w:hAnsi="Arial"/>
                <w:sz w:val="18"/>
                <w:szCs w:val="18"/>
                <w:color w:val="auto"/>
              </w:rPr>
              <w:t>Insider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(z)</w:t>
            </w:r>
          </w:p>
        </w:tc>
        <w:tc>
          <w:tcPr>
            <w:tcW w:w="10020" w:type="dxa"/>
            <w:vAlign w:val="bottom"/>
          </w:tcPr>
          <w:p>
            <w:pPr>
              <w:ind w:left="100"/>
              <w:spacing w:after="0"/>
              <w:rPr>
                <w:sz w:val="20"/>
                <w:szCs w:val="20"/>
                <w:color w:val="auto"/>
              </w:rPr>
            </w:pPr>
            <w:r>
              <w:rPr>
                <w:rFonts w:ascii="Arial" w:cs="Arial" w:eastAsia="Arial" w:hAnsi="Arial"/>
                <w:sz w:val="18"/>
                <w:szCs w:val="18"/>
                <w:color w:val="auto"/>
              </w:rPr>
              <w:t>Option Price</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(aa)</w:t>
            </w:r>
          </w:p>
        </w:tc>
        <w:tc>
          <w:tcPr>
            <w:tcW w:w="10020" w:type="dxa"/>
            <w:vAlign w:val="bottom"/>
          </w:tcPr>
          <w:p>
            <w:pPr>
              <w:ind w:left="100"/>
              <w:spacing w:after="0"/>
              <w:rPr>
                <w:sz w:val="20"/>
                <w:szCs w:val="20"/>
                <w:color w:val="auto"/>
              </w:rPr>
            </w:pPr>
            <w:r>
              <w:rPr>
                <w:rFonts w:ascii="Arial" w:cs="Arial" w:eastAsia="Arial" w:hAnsi="Arial"/>
                <w:sz w:val="18"/>
                <w:szCs w:val="18"/>
                <w:color w:val="auto"/>
              </w:rPr>
              <w:t>Other Stock-Based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(bb)</w:t>
            </w:r>
          </w:p>
        </w:tc>
        <w:tc>
          <w:tcPr>
            <w:tcW w:w="10020" w:type="dxa"/>
            <w:vAlign w:val="bottom"/>
          </w:tcPr>
          <w:p>
            <w:pPr>
              <w:ind w:left="100"/>
              <w:spacing w:after="0"/>
              <w:rPr>
                <w:sz w:val="20"/>
                <w:szCs w:val="20"/>
                <w:color w:val="auto"/>
              </w:rPr>
            </w:pPr>
            <w:r>
              <w:rPr>
                <w:rFonts w:ascii="Arial" w:cs="Arial" w:eastAsia="Arial" w:hAnsi="Arial"/>
                <w:sz w:val="18"/>
                <w:szCs w:val="18"/>
                <w:color w:val="auto"/>
              </w:rPr>
              <w:t>Outside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(cc)</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(dd)</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Performance-Based Exception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(ee)</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Performance-Based Restricted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(ff)</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Criteria</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(gg)</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(hh)</w:t>
            </w:r>
          </w:p>
        </w:tc>
        <w:tc>
          <w:tcPr>
            <w:tcW w:w="10020" w:type="dxa"/>
            <w:vAlign w:val="bottom"/>
          </w:tcPr>
          <w:p>
            <w:pPr>
              <w:ind w:left="100"/>
              <w:spacing w:after="0"/>
              <w:rPr>
                <w:sz w:val="20"/>
                <w:szCs w:val="20"/>
                <w:color w:val="auto"/>
              </w:rPr>
            </w:pPr>
            <w:r>
              <w:rPr>
                <w:rFonts w:ascii="Arial" w:cs="Arial" w:eastAsia="Arial" w:hAnsi="Arial"/>
                <w:sz w:val="18"/>
                <w:szCs w:val="18"/>
                <w:color w:val="auto"/>
              </w:rPr>
              <w:t>Plan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(ii)</w:t>
            </w:r>
          </w:p>
        </w:tc>
        <w:tc>
          <w:tcPr>
            <w:tcW w:w="10020" w:type="dxa"/>
            <w:vAlign w:val="bottom"/>
          </w:tcPr>
          <w:p>
            <w:pPr>
              <w:ind w:left="100"/>
              <w:spacing w:after="0"/>
              <w:rPr>
                <w:sz w:val="20"/>
                <w:szCs w:val="20"/>
                <w:color w:val="auto"/>
              </w:rPr>
            </w:pPr>
            <w:r>
              <w:rPr>
                <w:rFonts w:ascii="Arial" w:cs="Arial" w:eastAsia="Arial" w:hAnsi="Arial"/>
                <w:sz w:val="18"/>
                <w:szCs w:val="18"/>
                <w:color w:val="auto"/>
              </w:rPr>
              <w:t>Publicly Held Corporation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(jj)</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(kk)</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(ll)</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Unit</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(mm)</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Unit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(nn)</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Restriction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(oo)</w:t>
            </w:r>
          </w:p>
        </w:tc>
        <w:tc>
          <w:tcPr>
            <w:tcW w:w="10020" w:type="dxa"/>
            <w:vAlign w:val="bottom"/>
          </w:tcPr>
          <w:p>
            <w:pPr>
              <w:ind w:left="100"/>
              <w:spacing w:after="0"/>
              <w:rPr>
                <w:sz w:val="20"/>
                <w:szCs w:val="20"/>
                <w:color w:val="auto"/>
              </w:rPr>
            </w:pPr>
            <w:r>
              <w:rPr>
                <w:rFonts w:ascii="Arial" w:cs="Arial" w:eastAsia="Arial" w:hAnsi="Arial"/>
                <w:sz w:val="18"/>
                <w:szCs w:val="18"/>
                <w:color w:val="auto"/>
              </w:rPr>
              <w:t>Retirement</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(pp)</w:t>
            </w:r>
          </w:p>
        </w:tc>
        <w:tc>
          <w:tcPr>
            <w:tcW w:w="10020" w:type="dxa"/>
            <w:vAlign w:val="bottom"/>
          </w:tcPr>
          <w:p>
            <w:pPr>
              <w:ind w:left="100"/>
              <w:spacing w:after="0"/>
              <w:rPr>
                <w:sz w:val="20"/>
                <w:szCs w:val="20"/>
                <w:color w:val="auto"/>
              </w:rPr>
            </w:pPr>
            <w:r>
              <w:rPr>
                <w:rFonts w:ascii="Arial" w:cs="Arial" w:eastAsia="Arial" w:hAnsi="Arial"/>
                <w:sz w:val="18"/>
                <w:szCs w:val="18"/>
                <w:color w:val="auto"/>
              </w:rPr>
              <w:t>Share</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(qq)</w:t>
            </w:r>
          </w:p>
        </w:tc>
        <w:tc>
          <w:tcPr>
            <w:tcW w:w="10020" w:type="dxa"/>
            <w:vAlign w:val="bottom"/>
          </w:tcPr>
          <w:p>
            <w:pPr>
              <w:ind w:left="100"/>
              <w:spacing w:after="0"/>
              <w:rPr>
                <w:sz w:val="20"/>
                <w:szCs w:val="20"/>
                <w:color w:val="auto"/>
              </w:rPr>
            </w:pPr>
            <w:r>
              <w:rPr>
                <w:rFonts w:ascii="Arial" w:cs="Arial" w:eastAsia="Arial" w:hAnsi="Arial"/>
                <w:sz w:val="18"/>
                <w:szCs w:val="18"/>
                <w:color w:val="auto"/>
              </w:rPr>
              <w:t>Share Pool</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(rr)</w:t>
            </w:r>
          </w:p>
        </w:tc>
        <w:tc>
          <w:tcPr>
            <w:tcW w:w="10020" w:type="dxa"/>
            <w:vAlign w:val="bottom"/>
          </w:tcPr>
          <w:p>
            <w:pPr>
              <w:ind w:left="100"/>
              <w:spacing w:after="0"/>
              <w:rPr>
                <w:sz w:val="20"/>
                <w:szCs w:val="20"/>
                <w:color w:val="auto"/>
              </w:rPr>
            </w:pPr>
            <w:r>
              <w:rPr>
                <w:rFonts w:ascii="Arial" w:cs="Arial" w:eastAsia="Arial" w:hAnsi="Arial"/>
                <w:sz w:val="18"/>
                <w:szCs w:val="18"/>
                <w:color w:val="auto"/>
              </w:rPr>
              <w:t>Spread</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22"/>
        </w:trPr>
        <w:tc>
          <w:tcPr>
            <w:tcW w:w="500" w:type="dxa"/>
            <w:vAlign w:val="bottom"/>
          </w:tcPr>
          <w:p>
            <w:pPr>
              <w:spacing w:after="0"/>
              <w:rPr>
                <w:sz w:val="19"/>
                <w:szCs w:val="19"/>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(ss)</w:t>
            </w:r>
          </w:p>
        </w:tc>
        <w:tc>
          <w:tcPr>
            <w:tcW w:w="10020" w:type="dxa"/>
            <w:vAlign w:val="bottom"/>
          </w:tcPr>
          <w:p>
            <w:pPr>
              <w:ind w:left="100"/>
              <w:spacing w:after="0"/>
              <w:rPr>
                <w:sz w:val="20"/>
                <w:szCs w:val="20"/>
                <w:color w:val="auto"/>
              </w:rPr>
            </w:pPr>
            <w:r>
              <w:rPr>
                <w:rFonts w:ascii="Arial" w:cs="Arial" w:eastAsia="Arial" w:hAnsi="Arial"/>
                <w:sz w:val="18"/>
                <w:szCs w:val="18"/>
                <w:color w:val="auto"/>
              </w:rPr>
              <w:t>Stock Appreciation Right or SAR</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00" w:type="dxa"/>
            <w:vAlign w:val="bottom"/>
            <w:vMerge w:val="restart"/>
          </w:tcPr>
          <w:p>
            <w:pPr>
              <w:ind w:left="120"/>
              <w:spacing w:after="0"/>
              <w:rPr>
                <w:sz w:val="20"/>
                <w:szCs w:val="20"/>
                <w:color w:val="auto"/>
              </w:rPr>
            </w:pPr>
            <w:r>
              <w:rPr>
                <w:rFonts w:ascii="Arial" w:cs="Arial" w:eastAsia="Arial" w:hAnsi="Arial"/>
                <w:sz w:val="18"/>
                <w:szCs w:val="18"/>
                <w:color w:val="auto"/>
              </w:rPr>
              <w:t>(tt)</w:t>
            </w:r>
          </w:p>
        </w:tc>
        <w:tc>
          <w:tcPr>
            <w:tcW w:w="9920" w:type="dxa"/>
            <w:vAlign w:val="bottom"/>
            <w:vMerge w:val="restart"/>
          </w:tcPr>
          <w:p>
            <w:pPr>
              <w:ind w:left="120"/>
              <w:spacing w:after="0"/>
              <w:rPr>
                <w:sz w:val="20"/>
                <w:szCs w:val="20"/>
                <w:color w:val="auto"/>
              </w:rPr>
            </w:pPr>
            <w:r>
              <w:rPr>
                <w:rFonts w:ascii="Arial" w:cs="Arial" w:eastAsia="Arial" w:hAnsi="Arial"/>
                <w:sz w:val="18"/>
                <w:szCs w:val="18"/>
                <w:color w:val="auto"/>
              </w:rPr>
              <w:t>Stock Option or Option</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9920" w:type="dxa"/>
            <w:vAlign w:val="bottom"/>
            <w:vMerge w:val="continue"/>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C-5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(uu)</w:t>
            </w:r>
          </w:p>
        </w:tc>
        <w:tc>
          <w:tcPr>
            <w:tcW w:w="9920" w:type="dxa"/>
            <w:vAlign w:val="bottom"/>
          </w:tcPr>
          <w:p>
            <w:pPr>
              <w:ind w:left="120"/>
              <w:spacing w:after="0"/>
              <w:rPr>
                <w:sz w:val="20"/>
                <w:szCs w:val="20"/>
                <w:color w:val="auto"/>
              </w:rPr>
            </w:pPr>
            <w:r>
              <w:rPr>
                <w:rFonts w:ascii="Arial" w:cs="Arial" w:eastAsia="Arial" w:hAnsi="Arial"/>
                <w:sz w:val="18"/>
                <w:szCs w:val="18"/>
                <w:color w:val="auto"/>
              </w:rPr>
              <w:t>Stock Option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(vv)</w:t>
            </w:r>
          </w:p>
        </w:tc>
        <w:tc>
          <w:tcPr>
            <w:tcW w:w="9920" w:type="dxa"/>
            <w:vAlign w:val="bottom"/>
          </w:tcPr>
          <w:p>
            <w:pPr>
              <w:ind w:left="120"/>
              <w:spacing w:after="0"/>
              <w:rPr>
                <w:sz w:val="20"/>
                <w:szCs w:val="20"/>
                <w:color w:val="auto"/>
              </w:rPr>
            </w:pPr>
            <w:r>
              <w:rPr>
                <w:rFonts w:ascii="Arial" w:cs="Arial" w:eastAsia="Arial" w:hAnsi="Arial"/>
                <w:sz w:val="18"/>
                <w:szCs w:val="18"/>
                <w:color w:val="auto"/>
              </w:rPr>
              <w:t>Subsidiary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(ww)</w:t>
            </w:r>
          </w:p>
        </w:tc>
        <w:tc>
          <w:tcPr>
            <w:tcW w:w="9920" w:type="dxa"/>
            <w:vAlign w:val="bottom"/>
          </w:tcPr>
          <w:p>
            <w:pPr>
              <w:ind w:left="120"/>
              <w:spacing w:after="0"/>
              <w:rPr>
                <w:sz w:val="20"/>
                <w:szCs w:val="20"/>
                <w:color w:val="auto"/>
              </w:rPr>
            </w:pPr>
            <w:r>
              <w:rPr>
                <w:rFonts w:ascii="Arial" w:cs="Arial" w:eastAsia="Arial" w:hAnsi="Arial"/>
                <w:sz w:val="18"/>
                <w:szCs w:val="18"/>
                <w:color w:val="auto"/>
              </w:rPr>
              <w:t>Termination of Directorship</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Plan Administration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Authority of the Committee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Meetings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Decisions Binding</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Modification of Outstanding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(e)</w:t>
            </w:r>
          </w:p>
        </w:tc>
        <w:tc>
          <w:tcPr>
            <w:tcW w:w="9920" w:type="dxa"/>
            <w:vAlign w:val="bottom"/>
          </w:tcPr>
          <w:p>
            <w:pPr>
              <w:ind w:left="120"/>
              <w:spacing w:after="0"/>
              <w:rPr>
                <w:sz w:val="20"/>
                <w:szCs w:val="20"/>
                <w:color w:val="auto"/>
              </w:rPr>
            </w:pPr>
            <w:r>
              <w:rPr>
                <w:rFonts w:ascii="Arial" w:cs="Arial" w:eastAsia="Arial" w:hAnsi="Arial"/>
                <w:sz w:val="18"/>
                <w:szCs w:val="18"/>
                <w:color w:val="auto"/>
              </w:rPr>
              <w:t>Delegation of Authority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(f)</w:t>
            </w:r>
          </w:p>
        </w:tc>
        <w:tc>
          <w:tcPr>
            <w:tcW w:w="9920" w:type="dxa"/>
            <w:vAlign w:val="bottom"/>
          </w:tcPr>
          <w:p>
            <w:pPr>
              <w:ind w:left="120"/>
              <w:spacing w:after="0"/>
              <w:rPr>
                <w:sz w:val="20"/>
                <w:szCs w:val="20"/>
                <w:color w:val="auto"/>
              </w:rPr>
            </w:pPr>
            <w:r>
              <w:rPr>
                <w:rFonts w:ascii="Arial" w:cs="Arial" w:eastAsia="Arial" w:hAnsi="Arial"/>
                <w:sz w:val="18"/>
                <w:szCs w:val="18"/>
                <w:color w:val="auto"/>
              </w:rPr>
              <w:t>Expenses of Committee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(g)</w:t>
            </w:r>
          </w:p>
        </w:tc>
        <w:tc>
          <w:tcPr>
            <w:tcW w:w="99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Shares of Common Stock Available for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C-7</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Share Pool Adjustments for Awards and Payouts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C-7</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Common Stock Available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Eligibility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22"/>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Types of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42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2</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STOCK OPTIONS AND STOCK APPRECIATION RIGHTS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Grant of Stock Options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Option Terms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Written Agreement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Number of Shares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 Price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Term</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(e)</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Option Exercises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Method of Exercise and Payment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Restrictions on Share Transferability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Proceeds of Option 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Appreciation Rights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Grant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General Provisions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Settlement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42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3</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COMMON STOCK AWARDS FOR OUTSIDE DIRECTORS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Initial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Annual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Termination of Directorship</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Issuance of Common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Deferral of Common Stock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Subsequent Deferrals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2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4</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Award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Grant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Immediate Transfer Without Immediate Delivery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Restrictions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Forfeiture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Issuance of Certificates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Removal of Restrictions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22"/>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Delivery of Shares of Common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C-ii</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5</w:t>
            </w:r>
          </w:p>
        </w:tc>
        <w:tc>
          <w:tcPr>
            <w:tcW w:w="98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RESTRICTED STOCK UNITS</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160" w:type="dxa"/>
            <w:vAlign w:val="bottom"/>
            <w:gridSpan w:val="2"/>
            <w:vMerge w:val="continue"/>
          </w:tcPr>
          <w:p>
            <w:pPr>
              <w:spacing w:after="0"/>
              <w:rPr>
                <w:sz w:val="17"/>
                <w:szCs w:val="17"/>
                <w:color w:val="auto"/>
              </w:rPr>
            </w:pPr>
          </w:p>
        </w:tc>
        <w:tc>
          <w:tcPr>
            <w:tcW w:w="9820" w:type="dxa"/>
            <w:vAlign w:val="bottom"/>
            <w:vMerge w:val="continue"/>
          </w:tcPr>
          <w:p>
            <w:pPr>
              <w:spacing w:after="0"/>
              <w:rPr>
                <w:sz w:val="17"/>
                <w:szCs w:val="17"/>
                <w:color w:val="auto"/>
              </w:rPr>
            </w:pPr>
          </w:p>
        </w:tc>
        <w:tc>
          <w:tcPr>
            <w:tcW w:w="4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w w:val="87"/>
              </w:rPr>
              <w:t>C-14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 of Restricted Stock Units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Restricted Stock Unit Award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Written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Vesting</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Initial Deferral of Restricted Stock Unit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Subsequent Deferrals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6</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OTHER STOCK-BASED AWARDS</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Grant of Other Stock-Based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Other Stock-Based Award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Written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Purchase Price</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Performance Criteria and Other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7</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PERFORMANCE CRITERIA</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Performance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Performance Measures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7.3</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Awards Criteria</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7.4</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7.5</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Termination of Award</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22"/>
        </w:trPr>
        <w:tc>
          <w:tcPr>
            <w:tcW w:w="640" w:type="dxa"/>
            <w:vAlign w:val="bottom"/>
          </w:tcPr>
          <w:p>
            <w:pPr>
              <w:ind w:left="180"/>
              <w:spacing w:after="0"/>
              <w:rPr>
                <w:sz w:val="20"/>
                <w:szCs w:val="20"/>
                <w:color w:val="auto"/>
              </w:rPr>
            </w:pPr>
            <w:r>
              <w:rPr>
                <w:rFonts w:ascii="Arial" w:cs="Arial" w:eastAsia="Arial" w:hAnsi="Arial"/>
                <w:sz w:val="18"/>
                <w:szCs w:val="18"/>
                <w:color w:val="auto"/>
              </w:rPr>
              <w:t>7.6</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Awards Subject to the Performance-Based Exception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8</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PROVISIONS RELATING TO PLAN PARTICIPATION</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C-17</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Incentive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No Right to Employment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8.3</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Securities Requirements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8.4</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Transferability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8.5</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Rights as a Stockholder</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No Stockholder Rights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Representation of Ownership</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8.6</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Change in Stock and Adjustments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Changes in Law or Circumstances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Exercise of Corporate Powers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Recapitalization of the Company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Issue of Common Stock by the Company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Assumption under the Plan of Outstanding Stock Options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(f)</w:t>
            </w:r>
          </w:p>
        </w:tc>
        <w:tc>
          <w:tcPr>
            <w:tcW w:w="9820" w:type="dxa"/>
            <w:vAlign w:val="bottom"/>
          </w:tcPr>
          <w:p>
            <w:pPr>
              <w:ind w:left="140"/>
              <w:spacing w:after="0"/>
              <w:rPr>
                <w:sz w:val="20"/>
                <w:szCs w:val="20"/>
                <w:color w:val="auto"/>
              </w:rPr>
            </w:pPr>
            <w:r>
              <w:rPr>
                <w:rFonts w:ascii="Arial" w:cs="Arial" w:eastAsia="Arial" w:hAnsi="Arial"/>
                <w:sz w:val="18"/>
                <w:szCs w:val="18"/>
                <w:color w:val="auto"/>
              </w:rPr>
              <w:t>Assumption of Incentive Awards by a Successor</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8.7</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Termination of Employment or Directorship, Death, Disability and Retirement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Employment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Directorship</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Employment for Cause</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Voluntary Resignation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Retirement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(f)</w:t>
            </w:r>
          </w:p>
        </w:tc>
        <w:tc>
          <w:tcPr>
            <w:tcW w:w="9820" w:type="dxa"/>
            <w:vAlign w:val="bottom"/>
          </w:tcPr>
          <w:p>
            <w:pPr>
              <w:ind w:left="140"/>
              <w:spacing w:after="0"/>
              <w:rPr>
                <w:sz w:val="20"/>
                <w:szCs w:val="20"/>
                <w:color w:val="auto"/>
              </w:rPr>
            </w:pPr>
            <w:r>
              <w:rPr>
                <w:rFonts w:ascii="Arial" w:cs="Arial" w:eastAsia="Arial" w:hAnsi="Arial"/>
                <w:sz w:val="18"/>
                <w:szCs w:val="18"/>
                <w:color w:val="auto"/>
              </w:rPr>
              <w:t>Disability or Death</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(g)</w:t>
            </w:r>
          </w:p>
        </w:tc>
        <w:tc>
          <w:tcPr>
            <w:tcW w:w="9820" w:type="dxa"/>
            <w:vAlign w:val="bottom"/>
          </w:tcPr>
          <w:p>
            <w:pPr>
              <w:ind w:left="140"/>
              <w:spacing w:after="0"/>
              <w:rPr>
                <w:sz w:val="20"/>
                <w:szCs w:val="20"/>
                <w:color w:val="auto"/>
              </w:rPr>
            </w:pPr>
            <w:r>
              <w:rPr>
                <w:rFonts w:ascii="Arial" w:cs="Arial" w:eastAsia="Arial" w:hAnsi="Arial"/>
                <w:sz w:val="18"/>
                <w:szCs w:val="18"/>
                <w:color w:val="auto"/>
              </w:rPr>
              <w:t>Continuation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8.8</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Change in Control</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8.9</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Exchange of Incentive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22"/>
        </w:trPr>
        <w:tc>
          <w:tcPr>
            <w:tcW w:w="640" w:type="dxa"/>
            <w:vAlign w:val="bottom"/>
          </w:tcPr>
          <w:p>
            <w:pPr>
              <w:ind w:left="180"/>
              <w:spacing w:after="0"/>
              <w:rPr>
                <w:sz w:val="20"/>
                <w:szCs w:val="20"/>
                <w:color w:val="auto"/>
              </w:rPr>
            </w:pPr>
            <w:r>
              <w:rPr>
                <w:rFonts w:ascii="Arial" w:cs="Arial" w:eastAsia="Arial" w:hAnsi="Arial"/>
                <w:sz w:val="18"/>
                <w:szCs w:val="18"/>
                <w:color w:val="auto"/>
              </w:rPr>
              <w:t>8.10</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Financing</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C-iii</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9</w:t>
            </w:r>
          </w:p>
        </w:tc>
        <w:tc>
          <w:tcPr>
            <w:tcW w:w="99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GENERAL</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60" w:type="dxa"/>
            <w:vAlign w:val="bottom"/>
            <w:gridSpan w:val="2"/>
            <w:vMerge w:val="continue"/>
          </w:tcPr>
          <w:p>
            <w:pPr>
              <w:spacing w:after="0"/>
              <w:rPr>
                <w:sz w:val="17"/>
                <w:szCs w:val="17"/>
                <w:color w:val="auto"/>
              </w:rPr>
            </w:pPr>
          </w:p>
        </w:tc>
        <w:tc>
          <w:tcPr>
            <w:tcW w:w="9940" w:type="dxa"/>
            <w:vAlign w:val="bottom"/>
            <w:vMerge w:val="continue"/>
          </w:tcPr>
          <w:p>
            <w:pPr>
              <w:spacing w:after="0"/>
              <w:rPr>
                <w:sz w:val="17"/>
                <w:szCs w:val="17"/>
                <w:color w:val="auto"/>
              </w:rPr>
            </w:pPr>
          </w:p>
        </w:tc>
        <w:tc>
          <w:tcPr>
            <w:tcW w:w="4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b w:val="1"/>
                <w:bCs w:val="1"/>
                <w:color w:val="auto"/>
                <w:w w:val="87"/>
              </w:rPr>
              <w:t>C-25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Effective Date and Grant Period</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Funding and Liability of Company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Withholding Taxes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(a)</w:t>
            </w:r>
          </w:p>
        </w:tc>
        <w:tc>
          <w:tcPr>
            <w:tcW w:w="9940" w:type="dxa"/>
            <w:vAlign w:val="bottom"/>
          </w:tcPr>
          <w:p>
            <w:pPr>
              <w:ind w:left="140"/>
              <w:spacing w:after="0"/>
              <w:rPr>
                <w:sz w:val="20"/>
                <w:szCs w:val="20"/>
                <w:color w:val="auto"/>
              </w:rPr>
            </w:pPr>
            <w:r>
              <w:rPr>
                <w:rFonts w:ascii="Arial" w:cs="Arial" w:eastAsia="Arial" w:hAnsi="Arial"/>
                <w:sz w:val="18"/>
                <w:szCs w:val="18"/>
                <w:color w:val="auto"/>
              </w:rPr>
              <w:t>Tax Withholding</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(b)</w:t>
            </w:r>
          </w:p>
        </w:tc>
        <w:tc>
          <w:tcPr>
            <w:tcW w:w="9940" w:type="dxa"/>
            <w:vAlign w:val="bottom"/>
          </w:tcPr>
          <w:p>
            <w:pPr>
              <w:ind w:left="140"/>
              <w:spacing w:after="0"/>
              <w:rPr>
                <w:sz w:val="20"/>
                <w:szCs w:val="20"/>
                <w:color w:val="auto"/>
              </w:rPr>
            </w:pPr>
            <w:r>
              <w:rPr>
                <w:rFonts w:ascii="Arial" w:cs="Arial" w:eastAsia="Arial" w:hAnsi="Arial"/>
                <w:sz w:val="18"/>
                <w:szCs w:val="18"/>
                <w:color w:val="auto"/>
              </w:rPr>
              <w:t>Share Withholding</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(c)</w:t>
            </w:r>
          </w:p>
        </w:tc>
        <w:tc>
          <w:tcPr>
            <w:tcW w:w="9940" w:type="dxa"/>
            <w:vAlign w:val="bottom"/>
          </w:tcPr>
          <w:p>
            <w:pPr>
              <w:ind w:left="140"/>
              <w:spacing w:after="0"/>
              <w:rPr>
                <w:sz w:val="20"/>
                <w:szCs w:val="20"/>
                <w:color w:val="auto"/>
              </w:rPr>
            </w:pPr>
            <w:r>
              <w:rPr>
                <w:rFonts w:ascii="Arial" w:cs="Arial" w:eastAsia="Arial" w:hAnsi="Arial"/>
                <w:sz w:val="18"/>
                <w:szCs w:val="18"/>
                <w:color w:val="auto"/>
              </w:rPr>
              <w:t>Loans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9.4</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No Guarantee of Tax Consequences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9.5</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Designation of Beneficiary by Grantee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9.6</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Amendment and Termination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9.7</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Requirements of Law</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(a)   Governmental Entities and Securities Exchanges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(b)   Securities Act Rule 701</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9.8</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Rule 16b-3 Securities Law Compliance for Insiders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9.9</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Compliance with Code Section 162(m) for Publicly Held Corporation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9.10</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Notices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Pre-Clearance Agreement with Brokers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Successors to Company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Miscellaneous Provisions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9.14</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Severability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9.15</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Gender, Tense and Headings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9.16</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Governing Law</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22"/>
        </w:trPr>
        <w:tc>
          <w:tcPr>
            <w:tcW w:w="600" w:type="dxa"/>
            <w:vAlign w:val="bottom"/>
          </w:tcPr>
          <w:p>
            <w:pPr>
              <w:ind w:left="180"/>
              <w:spacing w:after="0"/>
              <w:rPr>
                <w:sz w:val="20"/>
                <w:szCs w:val="20"/>
                <w:color w:val="auto"/>
              </w:rPr>
            </w:pPr>
            <w:r>
              <w:rPr>
                <w:rFonts w:ascii="Arial" w:cs="Arial" w:eastAsia="Arial" w:hAnsi="Arial"/>
                <w:sz w:val="18"/>
                <w:szCs w:val="18"/>
                <w:color w:val="auto"/>
              </w:rPr>
              <w:t>9.17</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Section 409A Compliance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SMITH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LONG-TERM INCENTIVE COMPENSATION PLAN</w:t>
      </w:r>
    </w:p>
    <w:p>
      <w:pPr>
        <w:spacing w:after="0" w:line="7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1</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GENERAL PROVISIONS RELATING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GOVERNANCE, COVERAGE AND BENEFITS</w:t>
      </w:r>
    </w:p>
    <w:p>
      <w:pPr>
        <w:spacing w:after="0" w:line="1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Background and Purpose</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5"/>
          <w:szCs w:val="15"/>
          <w:color w:val="auto"/>
        </w:rPr>
        <w:t>Smith International, Inc., (the “</w:t>
      </w:r>
      <w:r>
        <w:rPr>
          <w:rFonts w:ascii="Arial" w:cs="Arial" w:eastAsia="Arial" w:hAnsi="Arial"/>
          <w:sz w:val="15"/>
          <w:szCs w:val="15"/>
          <w:b w:val="1"/>
          <w:bCs w:val="1"/>
          <w:color w:val="auto"/>
        </w:rPr>
        <w:t>Company</w:t>
      </w:r>
      <w:r>
        <w:rPr>
          <w:rFonts w:ascii="Arial" w:cs="Arial" w:eastAsia="Arial" w:hAnsi="Arial"/>
          <w:sz w:val="15"/>
          <w:szCs w:val="15"/>
          <w:color w:val="auto"/>
        </w:rPr>
        <w:t>”) established and adopted the “Smith International, Inc. 1989 Long-Term Incentive Compensation Plan” (the “</w:t>
      </w:r>
      <w:r>
        <w:rPr>
          <w:rFonts w:ascii="Arial" w:cs="Arial" w:eastAsia="Arial" w:hAnsi="Arial"/>
          <w:sz w:val="15"/>
          <w:szCs w:val="15"/>
          <w:b w:val="1"/>
          <w:bCs w:val="1"/>
          <w:color w:val="auto"/>
        </w:rPr>
        <w:t>Plan</w:t>
      </w:r>
      <w:r>
        <w:rPr>
          <w:rFonts w:ascii="Arial" w:cs="Arial" w:eastAsia="Arial" w:hAnsi="Arial"/>
          <w:sz w:val="15"/>
          <w:szCs w:val="15"/>
          <w:color w:val="auto"/>
        </w:rPr>
        <w:t>”). The Plan has been amended from time to time, and most recently amended and restated effective as of January 1, 2008. This amendment and restatement, which shall rename the Plan the “Smith International, Inc. Long-Term Incentive Compensation Plan” and shall make certain additional changes to</w:t>
      </w:r>
    </w:p>
    <w:p>
      <w:pPr>
        <w:spacing w:after="0" w:line="1"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color w:val="auto"/>
        </w:rPr>
        <w:t>the Plan, is generally effective as of</w:t>
      </w:r>
      <w:r>
        <w:rPr>
          <w:sz w:val="20"/>
          <w:szCs w:val="20"/>
          <w:color w:val="auto"/>
        </w:rPr>
        <w:tab/>
      </w:r>
      <w:r>
        <w:rPr>
          <w:rFonts w:ascii="Arial" w:cs="Arial" w:eastAsia="Arial" w:hAnsi="Arial"/>
          <w:sz w:val="15"/>
          <w:szCs w:val="15"/>
          <w:color w:val="auto"/>
        </w:rPr>
        <w:t>(the “</w:t>
      </w:r>
      <w:r>
        <w:rPr>
          <w:rFonts w:ascii="Arial" w:cs="Arial" w:eastAsia="Arial" w:hAnsi="Arial"/>
          <w:sz w:val="15"/>
          <w:szCs w:val="15"/>
          <w:b w:val="1"/>
          <w:bCs w:val="1"/>
          <w:color w:val="auto"/>
        </w:rPr>
        <w:t>Effective Date</w:t>
      </w:r>
      <w:r>
        <w:rPr>
          <w:rFonts w:ascii="Arial" w:cs="Arial" w:eastAsia="Arial" w:hAnsi="Arial"/>
          <w:sz w:val="15"/>
          <w:szCs w:val="15"/>
          <w:color w:val="auto"/>
        </w:rPr>
        <w:t>”), except as may otherwise be noted under certain terms and provisions of the Plan.</w:t>
      </w:r>
    </w:p>
    <w:p>
      <w:pPr>
        <w:spacing w:after="0" w:line="16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purpose of the Plan is to foster and promote the long-term financial success of the Company and to increase stockholder value by: (i) encouraging the commitment of selected key Employees, (ii) motivating superior performance of key Employees by means of long-term performance related incentives,</w:t>
      </w:r>
    </w:p>
    <w:p>
      <w:pPr>
        <w:ind w:right="20" w:firstLine="8"/>
        <w:spacing w:after="0" w:line="292" w:lineRule="auto"/>
        <w:tabs>
          <w:tab w:leader="none" w:pos="30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encouraging and providing key Employees with a program for obtaining ownership interests in the Company which link and align their personal interests to those of the Company’s stockholders, (iv) attracting and retaining key Employees by providing competitive compensation opportunities, (v) enabling key Employees to share in the long-term growth and success of the Company, (vi) providing additional incentives for securing and retaining qualified individuals who are not employees of the Company to serve on the Board of Directors of the Company (“</w:t>
      </w:r>
      <w:r>
        <w:rPr>
          <w:rFonts w:ascii="Arial" w:cs="Arial" w:eastAsia="Arial" w:hAnsi="Arial"/>
          <w:sz w:val="16"/>
          <w:szCs w:val="16"/>
          <w:b w:val="1"/>
          <w:bCs w:val="1"/>
          <w:color w:val="auto"/>
        </w:rPr>
        <w:t>Outside Directors</w:t>
      </w:r>
      <w:r>
        <w:rPr>
          <w:rFonts w:ascii="Arial" w:cs="Arial" w:eastAsia="Arial" w:hAnsi="Arial"/>
          <w:sz w:val="16"/>
          <w:szCs w:val="16"/>
          <w:color w:val="auto"/>
        </w:rPr>
        <w:t>”), and (vii) to enhance the future growth of the Company by furthering Outside Directors’ identification with the interests of the Company and its stockholders.</w:t>
      </w:r>
    </w:p>
    <w:p>
      <w:pPr>
        <w:spacing w:after="0" w:line="11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Plan provides for payment of various forms of compensation. It is not intended to be a plan that is subject to the Employee Retirement Income Security Act of 1974, as amended (“</w:t>
      </w:r>
      <w:r>
        <w:rPr>
          <w:rFonts w:ascii="Arial" w:cs="Arial" w:eastAsia="Arial" w:hAnsi="Arial"/>
          <w:sz w:val="15"/>
          <w:szCs w:val="15"/>
          <w:b w:val="1"/>
          <w:bCs w:val="1"/>
          <w:color w:val="auto"/>
        </w:rPr>
        <w:t>ERISA</w:t>
      </w:r>
      <w:r>
        <w:rPr>
          <w:rFonts w:ascii="Arial" w:cs="Arial" w:eastAsia="Arial" w:hAnsi="Arial"/>
          <w:sz w:val="15"/>
          <w:szCs w:val="15"/>
          <w:color w:val="auto"/>
        </w:rPr>
        <w:t>”). The Plan shall be interpreted, construed and administered consistent with its status as a plan that is not subject to ERISA.</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The Plan will remain in effect, subject to the right of the Board to amend or terminate the Plan at any time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 until all Shares subject to the Plan have been purchased or acquired according to its provisions.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have the meanings set forth below:</w:t>
      </w:r>
    </w:p>
    <w:p>
      <w:pPr>
        <w:spacing w:after="0" w:line="84" w:lineRule="exact"/>
        <w:rPr>
          <w:sz w:val="20"/>
          <w:szCs w:val="20"/>
          <w:color w:val="auto"/>
        </w:rPr>
      </w:pPr>
    </w:p>
    <w:p>
      <w:pPr>
        <w:ind w:left="460" w:right="260" w:firstLine="881"/>
        <w:spacing w:after="0" w:line="275" w:lineRule="auto"/>
        <w:tabs>
          <w:tab w:leader="none" w:pos="1575"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Advisory Director</w:t>
      </w:r>
      <w:r>
        <w:rPr>
          <w:rFonts w:ascii="Arial" w:cs="Arial" w:eastAsia="Arial" w:hAnsi="Arial"/>
          <w:sz w:val="18"/>
          <w:szCs w:val="18"/>
          <w:color w:val="auto"/>
        </w:rPr>
        <w:t>. An individual who (i) is not an officer or employee of the Company or any Subsidiary and (ii) serves as an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on the Board.</w:t>
      </w:r>
    </w:p>
    <w:p>
      <w:pPr>
        <w:spacing w:after="0" w:line="38" w:lineRule="exact"/>
        <w:rPr>
          <w:rFonts w:ascii="Arial" w:cs="Arial" w:eastAsia="Arial" w:hAnsi="Arial"/>
          <w:sz w:val="18"/>
          <w:szCs w:val="18"/>
          <w:color w:val="auto"/>
        </w:rPr>
      </w:pPr>
    </w:p>
    <w:p>
      <w:pPr>
        <w:ind w:left="460" w:right="60" w:firstLine="881"/>
        <w:spacing w:after="0" w:line="262" w:lineRule="auto"/>
        <w:tabs>
          <w:tab w:leader="none" w:pos="1585"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Authorized Officer</w:t>
      </w:r>
      <w:r>
        <w:rPr>
          <w:rFonts w:ascii="Arial" w:cs="Arial" w:eastAsia="Arial" w:hAnsi="Arial"/>
          <w:sz w:val="18"/>
          <w:szCs w:val="18"/>
          <w:color w:val="auto"/>
        </w:rPr>
        <w:t>. The Chairman of the Board, the CEO or any other senior officer of the Company to whom either of them delegate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execute any Incentive Agreement for and on behalf of the Company. No officer or director shall be an Authorized Officer with respect to any Incentive Agreement for himself.</w:t>
      </w:r>
    </w:p>
    <w:p>
      <w:pPr>
        <w:spacing w:after="0" w:line="51" w:lineRule="exact"/>
        <w:rPr>
          <w:rFonts w:ascii="Arial" w:cs="Arial" w:eastAsia="Arial" w:hAnsi="Arial"/>
          <w:sz w:val="18"/>
          <w:szCs w:val="18"/>
          <w:color w:val="auto"/>
        </w:rPr>
      </w:pPr>
    </w:p>
    <w:p>
      <w:pPr>
        <w:ind w:left="460" w:right="120" w:firstLine="881"/>
        <w:spacing w:after="0" w:line="275" w:lineRule="auto"/>
        <w:tabs>
          <w:tab w:leader="none" w:pos="1575"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Date</w:t>
      </w:r>
      <w:r>
        <w:rPr>
          <w:rFonts w:ascii="Arial" w:cs="Arial" w:eastAsia="Arial" w:hAnsi="Arial"/>
          <w:sz w:val="18"/>
          <w:szCs w:val="18"/>
          <w:color w:val="auto"/>
        </w:rPr>
        <w:t>. The annual date or other date upon which a Common Stock Award is granted by the Independent Directors of the Board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 as provided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580" w:hanging="239"/>
        <w:spacing w:after="0"/>
        <w:tabs>
          <w:tab w:leader="none" w:pos="1580"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The Board of Directors of the Company.</w:t>
      </w:r>
    </w:p>
    <w:p>
      <w:pPr>
        <w:spacing w:after="0" w:line="90" w:lineRule="exact"/>
        <w:rPr>
          <w:rFonts w:ascii="Arial" w:cs="Arial" w:eastAsia="Arial" w:hAnsi="Arial"/>
          <w:sz w:val="18"/>
          <w:szCs w:val="18"/>
          <w:color w:val="auto"/>
        </w:rPr>
      </w:pPr>
    </w:p>
    <w:p>
      <w:pPr>
        <w:ind w:left="460" w:right="940" w:firstLine="881"/>
        <w:spacing w:after="0" w:line="275" w:lineRule="auto"/>
        <w:tabs>
          <w:tab w:leader="none" w:pos="1575"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When used in connection with the termination of a Grantee’s Employment, shall mean the termination of the Grantee’s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or any Subsidiary by reason of (i)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conviction of the Grantee by a court of competent jurisdiction as to which no further appeal can be taken of a crime involving moral turpitude or a felony;</w:t>
      </w:r>
    </w:p>
    <w:p>
      <w:pPr>
        <w:spacing w:after="0" w:line="38" w:lineRule="exact"/>
        <w:rPr>
          <w:sz w:val="20"/>
          <w:szCs w:val="20"/>
          <w:color w:val="auto"/>
        </w:rPr>
      </w:pPr>
    </w:p>
    <w:p>
      <w:pPr>
        <w:ind w:left="460" w:firstLine="4"/>
        <w:spacing w:after="0" w:line="287" w:lineRule="auto"/>
        <w:tabs>
          <w:tab w:leader="none" w:pos="719"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proven commission by the Grantee of a material act of fraud upon the Company or any Subsidiary, or any customer or supplier thereof; (iii) the misappropriation of any funds or property of the Company or any Subsidiary, or any customer or supplier thereof; (iv) the willful and continued failure by the Grantee to perform the material duties assigned to him that is not cured to the reasonable satisfaction of the Company within 30 days after written notice of such failure is provided to Grantee by the Board or CEO (or by another officer of the Company or a Subsidiary who has been designated by the Board or CEO for such purpose); (v) the knowing engagement by the Grantee in any direct and material conflict of interest with the Company or any Subsidiary without compliance with the Company’s or Subsidiary’s conflict of interest policy, if any, then in effect; or (vi) the knowing engagement by the Grantee, without the written approval of the Board or CEO, in any material activity which competes with the business of the Company or any Subsidiary or which would result in a material injury to the business, reputation or goodwill of the Company or any Subsidiary.</w:t>
      </w:r>
    </w:p>
    <w:p>
      <w:pPr>
        <w:spacing w:after="0" w:line="37" w:lineRule="exact"/>
        <w:rPr>
          <w:rFonts w:ascii="Arial" w:cs="Arial" w:eastAsia="Arial" w:hAnsi="Arial"/>
          <w:sz w:val="16"/>
          <w:szCs w:val="16"/>
          <w:color w:val="auto"/>
        </w:rPr>
      </w:pPr>
    </w:p>
    <w:p>
      <w:pPr>
        <w:ind w:left="1560" w:hanging="219"/>
        <w:spacing w:after="0"/>
        <w:tabs>
          <w:tab w:leader="none" w:pos="1560" w:val="left"/>
        </w:tabs>
        <w:numPr>
          <w:ilvl w:val="1"/>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CEO</w:t>
      </w:r>
      <w:r>
        <w:rPr>
          <w:rFonts w:ascii="Arial" w:cs="Arial" w:eastAsia="Arial" w:hAnsi="Arial"/>
          <w:sz w:val="18"/>
          <w:szCs w:val="18"/>
          <w:color w:val="auto"/>
        </w:rPr>
        <w:t>. The Chief Executive Officer of the Company.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Any of the events described in and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8.8</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881"/>
        <w:spacing w:after="0" w:line="275" w:lineRule="auto"/>
        <w:tabs>
          <w:tab w:leader="none" w:pos="1585" w:val="left"/>
        </w:tabs>
        <w:numPr>
          <w:ilvl w:val="1"/>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The Internal Revenue Code of 1986, as amended, and the regulations and other authority promulgated thereunder by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References herein to any provision of the Code shall refer to any successor provision thereto.</w:t>
      </w:r>
    </w:p>
    <w:p>
      <w:pPr>
        <w:spacing w:after="0" w:line="38" w:lineRule="exact"/>
        <w:rPr>
          <w:rFonts w:ascii="Arial" w:cs="Arial" w:eastAsia="Arial" w:hAnsi="Arial"/>
          <w:sz w:val="18"/>
          <w:szCs w:val="18"/>
          <w:color w:val="auto"/>
        </w:rPr>
      </w:pPr>
    </w:p>
    <w:p>
      <w:pPr>
        <w:ind w:left="460" w:right="20" w:firstLine="881"/>
        <w:spacing w:after="0" w:line="290" w:lineRule="auto"/>
        <w:tabs>
          <w:tab w:leader="none" w:pos="1546" w:val="left"/>
        </w:tabs>
        <w:numPr>
          <w:ilvl w:val="1"/>
          <w:numId w:val="281"/>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Committee</w:t>
      </w:r>
      <w:r>
        <w:rPr>
          <w:rFonts w:ascii="Arial" w:cs="Arial" w:eastAsia="Arial" w:hAnsi="Arial"/>
          <w:sz w:val="16"/>
          <w:szCs w:val="16"/>
          <w:color w:val="auto"/>
        </w:rPr>
        <w:t>. A committee appointed by the Board to administer the Plan. While the Company is a Publicly Held Corporation, the Plan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administered by a Committee appointed by the Board consisting of not less than two directors who fulfill the “nonemployee director” requirements of Rule 16b-3 under the Exchange Act and the “outside director” requirements of Code Section 162(m). In either case, the Committee may be the Compensation and Benefits Committee of the Board, or any subcommittee of the Compensation and Benefits Committee, provided that the members of the Committee satisfy the requirements of the previous provisions of this paragraph. Notwithstanding the preceding provisions of this subsection, with regard to Incentive Awards granted to Outside Directors, the Independent Directors of the Board shall have the sole power and authority to administer the Plan, and thus all references to the Committee herein shall mean the Independent Directors of the Board with respect to Incentive Awards granted to Outside Directors.</w:t>
      </w:r>
    </w:p>
    <w:p>
      <w:pPr>
        <w:spacing w:after="0" w:line="37" w:lineRule="exact"/>
        <w:rPr>
          <w:sz w:val="20"/>
          <w:szCs w:val="20"/>
          <w:color w:val="auto"/>
        </w:rPr>
      </w:pPr>
    </w:p>
    <w:p>
      <w:pPr>
        <w:ind w:left="460" w:right="600" w:firstLine="438"/>
        <w:spacing w:after="0" w:line="306" w:lineRule="auto"/>
        <w:rPr>
          <w:sz w:val="20"/>
          <w:szCs w:val="20"/>
          <w:color w:val="auto"/>
        </w:rPr>
      </w:pPr>
      <w:r>
        <w:rPr>
          <w:rFonts w:ascii="Arial" w:cs="Arial" w:eastAsia="Arial" w:hAnsi="Arial"/>
          <w:sz w:val="16"/>
          <w:szCs w:val="16"/>
          <w:color w:val="auto"/>
        </w:rPr>
        <w:t>The Board shall have the power to fill vacancies on the Committee arising by resignation, death, removal or otherwise. The Board, in its sole discretion, may bifurcate the powers and duties of the Committee among one or more separate committees, or retain all powers and duties of the Committee in a single Committee. The members of the Committee shall serve at the discretion of the Board.</w:t>
      </w:r>
    </w:p>
    <w:p>
      <w:pPr>
        <w:spacing w:after="0" w:line="20" w:lineRule="exact"/>
        <w:rPr>
          <w:sz w:val="20"/>
          <w:szCs w:val="20"/>
          <w:color w:val="auto"/>
        </w:rPr>
      </w:pPr>
    </w:p>
    <w:p>
      <w:pPr>
        <w:ind w:left="460" w:right="140" w:firstLine="881"/>
        <w:spacing w:after="0" w:line="275" w:lineRule="auto"/>
        <w:tabs>
          <w:tab w:leader="none" w:pos="1546"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The common stock of the Company, $1.00 par value per share, and any class of common stock into which such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may hereafter be converted, reclassified or recapitalized.</w:t>
      </w:r>
    </w:p>
    <w:p>
      <w:pPr>
        <w:spacing w:after="0" w:line="38" w:lineRule="exact"/>
        <w:rPr>
          <w:rFonts w:ascii="Arial" w:cs="Arial" w:eastAsia="Arial" w:hAnsi="Arial"/>
          <w:sz w:val="18"/>
          <w:szCs w:val="18"/>
          <w:color w:val="auto"/>
        </w:rPr>
      </w:pPr>
    </w:p>
    <w:p>
      <w:pPr>
        <w:ind w:left="460" w:right="20" w:firstLine="881"/>
        <w:spacing w:after="0" w:line="275" w:lineRule="auto"/>
        <w:tabs>
          <w:tab w:leader="none" w:pos="1585"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 Award</w:t>
      </w:r>
      <w:r>
        <w:rPr>
          <w:rFonts w:ascii="Arial" w:cs="Arial" w:eastAsia="Arial" w:hAnsi="Arial"/>
          <w:sz w:val="18"/>
          <w:szCs w:val="18"/>
          <w:color w:val="auto"/>
        </w:rPr>
        <w:t>. An authorization of the Independent Directors of the Board to issue or transfer common stock to a Grantee who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Outside Director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560" w:hanging="219"/>
        <w:spacing w:after="0"/>
        <w:tabs>
          <w:tab w:leader="none" w:pos="1560"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Smith International, Inc. and any successor in interest thereto.</w:t>
      </w:r>
    </w:p>
    <w:p>
      <w:pPr>
        <w:spacing w:after="0" w:line="90" w:lineRule="exact"/>
        <w:rPr>
          <w:rFonts w:ascii="Arial" w:cs="Arial" w:eastAsia="Arial" w:hAnsi="Arial"/>
          <w:sz w:val="18"/>
          <w:szCs w:val="18"/>
          <w:color w:val="auto"/>
        </w:rPr>
      </w:pPr>
    </w:p>
    <w:p>
      <w:pPr>
        <w:ind w:left="460" w:right="280" w:firstLine="881"/>
        <w:spacing w:after="0" w:line="334" w:lineRule="auto"/>
        <w:tabs>
          <w:tab w:leader="none" w:pos="1634" w:val="left"/>
        </w:tabs>
        <w:numPr>
          <w:ilvl w:val="0"/>
          <w:numId w:val="282"/>
        </w:numPr>
        <w:rPr>
          <w:rFonts w:ascii="Arial" w:cs="Arial" w:eastAsia="Arial" w:hAnsi="Arial"/>
          <w:sz w:val="16"/>
          <w:szCs w:val="16"/>
          <w:color w:val="auto"/>
        </w:rPr>
      </w:pPr>
      <w:r>
        <w:rPr>
          <w:rFonts w:ascii="Arial" w:cs="Arial" w:eastAsia="Arial" w:hAnsi="Arial"/>
          <w:sz w:val="16"/>
          <w:szCs w:val="16"/>
          <w:b w:val="1"/>
          <w:bCs w:val="1"/>
          <w:u w:val="single" w:color="auto"/>
          <w:color w:val="auto"/>
        </w:rPr>
        <w:t>Covered Employee</w:t>
      </w:r>
      <w:r>
        <w:rPr>
          <w:rFonts w:ascii="Arial" w:cs="Arial" w:eastAsia="Arial" w:hAnsi="Arial"/>
          <w:sz w:val="16"/>
          <w:szCs w:val="16"/>
          <w:color w:val="auto"/>
        </w:rPr>
        <w:t>. A named executive officer who is one of the group of covered employees, as defined in Code Section 162(m) and</w:t>
      </w:r>
      <w:r>
        <w:rPr>
          <w:rFonts w:ascii="Arial" w:cs="Arial" w:eastAsia="Arial" w:hAnsi="Arial"/>
          <w:sz w:val="16"/>
          <w:szCs w:val="16"/>
          <w:b w:val="1"/>
          <w:bCs w:val="1"/>
          <w:color w:val="auto"/>
        </w:rPr>
        <w:t xml:space="preserve"> </w:t>
      </w:r>
      <w:r>
        <w:rPr>
          <w:rFonts w:ascii="Arial" w:cs="Arial" w:eastAsia="Arial" w:hAnsi="Arial"/>
          <w:sz w:val="16"/>
          <w:szCs w:val="16"/>
          <w:color w:val="auto"/>
        </w:rPr>
        <w:t>Treasury Regulation § 1.162-27(c) (or its successor), during any period that the Company is a Publicly Held Corporation.</w:t>
      </w:r>
    </w:p>
    <w:p>
      <w:pPr>
        <w:spacing w:after="0" w:line="1" w:lineRule="exact"/>
        <w:rPr>
          <w:rFonts w:ascii="Arial" w:cs="Arial" w:eastAsia="Arial" w:hAnsi="Arial"/>
          <w:sz w:val="16"/>
          <w:szCs w:val="16"/>
          <w:color w:val="auto"/>
        </w:rPr>
      </w:pPr>
    </w:p>
    <w:p>
      <w:pPr>
        <w:ind w:left="460" w:right="60" w:firstLine="881"/>
        <w:spacing w:after="0" w:line="256" w:lineRule="auto"/>
        <w:tabs>
          <w:tab w:leader="none" w:pos="1585"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A condition of a Grantee which (i) renders him unable to engage in any substantial gainful activity by reason of any medically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determinable physical or mental impairment that can be expected to result in death or can be expected to last for a continuous period of not less than 12 months, or (ii) is a medically determinable physical or mental impairment that can be expected to result in death or can be expected to last for a continuous period of not less than 12 months, for which the Grantee is receiving income replacement benefits for a period of not less than three months under an accident and health plan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color w:val="auto"/>
        </w:rPr>
        <w:t>long-term disability plan covering Employees of the Company or any Subsidiary. A determination of Disability shall be made by a physician selected or approved by the Committee and, in this respect, the Grantee shall submit to any reasonable examination(s) required by such physician upon request. In addition, any determination of Disability shall be made in accordance with the requirements of Code Section 409A as determined by the Committee.</w:t>
      </w:r>
    </w:p>
    <w:p>
      <w:pPr>
        <w:spacing w:after="0" w:line="20" w:lineRule="exact"/>
        <w:rPr>
          <w:sz w:val="20"/>
          <w:szCs w:val="20"/>
          <w:color w:val="auto"/>
        </w:rPr>
      </w:pPr>
    </w:p>
    <w:p>
      <w:pPr>
        <w:ind w:left="460" w:right="60" w:firstLine="881"/>
        <w:spacing w:after="0" w:line="262" w:lineRule="auto"/>
        <w:tabs>
          <w:tab w:leader="none" w:pos="1585"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Any full-time, salaried employee of the Company (or any Subsidiary) within the meaning of Code Section 3401(c) who,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opinion of the Committee, is in a position to contribute to the growth, development or financial success of the Company (or any Subsidiary), including, without limitation, officers who are members of the Board.</w:t>
      </w:r>
    </w:p>
    <w:p>
      <w:pPr>
        <w:spacing w:after="0" w:line="51" w:lineRule="exact"/>
        <w:rPr>
          <w:rFonts w:ascii="Arial" w:cs="Arial" w:eastAsia="Arial" w:hAnsi="Arial"/>
          <w:sz w:val="18"/>
          <w:szCs w:val="18"/>
          <w:color w:val="auto"/>
        </w:rPr>
      </w:pPr>
    </w:p>
    <w:p>
      <w:pPr>
        <w:ind w:left="460" w:right="60" w:firstLine="881"/>
        <w:spacing w:after="0" w:line="291" w:lineRule="auto"/>
        <w:tabs>
          <w:tab w:leader="none" w:pos="1585" w:val="left"/>
        </w:tabs>
        <w:numPr>
          <w:ilvl w:val="0"/>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Employment</w:t>
      </w:r>
      <w:r>
        <w:rPr>
          <w:rFonts w:ascii="Arial" w:cs="Arial" w:eastAsia="Arial" w:hAnsi="Arial"/>
          <w:sz w:val="16"/>
          <w:szCs w:val="16"/>
          <w:color w:val="auto"/>
        </w:rPr>
        <w:t>. Employment means that the individual is employed as an Employee by the Company or any Subsidiary. In this regard,</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transfer of a Grantee from Employment by the Company to Employment by any Subsidiary, nor the transfer of a Grantee from Employment by any Subsidiary to Employment by the Company, shall be deemed to be a termination of Employment of the Grantee. Moreover, the Employment of a Grantee shall not be deemed to have been terminated because of an approved leave of absence from active Employment on account of temporary illness, authorized vacation or granted for reasons of professional advancement, education, or health, or during any period required to be treated as a leave of absence by virtue of any applicable statute, Company personnel policy or written agreement. All determinations regarding Employment, and the termination of Employment hereunder, shall be made by the Committee.</w:t>
      </w:r>
    </w:p>
    <w:p>
      <w:pPr>
        <w:spacing w:after="0" w:line="32" w:lineRule="exact"/>
        <w:rPr>
          <w:rFonts w:ascii="Arial" w:cs="Arial" w:eastAsia="Arial" w:hAnsi="Arial"/>
          <w:sz w:val="16"/>
          <w:szCs w:val="16"/>
          <w:color w:val="auto"/>
        </w:rPr>
      </w:pPr>
    </w:p>
    <w:p>
      <w:pPr>
        <w:ind w:left="1580" w:hanging="239"/>
        <w:spacing w:after="0"/>
        <w:tabs>
          <w:tab w:leader="none" w:pos="1580"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The Securities Exchange Act of 1934, as amended.</w:t>
      </w:r>
    </w:p>
    <w:p>
      <w:pPr>
        <w:spacing w:after="0" w:line="90" w:lineRule="exact"/>
        <w:rPr>
          <w:rFonts w:ascii="Arial" w:cs="Arial" w:eastAsia="Arial" w:hAnsi="Arial"/>
          <w:sz w:val="18"/>
          <w:szCs w:val="18"/>
          <w:color w:val="auto"/>
        </w:rPr>
      </w:pPr>
    </w:p>
    <w:p>
      <w:pPr>
        <w:ind w:left="460" w:firstLine="881"/>
        <w:spacing w:after="0" w:line="254" w:lineRule="auto"/>
        <w:tabs>
          <w:tab w:leader="none" w:pos="1556"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While the Company is a Publicly Held Corporation, the Fair Market Value of one Share of Common Stock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in question is deemed to be (i) the closing sales price of a Share as reported on the New York Stock Exchange or other principal securities exchange on which Shares are then listed or admitted to trading, or (ii) the closing sales price for a Share as quoted on the National Association of Securities Dealers Automated Quotation System (“NASDAQ”), or (iii) if not quoted on NASDAQ, the average of the closing bid and asked prices for a Share as quoted by the National Quotation Bureau’s “Pink Sheets” or the National Association of Securities Dealers’ OTC Bulletin Board System. If there was no public trade of Common Stock on the date in question, Fair Market Value shall be determined by reference to the last preceding date on which such a trade was so reported.</w:t>
      </w:r>
    </w:p>
    <w:p>
      <w:pPr>
        <w:spacing w:after="0" w:line="66"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If the Company is not a Publicly Held Corporation at the time a determination of the Fair Market Value of the Common Stock is required to be made hereunder, the determination of Fair Market Value for purposes of the Plan shall be made by the Committee in its sole and absolute discretion. In this respect, the Committee may rely on such financial data, appraisals, valuations, experts, and other sources as, in its sole and absolute discretion, it deems advisable under the circumstances.</w:t>
      </w:r>
    </w:p>
    <w:p>
      <w:pPr>
        <w:spacing w:after="0" w:line="56" w:lineRule="exact"/>
        <w:rPr>
          <w:sz w:val="20"/>
          <w:szCs w:val="20"/>
          <w:color w:val="auto"/>
        </w:rPr>
      </w:pPr>
    </w:p>
    <w:p>
      <w:pPr>
        <w:ind w:left="1560" w:hanging="219"/>
        <w:spacing w:after="0"/>
        <w:tabs>
          <w:tab w:leader="none" w:pos="1560"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Grantee</w:t>
      </w:r>
      <w:r>
        <w:rPr>
          <w:rFonts w:ascii="Arial" w:cs="Arial" w:eastAsia="Arial" w:hAnsi="Arial"/>
          <w:sz w:val="18"/>
          <w:szCs w:val="18"/>
          <w:color w:val="auto"/>
        </w:rPr>
        <w:t>. Any Employee or Outside Director who is granted an Incentive Award under the Plan.</w:t>
      </w:r>
    </w:p>
    <w:p>
      <w:pPr>
        <w:spacing w:after="0" w:line="90" w:lineRule="exact"/>
        <w:rPr>
          <w:rFonts w:ascii="Arial" w:cs="Arial" w:eastAsia="Arial" w:hAnsi="Arial"/>
          <w:sz w:val="18"/>
          <w:szCs w:val="18"/>
          <w:color w:val="auto"/>
        </w:rPr>
      </w:pPr>
    </w:p>
    <w:p>
      <w:pPr>
        <w:ind w:left="460" w:right="180" w:firstLine="881"/>
        <w:spacing w:after="0" w:line="334" w:lineRule="auto"/>
        <w:tabs>
          <w:tab w:leader="none" w:pos="1546" w:val="left"/>
        </w:tabs>
        <w:numPr>
          <w:ilvl w:val="0"/>
          <w:numId w:val="284"/>
        </w:numPr>
        <w:rPr>
          <w:rFonts w:ascii="Arial" w:cs="Arial" w:eastAsia="Arial" w:hAnsi="Arial"/>
          <w:sz w:val="16"/>
          <w:szCs w:val="16"/>
          <w:color w:val="auto"/>
        </w:rPr>
      </w:pPr>
      <w:r>
        <w:rPr>
          <w:rFonts w:ascii="Arial" w:cs="Arial" w:eastAsia="Arial" w:hAnsi="Arial"/>
          <w:sz w:val="16"/>
          <w:szCs w:val="16"/>
          <w:b w:val="1"/>
          <w:bCs w:val="1"/>
          <w:u w:val="single" w:color="auto"/>
          <w:color w:val="auto"/>
        </w:rPr>
        <w:t>Immediate Family</w:t>
      </w:r>
      <w:r>
        <w:rPr>
          <w:rFonts w:ascii="Arial" w:cs="Arial" w:eastAsia="Arial" w:hAnsi="Arial"/>
          <w:sz w:val="16"/>
          <w:szCs w:val="16"/>
          <w:color w:val="auto"/>
        </w:rPr>
        <w:t>. With respect to a Grantee, the Grantee’s child, stepchild, grandchild, parent, stepparent, grandparent, spouse, former</w:t>
      </w:r>
      <w:r>
        <w:rPr>
          <w:rFonts w:ascii="Arial" w:cs="Arial" w:eastAsia="Arial" w:hAnsi="Arial"/>
          <w:sz w:val="16"/>
          <w:szCs w:val="16"/>
          <w:b w:val="1"/>
          <w:bCs w:val="1"/>
          <w:color w:val="auto"/>
        </w:rPr>
        <w:t xml:space="preserve"> </w:t>
      </w:r>
      <w:r>
        <w:rPr>
          <w:rFonts w:ascii="Arial" w:cs="Arial" w:eastAsia="Arial" w:hAnsi="Arial"/>
          <w:sz w:val="16"/>
          <w:szCs w:val="16"/>
          <w:color w:val="auto"/>
        </w:rPr>
        <w:t>spouse, sibling, mother-in-law, father-in-law, son-in-law, daughter-in-law, brother-in-law, or sister-in-law, including adoptive relationships.</w:t>
      </w:r>
    </w:p>
    <w:p>
      <w:pPr>
        <w:spacing w:after="0" w:line="1" w:lineRule="exact"/>
        <w:rPr>
          <w:rFonts w:ascii="Arial" w:cs="Arial" w:eastAsia="Arial" w:hAnsi="Arial"/>
          <w:sz w:val="16"/>
          <w:szCs w:val="16"/>
          <w:color w:val="auto"/>
        </w:rPr>
      </w:pPr>
    </w:p>
    <w:p>
      <w:pPr>
        <w:ind w:left="460" w:right="520" w:firstLine="881"/>
        <w:spacing w:after="0" w:line="334" w:lineRule="auto"/>
        <w:tabs>
          <w:tab w:leader="none" w:pos="1585" w:val="left"/>
        </w:tabs>
        <w:numPr>
          <w:ilvl w:val="0"/>
          <w:numId w:val="284"/>
        </w:numPr>
        <w:rPr>
          <w:rFonts w:ascii="Arial" w:cs="Arial" w:eastAsia="Arial" w:hAnsi="Arial"/>
          <w:sz w:val="16"/>
          <w:szCs w:val="16"/>
          <w:color w:val="auto"/>
        </w:rPr>
      </w:pPr>
      <w:r>
        <w:rPr>
          <w:rFonts w:ascii="Arial" w:cs="Arial" w:eastAsia="Arial" w:hAnsi="Arial"/>
          <w:sz w:val="16"/>
          <w:szCs w:val="16"/>
          <w:b w:val="1"/>
          <w:bCs w:val="1"/>
          <w:u w:val="single" w:color="auto"/>
          <w:color w:val="auto"/>
        </w:rPr>
        <w:t>Incentive Agreement</w:t>
      </w:r>
      <w:r>
        <w:rPr>
          <w:rFonts w:ascii="Arial" w:cs="Arial" w:eastAsia="Arial" w:hAnsi="Arial"/>
          <w:sz w:val="16"/>
          <w:szCs w:val="16"/>
          <w:color w:val="auto"/>
        </w:rPr>
        <w:t>. A separate written agreement entered into between the Company and the Grantee setting forth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conditions pursuant to which an Incentive Award is granted under the Plan, as such agreement is further defined in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right="120" w:firstLine="881"/>
        <w:spacing w:after="0" w:line="262" w:lineRule="auto"/>
        <w:tabs>
          <w:tab w:leader="none" w:pos="1585"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Award or Award</w:t>
      </w:r>
      <w:r>
        <w:rPr>
          <w:rFonts w:ascii="Arial" w:cs="Arial" w:eastAsia="Arial" w:hAnsi="Arial"/>
          <w:sz w:val="18"/>
          <w:szCs w:val="18"/>
          <w:color w:val="auto"/>
        </w:rPr>
        <w:t>. A grant of an award under the Plan to a Grantee, including any Stock Option, Stock Appreciation Right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Restricted Stock Award, Performance-Based Restricted Award, Common Stock Award, Restricted Stock Unit Award, Other Stock-Based Award or Performance Award.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460" w:right="2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firstLine="881"/>
        <w:spacing w:after="0" w:line="275" w:lineRule="auto"/>
        <w:tabs>
          <w:tab w:leader="none" w:pos="1624"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Independent Director</w:t>
      </w:r>
      <w:r>
        <w:rPr>
          <w:rFonts w:ascii="Arial" w:cs="Arial" w:eastAsia="Arial" w:hAnsi="Arial"/>
          <w:sz w:val="18"/>
          <w:szCs w:val="18"/>
          <w:color w:val="auto"/>
        </w:rPr>
        <w:t>. A director who is an “independent director” as defined in the New York Stock Exchange current listings, or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stock exchange as may be applicable.</w:t>
      </w:r>
    </w:p>
    <w:p>
      <w:pPr>
        <w:spacing w:after="0" w:line="38" w:lineRule="exact"/>
        <w:rPr>
          <w:rFonts w:ascii="Arial" w:cs="Arial" w:eastAsia="Arial" w:hAnsi="Arial"/>
          <w:sz w:val="18"/>
          <w:szCs w:val="18"/>
          <w:color w:val="auto"/>
        </w:rPr>
      </w:pPr>
    </w:p>
    <w:p>
      <w:pPr>
        <w:ind w:left="1580" w:hanging="239"/>
        <w:spacing w:after="0"/>
        <w:tabs>
          <w:tab w:leader="none" w:pos="1580"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Independent SAR or SAR</w:t>
      </w:r>
      <w:r>
        <w:rPr>
          <w:rFonts w:ascii="Arial" w:cs="Arial" w:eastAsia="Arial" w:hAnsi="Arial"/>
          <w:sz w:val="18"/>
          <w:szCs w:val="18"/>
          <w:color w:val="auto"/>
        </w:rPr>
        <w:t>. A Stock Appreciation Right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160" w:firstLine="881"/>
        <w:spacing w:after="0" w:line="262" w:lineRule="auto"/>
        <w:tabs>
          <w:tab w:leader="none" w:pos="1585"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Insider</w:t>
      </w:r>
      <w:r>
        <w:rPr>
          <w:rFonts w:ascii="Arial" w:cs="Arial" w:eastAsia="Arial" w:hAnsi="Arial"/>
          <w:sz w:val="18"/>
          <w:szCs w:val="18"/>
          <w:color w:val="auto"/>
        </w:rPr>
        <w:t>. While the Company is a Publicly Held Corporation, an individual who is, on the relevant date, an officer, director or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(10%) beneficial owner of any class of the Company’s equity securities that is registered pursuant to Section 12 of the Exchange Act, all as defined under Section 16 of the Exchange Act.</w:t>
      </w:r>
    </w:p>
    <w:p>
      <w:pPr>
        <w:spacing w:after="0" w:line="51" w:lineRule="exact"/>
        <w:rPr>
          <w:rFonts w:ascii="Arial" w:cs="Arial" w:eastAsia="Arial" w:hAnsi="Arial"/>
          <w:sz w:val="18"/>
          <w:szCs w:val="18"/>
          <w:color w:val="auto"/>
        </w:rPr>
      </w:pPr>
    </w:p>
    <w:p>
      <w:pPr>
        <w:ind w:left="1580" w:hanging="239"/>
        <w:spacing w:after="0"/>
        <w:tabs>
          <w:tab w:leader="none" w:pos="1580"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 The exercise price at which a Share may be purchased by the Grantee of a Stock Option.</w:t>
      </w:r>
    </w:p>
    <w:p>
      <w:pPr>
        <w:spacing w:after="0" w:line="90" w:lineRule="exact"/>
        <w:rPr>
          <w:sz w:val="20"/>
          <w:szCs w:val="20"/>
          <w:color w:val="auto"/>
        </w:rPr>
      </w:pPr>
    </w:p>
    <w:p>
      <w:pPr>
        <w:ind w:left="460" w:right="400" w:firstLine="881"/>
        <w:spacing w:after="0" w:line="334" w:lineRule="auto"/>
        <w:tabs>
          <w:tab w:leader="none" w:pos="1653"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Stock-Based Award</w:t>
      </w:r>
      <w:r>
        <w:rPr>
          <w:rFonts w:ascii="Arial" w:cs="Arial" w:eastAsia="Arial" w:hAnsi="Arial"/>
          <w:sz w:val="16"/>
          <w:szCs w:val="16"/>
          <w:color w:val="auto"/>
        </w:rPr>
        <w:t>. An award granted by the Committee to a Grantee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valued in whole or in part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to, or is otherwise based upon, Common Stock.</w:t>
      </w:r>
    </w:p>
    <w:p>
      <w:pPr>
        <w:spacing w:after="0" w:line="1" w:lineRule="exact"/>
        <w:rPr>
          <w:rFonts w:ascii="Arial" w:cs="Arial" w:eastAsia="Arial" w:hAnsi="Arial"/>
          <w:sz w:val="16"/>
          <w:szCs w:val="16"/>
          <w:color w:val="auto"/>
        </w:rPr>
      </w:pPr>
    </w:p>
    <w:p>
      <w:pPr>
        <w:ind w:left="460" w:right="360" w:firstLine="881"/>
        <w:spacing w:after="0" w:line="275" w:lineRule="auto"/>
        <w:tabs>
          <w:tab w:leader="none" w:pos="1673"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Outside Director</w:t>
      </w:r>
      <w:r>
        <w:rPr>
          <w:rFonts w:ascii="Arial" w:cs="Arial" w:eastAsia="Arial" w:hAnsi="Arial"/>
          <w:sz w:val="18"/>
          <w:szCs w:val="18"/>
          <w:color w:val="auto"/>
        </w:rPr>
        <w:t>. A member of the Board, or an Advisory Director, who is not, at the time the Incentive Award is granted to him,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employee of the Company or any Subsidiary.</w:t>
      </w:r>
    </w:p>
    <w:p>
      <w:pPr>
        <w:spacing w:after="0" w:line="38" w:lineRule="exact"/>
        <w:rPr>
          <w:rFonts w:ascii="Arial" w:cs="Arial" w:eastAsia="Arial" w:hAnsi="Arial"/>
          <w:sz w:val="18"/>
          <w:szCs w:val="18"/>
          <w:color w:val="auto"/>
        </w:rPr>
      </w:pPr>
    </w:p>
    <w:p>
      <w:pPr>
        <w:ind w:left="1660" w:hanging="319"/>
        <w:spacing w:after="0"/>
        <w:tabs>
          <w:tab w:leader="none" w:pos="166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Award</w:t>
      </w:r>
      <w:r>
        <w:rPr>
          <w:rFonts w:ascii="Arial" w:cs="Arial" w:eastAsia="Arial" w:hAnsi="Arial"/>
          <w:sz w:val="18"/>
          <w:szCs w:val="18"/>
          <w:color w:val="auto"/>
        </w:rPr>
        <w:t>. An award granted by the Committee to a Grantee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380" w:firstLine="881"/>
        <w:spacing w:after="0" w:line="262" w:lineRule="auto"/>
        <w:tabs>
          <w:tab w:leader="none" w:pos="1673"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Performance-Based Exception</w:t>
      </w:r>
      <w:r>
        <w:rPr>
          <w:rFonts w:ascii="Arial" w:cs="Arial" w:eastAsia="Arial" w:hAnsi="Arial"/>
          <w:sz w:val="18"/>
          <w:szCs w:val="18"/>
          <w:color w:val="auto"/>
        </w:rPr>
        <w:t>. The performance-based exception from the tax deductibility limitations of Code Section 162(m), as</w:t>
      </w:r>
      <w:r>
        <w:rPr>
          <w:rFonts w:ascii="Arial" w:cs="Arial" w:eastAsia="Arial" w:hAnsi="Arial"/>
          <w:sz w:val="18"/>
          <w:szCs w:val="18"/>
          <w:b w:val="1"/>
          <w:bCs w:val="1"/>
          <w:color w:val="auto"/>
        </w:rPr>
        <w:t xml:space="preserve"> </w:t>
      </w:r>
      <w:r>
        <w:rPr>
          <w:rFonts w:ascii="Arial" w:cs="Arial" w:eastAsia="Arial" w:hAnsi="Arial"/>
          <w:sz w:val="18"/>
          <w:szCs w:val="18"/>
          <w:color w:val="auto"/>
        </w:rPr>
        <w:t>prescribed in Code Section 162(m)(4)(C) and Treasury Regulation § 1.162-27(e) (or its successor), which is applicable during such period that the Company is a Publicly Held Corporation.</w:t>
      </w:r>
    </w:p>
    <w:p>
      <w:pPr>
        <w:spacing w:after="0" w:line="51" w:lineRule="exact"/>
        <w:rPr>
          <w:rFonts w:ascii="Arial" w:cs="Arial" w:eastAsia="Arial" w:hAnsi="Arial"/>
          <w:sz w:val="18"/>
          <w:szCs w:val="18"/>
          <w:color w:val="auto"/>
        </w:rPr>
      </w:pPr>
    </w:p>
    <w:p>
      <w:pPr>
        <w:ind w:left="460" w:right="240" w:firstLine="881"/>
        <w:spacing w:after="0" w:line="310" w:lineRule="auto"/>
        <w:tabs>
          <w:tab w:leader="none" w:pos="1653"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Performance-Based Restricted Award</w:t>
      </w:r>
      <w:r>
        <w:rPr>
          <w:rFonts w:ascii="Arial" w:cs="Arial" w:eastAsia="Arial" w:hAnsi="Arial"/>
          <w:sz w:val="16"/>
          <w:szCs w:val="16"/>
          <w:color w:val="auto"/>
        </w:rPr>
        <w:t>. Restricted Stock Awards or Restricted Stock Unit Awards awarded to a Grantee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w:t>
      </w:r>
      <w:r>
        <w:rPr>
          <w:rFonts w:ascii="Arial" w:cs="Arial" w:eastAsia="Arial" w:hAnsi="Arial"/>
          <w:sz w:val="16"/>
          <w:szCs w:val="16"/>
          <w:color w:val="auto"/>
        </w:rPr>
        <w:t>, as applicable, the grant of which is contingent upon the attainment of specified Performance Criteria, and/or the vesting of which are subject to a risk of forfeiture if the specified Performance Criteria are not met within the Performance Period.</w:t>
      </w:r>
    </w:p>
    <w:p>
      <w:pPr>
        <w:spacing w:after="0" w:line="16" w:lineRule="exact"/>
        <w:rPr>
          <w:rFonts w:ascii="Arial" w:cs="Arial" w:eastAsia="Arial" w:hAnsi="Arial"/>
          <w:sz w:val="16"/>
          <w:szCs w:val="16"/>
          <w:color w:val="auto"/>
        </w:rPr>
      </w:pPr>
    </w:p>
    <w:p>
      <w:pPr>
        <w:ind w:left="460" w:right="260" w:firstLine="881"/>
        <w:spacing w:after="0" w:line="310" w:lineRule="auto"/>
        <w:tabs>
          <w:tab w:leader="none" w:pos="1611"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Criteria</w:t>
      </w:r>
      <w:r>
        <w:rPr>
          <w:rFonts w:ascii="Arial" w:cs="Arial" w:eastAsia="Arial" w:hAnsi="Arial"/>
          <w:sz w:val="16"/>
          <w:szCs w:val="16"/>
          <w:color w:val="auto"/>
        </w:rPr>
        <w:t>. The business criteria that are specified by the Committee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color w:val="auto"/>
        </w:rPr>
        <w:t>for an Incentive Award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qualify for the Performance-Based Exception; the satisfaction of such business criteria during the Performance Period being required for the grant or vesting of the particular Incentive Award to occur, as specified in the Incentive Agreement.</w:t>
      </w:r>
    </w:p>
    <w:p>
      <w:pPr>
        <w:spacing w:after="0" w:line="16" w:lineRule="exact"/>
        <w:rPr>
          <w:rFonts w:ascii="Arial" w:cs="Arial" w:eastAsia="Arial" w:hAnsi="Arial"/>
          <w:sz w:val="16"/>
          <w:szCs w:val="16"/>
          <w:color w:val="auto"/>
        </w:rPr>
      </w:pPr>
    </w:p>
    <w:p>
      <w:pPr>
        <w:ind w:left="460" w:firstLine="881"/>
        <w:spacing w:after="0" w:line="262" w:lineRule="auto"/>
        <w:tabs>
          <w:tab w:leader="none" w:pos="1673"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Period</w:t>
      </w:r>
      <w:r>
        <w:rPr>
          <w:rFonts w:ascii="Arial" w:cs="Arial" w:eastAsia="Arial" w:hAnsi="Arial"/>
          <w:sz w:val="18"/>
          <w:szCs w:val="18"/>
          <w:color w:val="auto"/>
        </w:rPr>
        <w:t>. A period of time determined by the Committee over which performance is measured for the purpose of determining</w:t>
      </w:r>
      <w:r>
        <w:rPr>
          <w:rFonts w:ascii="Arial" w:cs="Arial" w:eastAsia="Arial" w:hAnsi="Arial"/>
          <w:sz w:val="18"/>
          <w:szCs w:val="18"/>
          <w:b w:val="1"/>
          <w:bCs w:val="1"/>
          <w:color w:val="auto"/>
        </w:rPr>
        <w:t xml:space="preserve"> </w:t>
      </w:r>
      <w:r>
        <w:rPr>
          <w:rFonts w:ascii="Arial" w:cs="Arial" w:eastAsia="Arial" w:hAnsi="Arial"/>
          <w:sz w:val="18"/>
          <w:szCs w:val="18"/>
          <w:color w:val="auto"/>
        </w:rPr>
        <w:t>a Grantee’s right to and the payment value of any Performance-Based Restricted Award, Other Stock-Based Award or Performance Award that is intended to qualify for the Performance-Based Exception.</w:t>
      </w:r>
    </w:p>
    <w:p>
      <w:pPr>
        <w:spacing w:after="0" w:line="51" w:lineRule="exact"/>
        <w:rPr>
          <w:rFonts w:ascii="Arial" w:cs="Arial" w:eastAsia="Arial" w:hAnsi="Arial"/>
          <w:sz w:val="18"/>
          <w:szCs w:val="18"/>
          <w:color w:val="auto"/>
        </w:rPr>
      </w:pPr>
    </w:p>
    <w:p>
      <w:pPr>
        <w:ind w:left="1680" w:hanging="339"/>
        <w:spacing w:after="0"/>
        <w:tabs>
          <w:tab w:leader="none" w:pos="1680"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Smith International, Inc. Long-Term Incentive Compensation Plan, as set forth herein and as it may be amended from time to time.</w:t>
      </w:r>
    </w:p>
    <w:p>
      <w:pPr>
        <w:spacing w:after="0" w:line="113" w:lineRule="exact"/>
        <w:rPr>
          <w:rFonts w:ascii="Arial" w:cs="Arial" w:eastAsia="Arial" w:hAnsi="Arial"/>
          <w:sz w:val="16"/>
          <w:szCs w:val="16"/>
          <w:color w:val="auto"/>
        </w:rPr>
      </w:pPr>
    </w:p>
    <w:p>
      <w:pPr>
        <w:ind w:left="1600" w:hanging="259"/>
        <w:spacing w:after="0"/>
        <w:tabs>
          <w:tab w:leader="none" w:pos="1600"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Publicly Held Corporation</w:t>
      </w:r>
      <w:r>
        <w:rPr>
          <w:rFonts w:ascii="Arial" w:cs="Arial" w:eastAsia="Arial" w:hAnsi="Arial"/>
          <w:sz w:val="16"/>
          <w:szCs w:val="16"/>
          <w:color w:val="auto"/>
        </w:rPr>
        <w:t>. A corporation issuing any class of common equity securities required to be registered under Section 12 of the</w:t>
      </w:r>
    </w:p>
    <w:p>
      <w:pPr>
        <w:spacing w:after="0" w:line="4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Exchange Act.</w:t>
      </w:r>
    </w:p>
    <w:p>
      <w:pPr>
        <w:spacing w:after="0" w:line="77" w:lineRule="exact"/>
        <w:rPr>
          <w:rFonts w:ascii="Arial" w:cs="Arial" w:eastAsia="Arial" w:hAnsi="Arial"/>
          <w:sz w:val="16"/>
          <w:szCs w:val="16"/>
          <w:color w:val="auto"/>
        </w:rPr>
      </w:pPr>
    </w:p>
    <w:p>
      <w:pPr>
        <w:ind w:left="1600" w:hanging="259"/>
        <w:spacing w:after="0"/>
        <w:tabs>
          <w:tab w:leader="none" w:pos="160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 Shares of Common Stock issued or transferred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 Award</w:t>
      </w:r>
      <w:r>
        <w:rPr>
          <w:rFonts w:ascii="Arial" w:cs="Arial" w:eastAsia="Arial" w:hAnsi="Arial"/>
          <w:sz w:val="16"/>
          <w:szCs w:val="16"/>
          <w:color w:val="auto"/>
        </w:rPr>
        <w:t>. An authorization by the Committee to issue or transfer Restricted Stock to a Grantee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right="60" w:firstLine="881"/>
        <w:spacing w:after="0" w:line="275" w:lineRule="auto"/>
        <w:tabs>
          <w:tab w:leader="none" w:pos="1595"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w:t>
      </w:r>
      <w:r>
        <w:rPr>
          <w:rFonts w:ascii="Arial" w:cs="Arial" w:eastAsia="Arial" w:hAnsi="Arial"/>
          <w:sz w:val="18"/>
          <w:szCs w:val="18"/>
          <w:color w:val="auto"/>
        </w:rPr>
        <w:t>. A unit granted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which entitles him to receive one share of Common Stock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in the Incentive Agreement.</w:t>
      </w:r>
    </w:p>
    <w:p>
      <w:pPr>
        <w:spacing w:after="0" w:line="38" w:lineRule="exact"/>
        <w:rPr>
          <w:rFonts w:ascii="Arial" w:cs="Arial" w:eastAsia="Arial" w:hAnsi="Arial"/>
          <w:sz w:val="18"/>
          <w:szCs w:val="18"/>
          <w:color w:val="auto"/>
        </w:rPr>
      </w:pPr>
    </w:p>
    <w:p>
      <w:pPr>
        <w:ind w:left="1780" w:hanging="439"/>
        <w:spacing w:after="0"/>
        <w:tabs>
          <w:tab w:leader="none" w:pos="178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 Award</w:t>
      </w:r>
      <w:r>
        <w:rPr>
          <w:rFonts w:ascii="Arial" w:cs="Arial" w:eastAsia="Arial" w:hAnsi="Arial"/>
          <w:sz w:val="18"/>
          <w:szCs w:val="18"/>
          <w:color w:val="auto"/>
        </w:rPr>
        <w:t>. An authorization to award Restricted Stock Units to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firstLine="881"/>
        <w:spacing w:after="0" w:line="275"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 Period</w:t>
      </w:r>
      <w:r>
        <w:rPr>
          <w:rFonts w:ascii="Arial" w:cs="Arial" w:eastAsia="Arial" w:hAnsi="Arial"/>
          <w:sz w:val="18"/>
          <w:szCs w:val="18"/>
          <w:color w:val="auto"/>
        </w:rPr>
        <w:t>. The period of time determined by the Committee and set forth in the Incentive Agreement during which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Incentive Award by the Grantee is restricted.</w:t>
      </w:r>
    </w:p>
    <w:p>
      <w:pPr>
        <w:spacing w:after="0" w:line="38" w:lineRule="exact"/>
        <w:rPr>
          <w:rFonts w:ascii="Arial" w:cs="Arial" w:eastAsia="Arial" w:hAnsi="Arial"/>
          <w:sz w:val="18"/>
          <w:szCs w:val="18"/>
          <w:color w:val="auto"/>
        </w:rPr>
      </w:pPr>
    </w:p>
    <w:p>
      <w:pPr>
        <w:ind w:left="460" w:right="180" w:firstLine="881"/>
        <w:spacing w:after="0" w:line="258"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color w:val="auto"/>
        </w:rPr>
        <w:t>. The voluntary termination of Employment by an Employee from the Company and any Subsidiary constituting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as confirmed through the Company’s Human Resources Department (i) on any date after the Employee attains the normal retirement age, (ii) on an earlier retirement date as expressly agreed to by the Committee prior to termination of Employment, or (iii) as of such other age as may be designated by the Committee in the Employee’s individual Incentive Agreement.</w:t>
      </w:r>
    </w:p>
    <w:p>
      <w:pPr>
        <w:spacing w:after="0" w:line="55" w:lineRule="exact"/>
        <w:rPr>
          <w:rFonts w:ascii="Arial" w:cs="Arial" w:eastAsia="Arial" w:hAnsi="Arial"/>
          <w:sz w:val="18"/>
          <w:szCs w:val="18"/>
          <w:color w:val="auto"/>
        </w:rPr>
      </w:pPr>
    </w:p>
    <w:p>
      <w:pPr>
        <w:ind w:left="1680" w:hanging="339"/>
        <w:spacing w:after="0"/>
        <w:tabs>
          <w:tab w:leader="none" w:pos="1680"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A share of the Common Stock of the Company.</w:t>
      </w:r>
    </w:p>
    <w:p>
      <w:pPr>
        <w:spacing w:after="0" w:line="90" w:lineRule="exact"/>
        <w:rPr>
          <w:rFonts w:ascii="Arial" w:cs="Arial" w:eastAsia="Arial" w:hAnsi="Arial"/>
          <w:sz w:val="18"/>
          <w:szCs w:val="18"/>
          <w:color w:val="auto"/>
        </w:rPr>
      </w:pPr>
    </w:p>
    <w:p>
      <w:pPr>
        <w:ind w:left="460" w:right="20" w:firstLine="881"/>
        <w:spacing w:after="0" w:line="275"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 Pool</w:t>
      </w:r>
      <w:r>
        <w:rPr>
          <w:rFonts w:ascii="Arial" w:cs="Arial" w:eastAsia="Arial" w:hAnsi="Arial"/>
          <w:sz w:val="18"/>
          <w:szCs w:val="18"/>
          <w:color w:val="auto"/>
        </w:rPr>
        <w:t>. The number of Shares authorized for issuance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w:t>
      </w:r>
      <w:r>
        <w:rPr>
          <w:rFonts w:ascii="Arial" w:cs="Arial" w:eastAsia="Arial" w:hAnsi="Arial"/>
          <w:sz w:val="18"/>
          <w:szCs w:val="18"/>
          <w:color w:val="auto"/>
        </w:rPr>
        <w:t>, as adjusted for awards and payouts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w:t>
      </w:r>
      <w:r>
        <w:rPr>
          <w:rFonts w:ascii="Arial" w:cs="Arial" w:eastAsia="Arial" w:hAnsi="Arial"/>
          <w:sz w:val="18"/>
          <w:szCs w:val="18"/>
          <w:b w:val="1"/>
          <w:bCs w:val="1"/>
          <w:color w:val="auto"/>
        </w:rPr>
        <w:t xml:space="preserve"> </w:t>
      </w:r>
      <w:r>
        <w:rPr>
          <w:rFonts w:ascii="Arial" w:cs="Arial" w:eastAsia="Arial" w:hAnsi="Arial"/>
          <w:sz w:val="18"/>
          <w:szCs w:val="18"/>
          <w:color w:val="auto"/>
        </w:rPr>
        <w:t>and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adjusted for changes in corporate capitalization under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120" w:firstLine="881"/>
        <w:spacing w:after="0" w:line="275" w:lineRule="auto"/>
        <w:tabs>
          <w:tab w:leader="none" w:pos="1614"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Spread</w:t>
      </w:r>
      <w:r>
        <w:rPr>
          <w:rFonts w:ascii="Arial" w:cs="Arial" w:eastAsia="Arial" w:hAnsi="Arial"/>
          <w:sz w:val="18"/>
          <w:szCs w:val="18"/>
          <w:color w:val="auto"/>
        </w:rPr>
        <w:t>. The difference between the exercise price per Share specified in a SAR grant and the Fair Market Value of a Share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the SAR.</w:t>
      </w:r>
    </w:p>
    <w:p>
      <w:pPr>
        <w:spacing w:after="0" w:line="38" w:lineRule="exact"/>
        <w:rPr>
          <w:rFonts w:ascii="Arial" w:cs="Arial" w:eastAsia="Arial" w:hAnsi="Arial"/>
          <w:sz w:val="18"/>
          <w:szCs w:val="18"/>
          <w:color w:val="auto"/>
        </w:rPr>
      </w:pPr>
    </w:p>
    <w:p>
      <w:pPr>
        <w:ind w:left="1640" w:hanging="299"/>
        <w:spacing w:after="0"/>
        <w:tabs>
          <w:tab w:leader="none" w:pos="1640"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Appreciation Right or SAR</w:t>
      </w:r>
      <w:r>
        <w:rPr>
          <w:rFonts w:ascii="Arial" w:cs="Arial" w:eastAsia="Arial" w:hAnsi="Arial"/>
          <w:sz w:val="16"/>
          <w:szCs w:val="16"/>
          <w:color w:val="auto"/>
        </w:rPr>
        <w:t>. A Stock Appreciation Right as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right="400" w:firstLine="881"/>
        <w:spacing w:after="0" w:line="275" w:lineRule="auto"/>
        <w:tabs>
          <w:tab w:leader="none" w:pos="1595"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 or Option</w:t>
      </w:r>
      <w:r>
        <w:rPr>
          <w:rFonts w:ascii="Arial" w:cs="Arial" w:eastAsia="Arial" w:hAnsi="Arial"/>
          <w:sz w:val="18"/>
          <w:szCs w:val="18"/>
          <w:color w:val="auto"/>
        </w:rPr>
        <w:t>. A stock option that is a nonstatutory stock option (and not an “incentive stock option” as described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422), as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680" w:hanging="339"/>
        <w:spacing w:after="0"/>
        <w:tabs>
          <w:tab w:leader="none" w:pos="1680"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 Award</w:t>
      </w:r>
      <w:r>
        <w:rPr>
          <w:rFonts w:ascii="Arial" w:cs="Arial" w:eastAsia="Arial" w:hAnsi="Arial"/>
          <w:sz w:val="18"/>
          <w:szCs w:val="18"/>
          <w:color w:val="auto"/>
        </w:rPr>
        <w:t>. An authorization to award a Stock Option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60" w:firstLine="881"/>
        <w:spacing w:after="0" w:line="262"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Any corporation (whether now or hereafter existing) which constitutes a “subsidiary” of the Company, as defined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424(f), and any limited liability company, partnership, or other entity in which the Company controls fifty percent (50%) or more of the voting power or equity interests.</w:t>
      </w:r>
    </w:p>
    <w:p>
      <w:pPr>
        <w:spacing w:after="0" w:line="51" w:lineRule="exact"/>
        <w:rPr>
          <w:rFonts w:ascii="Arial" w:cs="Arial" w:eastAsia="Arial" w:hAnsi="Arial"/>
          <w:sz w:val="18"/>
          <w:szCs w:val="18"/>
          <w:color w:val="auto"/>
        </w:rPr>
      </w:pPr>
    </w:p>
    <w:p>
      <w:pPr>
        <w:ind w:left="460" w:firstLine="881"/>
        <w:spacing w:after="0" w:line="258" w:lineRule="auto"/>
        <w:tabs>
          <w:tab w:leader="none" w:pos="1751"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The date upon which a Grantee who is an Outside Director ceases to be an Outside Director for whatever</w:t>
      </w:r>
      <w:r>
        <w:rPr>
          <w:rFonts w:ascii="Arial" w:cs="Arial" w:eastAsia="Arial" w:hAnsi="Arial"/>
          <w:sz w:val="18"/>
          <w:szCs w:val="18"/>
          <w:b w:val="1"/>
          <w:bCs w:val="1"/>
          <w:color w:val="auto"/>
        </w:rPr>
        <w:t xml:space="preserve"> </w:t>
      </w:r>
      <w:r>
        <w:rPr>
          <w:rFonts w:ascii="Arial" w:cs="Arial" w:eastAsia="Arial" w:hAnsi="Arial"/>
          <w:sz w:val="18"/>
          <w:szCs w:val="18"/>
          <w:color w:val="auto"/>
        </w:rPr>
        <w:t>reason, voluntary or involuntary. The effective date of such Termination of Directorship shall be the actual date of such termination (whether occasioned by death, Disability, retirement, resignation, non-election or otherwise). The change in an Outside Director’s position to an Advisory Director shall not be a Termination of Directorship hereunder.</w:t>
      </w:r>
    </w:p>
    <w:p>
      <w:pPr>
        <w:spacing w:after="0" w:line="2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Plan Administration</w:t>
      </w:r>
    </w:p>
    <w:p>
      <w:pPr>
        <w:spacing w:after="0" w:line="90" w:lineRule="exact"/>
        <w:rPr>
          <w:sz w:val="20"/>
          <w:szCs w:val="20"/>
          <w:color w:val="auto"/>
        </w:rPr>
      </w:pPr>
    </w:p>
    <w:p>
      <w:pPr>
        <w:ind w:left="460" w:firstLine="881"/>
        <w:spacing w:after="0" w:line="293" w:lineRule="auto"/>
        <w:tabs>
          <w:tab w:leader="none" w:pos="1575" w:val="left"/>
        </w:tabs>
        <w:numPr>
          <w:ilvl w:val="0"/>
          <w:numId w:val="288"/>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Authority of the Committee</w:t>
      </w:r>
      <w:r>
        <w:rPr>
          <w:rFonts w:ascii="Arial" w:cs="Arial" w:eastAsia="Arial" w:hAnsi="Arial"/>
          <w:sz w:val="16"/>
          <w:szCs w:val="16"/>
          <w:color w:val="auto"/>
        </w:rPr>
        <w:t>. Except as may be limited by law or applicable stock exchange requirements, and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herein, the Committee shall have full power to (i) select Grantees who shall participate in the Plan; (ii) determine the amounts, duration and types of Incentive Awards; (iii) determine the terms and conditions of Incentive Awards and Incentive Agreements; (iv) determine whether any Shares subject to Incentive Awards will be subject to any restrictions on transfer; (v) construe and interpret the Plan and any Incentive Agreement or other agreement entered into under the Plan; and (vi) establish, amend, or waive rules for the Plan’s administration. Further, the Committee shall make all other determinations which may be necessary or advisable for the administration of the Plan.</w:t>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With respect to Incentive Awards granted under the Plan to Outside Directors, the Independent Directors of the Board shall constitute the Committee.</w:t>
      </w:r>
    </w:p>
    <w:p>
      <w:pPr>
        <w:spacing w:after="0" w:line="119" w:lineRule="exact"/>
        <w:rPr>
          <w:sz w:val="20"/>
          <w:szCs w:val="20"/>
          <w:color w:val="auto"/>
        </w:rPr>
      </w:pPr>
    </w:p>
    <w:p>
      <w:pPr>
        <w:ind w:left="460" w:right="100" w:firstLine="881"/>
        <w:spacing w:after="0" w:line="256" w:lineRule="auto"/>
        <w:tabs>
          <w:tab w:leader="none" w:pos="1585" w:val="left"/>
        </w:tabs>
        <w:numPr>
          <w:ilvl w:val="0"/>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Meetings</w:t>
      </w:r>
      <w:r>
        <w:rPr>
          <w:rFonts w:ascii="Arial" w:cs="Arial" w:eastAsia="Arial" w:hAnsi="Arial"/>
          <w:sz w:val="18"/>
          <w:szCs w:val="18"/>
          <w:color w:val="auto"/>
        </w:rPr>
        <w:t>. The Committee shall designate a chairman from among its members who shall preside at its meetings, and shall designate a</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without regard to whether that person is a member of the Committee, who shall keep the minutes of the proceedings and all records, documents, and data pertaining to its administration of the Plan. Meetings shall be held at such times and places as shall be determined by the Committee and the Committee may hold telephonic meetings. The Committee may take any action otherwise proper under the Plan by the affirmative vote, taken with or without a meeting, of 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majority of its members. The Committee may authorize any one or more of its members or any officer of the Company to execute and deliver documents on behalf of the Committee.</w:t>
      </w:r>
    </w:p>
    <w:p>
      <w:pPr>
        <w:spacing w:after="0" w:line="45" w:lineRule="exact"/>
        <w:rPr>
          <w:sz w:val="20"/>
          <w:szCs w:val="20"/>
          <w:color w:val="auto"/>
        </w:rPr>
      </w:pPr>
    </w:p>
    <w:p>
      <w:pPr>
        <w:ind w:left="460" w:right="60" w:firstLine="881"/>
        <w:spacing w:after="0" w:line="301" w:lineRule="auto"/>
        <w:tabs>
          <w:tab w:leader="none" w:pos="1575" w:val="left"/>
        </w:tabs>
        <w:numPr>
          <w:ilvl w:val="0"/>
          <w:numId w:val="290"/>
        </w:numPr>
        <w:rPr>
          <w:rFonts w:ascii="Arial" w:cs="Arial" w:eastAsia="Arial" w:hAnsi="Arial"/>
          <w:sz w:val="16"/>
          <w:szCs w:val="16"/>
          <w:color w:val="auto"/>
        </w:rPr>
      </w:pPr>
      <w:r>
        <w:rPr>
          <w:rFonts w:ascii="Arial" w:cs="Arial" w:eastAsia="Arial" w:hAnsi="Arial"/>
          <w:sz w:val="16"/>
          <w:szCs w:val="16"/>
          <w:b w:val="1"/>
          <w:bCs w:val="1"/>
          <w:u w:val="single" w:color="auto"/>
          <w:color w:val="auto"/>
        </w:rPr>
        <w:t>Decisions Binding</w:t>
      </w:r>
      <w:r>
        <w:rPr>
          <w:rFonts w:ascii="Arial" w:cs="Arial" w:eastAsia="Arial" w:hAnsi="Arial"/>
          <w:sz w:val="16"/>
          <w:szCs w:val="16"/>
          <w:color w:val="auto"/>
        </w:rPr>
        <w:t>. All determinations and decisions of the Committee shall be made in its discretion pursuant to the terms and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Plan, and shall be final, conclusive and binding on all persons including the Company, its stockholders, Employees, Grantees, and their estates and beneficiaries. The Committee’s decisions with respect to any Incentive Award need not be uniform and may be made selectively among Incentive Awards and Grantees, whether or not such Incentive Awards are similar or such Grantees are similarly situated.</w:t>
      </w:r>
    </w:p>
    <w:p>
      <w:pPr>
        <w:spacing w:after="0" w:line="22" w:lineRule="exact"/>
        <w:rPr>
          <w:rFonts w:ascii="Arial" w:cs="Arial" w:eastAsia="Arial" w:hAnsi="Arial"/>
          <w:sz w:val="16"/>
          <w:szCs w:val="16"/>
          <w:color w:val="auto"/>
        </w:rPr>
      </w:pPr>
    </w:p>
    <w:p>
      <w:pPr>
        <w:ind w:left="460" w:right="100" w:firstLine="881"/>
        <w:spacing w:after="0" w:line="288" w:lineRule="auto"/>
        <w:tabs>
          <w:tab w:leader="none" w:pos="1585" w:val="left"/>
        </w:tabs>
        <w:numPr>
          <w:ilvl w:val="0"/>
          <w:numId w:val="290"/>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 of Outstanding Incentive Awards</w:t>
      </w:r>
      <w:r>
        <w:rPr>
          <w:rFonts w:ascii="Arial" w:cs="Arial" w:eastAsia="Arial" w:hAnsi="Arial"/>
          <w:sz w:val="16"/>
          <w:szCs w:val="16"/>
          <w:color w:val="auto"/>
        </w:rPr>
        <w:t>. Subject to the stockholder approval requirements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9.6</w:t>
      </w:r>
      <w:r>
        <w:rPr>
          <w:rFonts w:ascii="Arial" w:cs="Arial" w:eastAsia="Arial" w:hAnsi="Arial"/>
          <w:sz w:val="16"/>
          <w:szCs w:val="16"/>
          <w:b w:val="1"/>
          <w:bCs w:val="1"/>
          <w:color w:val="auto"/>
        </w:rPr>
        <w:t xml:space="preserve"> </w:t>
      </w:r>
      <w:r>
        <w:rPr>
          <w:rFonts w:ascii="Arial" w:cs="Arial" w:eastAsia="Arial" w:hAnsi="Arial"/>
          <w:sz w:val="16"/>
          <w:szCs w:val="16"/>
          <w:color w:val="auto"/>
        </w:rPr>
        <w:t>if applicable,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may, in its discretion, provide for the extension of the exercisability of an Incentive Award, accelerate the vesting or exercisability of an Incentive Award, eliminate or make less restrictive any restrictions contained in an Incentive Award, waive any restriction or other provisions of an Incentive Award, or otherwise amend or modify an Incentive Award in any manner that is either (i) not adverse to the Grantee to whom such Incentive Award was granted or (ii) consented to by such Grantee. Notwithstanding the preceding provisions of this subsection, (i) no amendment or other modification of an Incentive Award shall be made to the extent such modification results in any Stock Option with an exercise price less than 100% of the Fair Market Value per Share on the date of grant, (ii) no acceleration of the vesting of any Incentive Award shall be made, except in the event of the Grantee’s death, Disability, or Retirement, or a Change in Control, or another type of similar circumstance as determined by the Committee, and (iii) no acceleration of vesting, extension of exercisability or other modification shall be made that will subject the Grantee to adverse taxation under Code Section 409A.</w:t>
      </w:r>
    </w:p>
    <w:p>
      <w:pPr>
        <w:spacing w:after="0" w:line="34" w:lineRule="exact"/>
        <w:rPr>
          <w:rFonts w:ascii="Arial" w:cs="Arial" w:eastAsia="Arial" w:hAnsi="Arial"/>
          <w:sz w:val="16"/>
          <w:szCs w:val="16"/>
          <w:color w:val="auto"/>
        </w:rPr>
      </w:pPr>
    </w:p>
    <w:p>
      <w:pPr>
        <w:ind w:left="460" w:firstLine="881"/>
        <w:spacing w:after="0" w:line="256" w:lineRule="auto"/>
        <w:tabs>
          <w:tab w:leader="none" w:pos="1575"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Delegation of Authority</w:t>
      </w:r>
      <w:r>
        <w:rPr>
          <w:rFonts w:ascii="Arial" w:cs="Arial" w:eastAsia="Arial" w:hAnsi="Arial"/>
          <w:sz w:val="18"/>
          <w:szCs w:val="18"/>
          <w:color w:val="auto"/>
        </w:rPr>
        <w:t>. The Committee may delegate to designated officers or other employees of the Company any of its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under the Plan pursuant to such conditions or limitations as the Committee may establish from time to time; provided, however, the Committee may not delegate to any person the authority (i) to grant Incentive Awards or (ii) if the Company is a Publicly Held Corporation, to take any action which would contravene the requirements of Rule 16b-3 under the Exchange Act, the Performance-Based Exception under Code Section 162(m), or the Sarbanes-Oxley Act of 2002.</w:t>
      </w:r>
    </w:p>
    <w:p>
      <w:pPr>
        <w:spacing w:after="0" w:line="57" w:lineRule="exact"/>
        <w:rPr>
          <w:rFonts w:ascii="Arial" w:cs="Arial" w:eastAsia="Arial" w:hAnsi="Arial"/>
          <w:sz w:val="18"/>
          <w:szCs w:val="18"/>
          <w:color w:val="auto"/>
        </w:rPr>
      </w:pPr>
    </w:p>
    <w:p>
      <w:pPr>
        <w:ind w:left="460" w:firstLine="881"/>
        <w:spacing w:after="0" w:line="301" w:lineRule="auto"/>
        <w:tabs>
          <w:tab w:leader="none" w:pos="1556" w:val="left"/>
        </w:tabs>
        <w:numPr>
          <w:ilvl w:val="0"/>
          <w:numId w:val="290"/>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 of Committee</w:t>
      </w:r>
      <w:r>
        <w:rPr>
          <w:rFonts w:ascii="Arial" w:cs="Arial" w:eastAsia="Arial" w:hAnsi="Arial"/>
          <w:sz w:val="16"/>
          <w:szCs w:val="16"/>
          <w:color w:val="auto"/>
        </w:rPr>
        <w:t>. The Committee may employ legal counsel, including, without limitation, independent legal counsel and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regularly employed by the Company, and other agents as the Committee may deem appropriate for the administration of the Plan. The Committee may rely upon any opinion or computation received from any such counsel or agent. All expenses incurred by the Committee in interpreting and administering the Plan, including, without limitation, meeting expenses and professional fees, shall be paid by the Company.</w:t>
      </w:r>
    </w:p>
    <w:p>
      <w:pPr>
        <w:spacing w:after="0" w:line="22" w:lineRule="exact"/>
        <w:rPr>
          <w:rFonts w:ascii="Arial" w:cs="Arial" w:eastAsia="Arial" w:hAnsi="Arial"/>
          <w:sz w:val="16"/>
          <w:szCs w:val="16"/>
          <w:color w:val="auto"/>
        </w:rPr>
      </w:pPr>
    </w:p>
    <w:p>
      <w:pPr>
        <w:ind w:left="460" w:right="20" w:firstLine="881"/>
        <w:spacing w:after="0" w:line="289" w:lineRule="auto"/>
        <w:tabs>
          <w:tab w:leader="none" w:pos="1585" w:val="left"/>
        </w:tabs>
        <w:numPr>
          <w:ilvl w:val="0"/>
          <w:numId w:val="290"/>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Each person who is or was a member of the Committee shall be indemnified by the Company against and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damage, loss, liability, cost and expense that may be imposed upon or reasonably incurred by him in connection with or resulting from any claim, action, suit, or proceeding to which he may be a party or in which he may be involved by reason of any action taken or failure to act under the Plan, except for any such act or omission constituting willful misconduct or gross negligence. Each such person shall be indemnified by the Company for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persons may be entitled under the Company’s Articles or Certificate of Incorporation or Bylaws, as a matter of law, or otherwise, or any power that the Company may have to indemnify them or hold them harmless.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80"/>
          </w:cols>
          <w:pgMar w:left="240" w:top="460" w:right="2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Shares of Common Stock Available for Incentive Awards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Subject to adjustment under </w:t>
      </w:r>
      <w:r>
        <w:rPr>
          <w:rFonts w:ascii="Arial" w:cs="Arial" w:eastAsia="Arial" w:hAnsi="Arial"/>
          <w:sz w:val="16"/>
          <w:szCs w:val="16"/>
          <w:u w:val="single" w:color="auto"/>
          <w:color w:val="auto"/>
        </w:rPr>
        <w:t>Section 8.6</w:t>
      </w:r>
      <w:r>
        <w:rPr>
          <w:rFonts w:ascii="Arial" w:cs="Arial" w:eastAsia="Arial" w:hAnsi="Arial"/>
          <w:sz w:val="16"/>
          <w:szCs w:val="16"/>
          <w:color w:val="auto"/>
        </w:rPr>
        <w:t>, there shall be available for Incentive Awards that are granted wholly or partly in Common Stock (including rights or Stock Options that may be exercised for or settled in Common Stock) Thirty-Eight Million and Forty Thousand (38,040,000) Shares of Common Stock. The number of Shares of Common Stock that are the subject of Incentive Awards under the Plan, and which are forfeited or terminated, expire, are settled in a manner such that all or some of the Shares covered by an Incentive Award are not issued to a Grantee or are exchanged for Incentive Awards that do not involve Common Stock, shall again immediately become available for Incentive Awards hereunder. The Committee may from time to time adopt and observe such procedures concerning the counting of Shares against the Plan maximum as it may deem appropriate.</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any period that the Company is a Publicly Held Corporation, then unless and until the Committee determines that a particular Incentive Award granted to a Covered Employee is not intended to comply with the Performance-Based Exception, the following rules shall apply to grants of Incentive Awards to Covered Employees:</w:t>
      </w:r>
    </w:p>
    <w:p>
      <w:pPr>
        <w:spacing w:after="0" w:line="59" w:lineRule="exact"/>
        <w:rPr>
          <w:sz w:val="20"/>
          <w:szCs w:val="20"/>
          <w:color w:val="auto"/>
        </w:rPr>
      </w:pPr>
    </w:p>
    <w:p>
      <w:pPr>
        <w:ind w:left="460" w:firstLine="443"/>
        <w:spacing w:after="0" w:line="255" w:lineRule="auto"/>
        <w:tabs>
          <w:tab w:leader="none" w:pos="113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u w:val="single" w:color="auto"/>
          <w:color w:val="auto"/>
        </w:rPr>
        <w:t>Section 8.6</w:t>
      </w:r>
      <w:r>
        <w:rPr>
          <w:rFonts w:ascii="Arial" w:cs="Arial" w:eastAsia="Arial" w:hAnsi="Arial"/>
          <w:sz w:val="18"/>
          <w:szCs w:val="18"/>
          <w:color w:val="auto"/>
        </w:rPr>
        <w:t>, the maximum aggregate number of Shares of Common Stock (including Stock Options, SARs, Restricted Stock, Performance-Based Restricted Awards, and Other Stock-Based Awards that are paid out in Shares) that may be granted (in the case of Stock Options and SARs) or that may vest (in the case of Restricted Stock Awards, Performance-Based Restricted Awards, Restricted Stock Unit Awards or Other Stock-Based Awards), as applicable, in any calendar year pursuant to any Incentive Award held by any individual Covered Employee shall be One Million (1,000,000) Shares.</w:t>
      </w:r>
    </w:p>
    <w:p>
      <w:pPr>
        <w:spacing w:after="0" w:line="61"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With respect to any Stock Option or SAR granted to a Covered Employee that is canceled or repriced (which may only occur subject to the approval of the Company’s stockholders, as required under applicable securities laws and stock exchange requirements), the number of Shares subject to such Stock Option or SAR shall continue to count against the maximum number of Shares that may be the subject of Stock Options or SARs granted to such Covered Employee hereunder and, in this regard, such maximum number shall be determined in accordance with Code Section 162(m).</w:t>
      </w:r>
    </w:p>
    <w:p>
      <w:pPr>
        <w:spacing w:after="0" w:line="31" w:lineRule="exact"/>
        <w:rPr>
          <w:rFonts w:ascii="Arial" w:cs="Arial" w:eastAsia="Arial" w:hAnsi="Arial"/>
          <w:sz w:val="16"/>
          <w:szCs w:val="16"/>
          <w:color w:val="auto"/>
        </w:rPr>
      </w:pPr>
    </w:p>
    <w:p>
      <w:pPr>
        <w:ind w:left="460" w:right="20" w:firstLine="443"/>
        <w:spacing w:after="0" w:line="256" w:lineRule="auto"/>
        <w:tabs>
          <w:tab w:leader="none" w:pos="113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maximum amount of compensation that may be paid under all Performance Awards denominated in cash (including the Fair Market Value of any shares of Common Stock paid in satisfaction of such Performance Awards) granted to any one individual during any calendar year may not exceed $5,000,000, and any payment due with respect to a Performance Award shall be paid no later than ten (10) years after the date of grant of such Performance Award.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The limitations of subsections (a), (b) and (c) above shall be construed and administered so as to comply with the Performance-Based Exception.</w:t>
      </w: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Share Pool Adjustments for Awards and Payouts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Incentive Awards and payouts shall reduce, on a one Share for one Share basis, the number of Shares authorized for issuance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Pool:</w:t>
      </w:r>
    </w:p>
    <w:p>
      <w:pPr>
        <w:spacing w:after="0" w:line="84" w:lineRule="exact"/>
        <w:rPr>
          <w:sz w:val="20"/>
          <w:szCs w:val="20"/>
          <w:color w:val="auto"/>
        </w:rPr>
      </w:pPr>
    </w:p>
    <w:p>
      <w:pPr>
        <w:ind w:left="1140" w:hanging="237"/>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Stock Option Award;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SAR;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Common Stock Award;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Restricted Stock Award;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Performance-Based Restricted Award;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Restricted Stock Unit Awards;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cancellation, termination, expiration, forfeiture, or lapse for any reason of any Shares subject to an Award shall restore, on a one Share for one Share basis, the number of Shares authorized for issuance under the Share Pool. With respect to SARs that are paid out in Shares, the Share Pool shall be reduced by a number of Shares equal to the gross number of Shares subject to the SAR.</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Common Stock Available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Common Stock available for issuance or transfer under the Plan shall be made available from Shares now or hereafter (i) held in the treasury of the Company, (ii) authorized but unissued Shares, or (iii) Shares to be purchased or acquired by the Company. No fractional Shares shall be issued under the Plan; payment for fractional Shares shall be made in cash.</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Eligibility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Outside Directors and Employees shall be eligible to receive Incentive Awards under the Plan. The Committee shall from time to time designate those Employees to be granted Incentive Awards, the type of Incentive Awards granted, the number of Shares, Stock Options, rights or units, as the case may be, which are subject to an Award, and any other terms or conditions relating to each Award, as it may deem appropriate to the extent consistent with the provisions of the Plan. A Grantee who has been granted an Incentive Award may, if otherwise eligible, be granted additional Incentive Awards at any time.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Insider shall be eligible to be granted an Incentive Award that is subject to Rule 16a-3 under the Exchange Act unless and until such Insider has granted a limited power of attorney to those employees of the Company who have been designated by the Company for purposes of future required filings under the Exchange Act.</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Types of Incentive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types of Incentive Awards under the Plan are (i) Stock Options and Stock Appreciation Rights, (ii) Common Stock Awards as described in </w:t>
      </w:r>
      <w:r>
        <w:rPr>
          <w:rFonts w:ascii="Arial" w:cs="Arial" w:eastAsia="Arial" w:hAnsi="Arial"/>
          <w:sz w:val="16"/>
          <w:szCs w:val="16"/>
          <w:u w:val="single" w:color="auto"/>
          <w:color w:val="auto"/>
        </w:rPr>
        <w:t>Section 3</w:t>
      </w:r>
      <w:r>
        <w:rPr>
          <w:rFonts w:ascii="Arial" w:cs="Arial" w:eastAsia="Arial" w:hAnsi="Arial"/>
          <w:sz w:val="16"/>
          <w:szCs w:val="16"/>
          <w:color w:val="auto"/>
        </w:rPr>
        <w:t>,</w:t>
      </w:r>
    </w:p>
    <w:p>
      <w:pPr>
        <w:spacing w:after="0" w:line="38" w:lineRule="exact"/>
        <w:rPr>
          <w:sz w:val="20"/>
          <w:szCs w:val="20"/>
          <w:color w:val="auto"/>
        </w:rPr>
      </w:pPr>
    </w:p>
    <w:p>
      <w:pPr>
        <w:ind w:left="320" w:hanging="312"/>
        <w:spacing w:after="0"/>
        <w:tabs>
          <w:tab w:leader="none" w:pos="3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Restricted Stock and Performance-Based Restricted Awards, (iv) Restricted Stock Units as described in </w:t>
      </w:r>
      <w:r>
        <w:rPr>
          <w:rFonts w:ascii="Arial" w:cs="Arial" w:eastAsia="Arial" w:hAnsi="Arial"/>
          <w:sz w:val="16"/>
          <w:szCs w:val="16"/>
          <w:u w:val="single" w:color="auto"/>
          <w:color w:val="auto"/>
        </w:rPr>
        <w:t>Section 5</w:t>
      </w:r>
      <w:r>
        <w:rPr>
          <w:rFonts w:ascii="Arial" w:cs="Arial" w:eastAsia="Arial" w:hAnsi="Arial"/>
          <w:sz w:val="16"/>
          <w:szCs w:val="16"/>
          <w:color w:val="auto"/>
        </w:rPr>
        <w:t>, (v) Other Stock-Based Awards,</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Performance Awards, or (vii) any combination of the foregoing.</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2</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Grant of Stock Options</w:t>
      </w:r>
    </w:p>
    <w:p>
      <w:pPr>
        <w:spacing w:after="0" w:line="9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Committee is authorized to grant Stock Options to Employees, and the Independent Directors of the Board are authorized to grant Stock Options to Outside Directors, in accordance with the terms and conditions of the Plan, and with such additional terms and conditions, not inconsistent with the Plan, as the Committee or Independent Directors, as applicable, shall determine in its discretion. Successive grants may be made to the same Grantee regardless of whether any Stock Option previously granted to such person remains unexercised.</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Stock Option Terms</w:t>
      </w:r>
    </w:p>
    <w:p>
      <w:pPr>
        <w:spacing w:after="0" w:line="90" w:lineRule="exact"/>
        <w:rPr>
          <w:sz w:val="20"/>
          <w:szCs w:val="20"/>
          <w:color w:val="auto"/>
        </w:rPr>
      </w:pPr>
    </w:p>
    <w:p>
      <w:pPr>
        <w:jc w:val="both"/>
        <w:ind w:left="460" w:right="40" w:firstLine="881"/>
        <w:spacing w:after="0" w:line="301" w:lineRule="auto"/>
        <w:tabs>
          <w:tab w:leader="none" w:pos="1575" w:val="left"/>
        </w:tabs>
        <w:numPr>
          <w:ilvl w:val="0"/>
          <w:numId w:val="295"/>
        </w:numPr>
        <w:rPr>
          <w:rFonts w:ascii="Arial" w:cs="Arial" w:eastAsia="Arial" w:hAnsi="Arial"/>
          <w:sz w:val="16"/>
          <w:szCs w:val="16"/>
          <w:color w:val="auto"/>
        </w:rPr>
      </w:pPr>
      <w:r>
        <w:rPr>
          <w:rFonts w:ascii="Arial" w:cs="Arial" w:eastAsia="Arial" w:hAnsi="Arial"/>
          <w:sz w:val="16"/>
          <w:szCs w:val="16"/>
          <w:b w:val="1"/>
          <w:bCs w:val="1"/>
          <w:u w:val="single" w:color="auto"/>
          <w:color w:val="auto"/>
        </w:rPr>
        <w:t>Written Agreement</w:t>
      </w:r>
      <w:r>
        <w:rPr>
          <w:rFonts w:ascii="Arial" w:cs="Arial" w:eastAsia="Arial" w:hAnsi="Arial"/>
          <w:sz w:val="16"/>
          <w:szCs w:val="16"/>
          <w:color w:val="auto"/>
        </w:rPr>
        <w:t>. Each grant of a Stock Option shall be evidenced by a written Incentive Agreement. Among its other provisions, each</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Agreement shall set forth the extent to which the Grantee shall have the right to exercise the Stock Option following termination of the Grantee’s Employment or Termination of Directorship, as the case may be. Such provisions shall be determined in the discretion of the Committee, shall be included in the Grantee’s Incentive Agreement, and need not be uniform among all Stock Options issued pursuant to the Plan.</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80" w:hanging="239"/>
        <w:spacing w:after="0"/>
        <w:tabs>
          <w:tab w:leader="none" w:pos="1580"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 Each Stock Option Award shall specify the number of Shares of Common Stock to which it pertains.</w:t>
      </w:r>
    </w:p>
    <w:p>
      <w:pPr>
        <w:spacing w:after="0" w:line="90" w:lineRule="exact"/>
        <w:rPr>
          <w:rFonts w:ascii="Arial" w:cs="Arial" w:eastAsia="Arial" w:hAnsi="Arial"/>
          <w:sz w:val="18"/>
          <w:szCs w:val="18"/>
          <w:color w:val="auto"/>
        </w:rPr>
      </w:pPr>
    </w:p>
    <w:p>
      <w:pPr>
        <w:ind w:left="460" w:firstLine="881"/>
        <w:spacing w:after="0" w:line="262" w:lineRule="auto"/>
        <w:tabs>
          <w:tab w:leader="none" w:pos="1575"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exercise price per Share of Common Stock under each Stock Option shall be determined by the Committee, but in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event shall the exercise price be less than 100% of the Fair Market Value per Share on the date the Stock Option is granted. Each Stock Option shall specify the method of exercise which shall be consistent with the requirements of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left="460" w:right="320" w:firstLine="881"/>
        <w:spacing w:after="0" w:line="275" w:lineRule="auto"/>
        <w:tabs>
          <w:tab w:leader="none" w:pos="1585"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In the Incentive Agreement, the Committee shall fix the term of each Stock Option, not to exceed ten (10) years from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In the event no term is fixed, such term shall be ten (10) years from the date of grant.</w:t>
      </w:r>
    </w:p>
    <w:p>
      <w:pPr>
        <w:spacing w:after="0" w:line="38" w:lineRule="exact"/>
        <w:rPr>
          <w:rFonts w:ascii="Arial" w:cs="Arial" w:eastAsia="Arial" w:hAnsi="Arial"/>
          <w:sz w:val="18"/>
          <w:szCs w:val="18"/>
          <w:color w:val="auto"/>
        </w:rPr>
      </w:pPr>
    </w:p>
    <w:p>
      <w:pPr>
        <w:ind w:left="460" w:right="20" w:firstLine="881"/>
        <w:spacing w:after="0" w:line="291" w:lineRule="auto"/>
        <w:tabs>
          <w:tab w:leader="none" w:pos="1575" w:val="left"/>
        </w:tabs>
        <w:numPr>
          <w:ilvl w:val="0"/>
          <w:numId w:val="296"/>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w:t>
      </w:r>
      <w:r>
        <w:rPr>
          <w:rFonts w:ascii="Arial" w:cs="Arial" w:eastAsia="Arial" w:hAnsi="Arial"/>
          <w:sz w:val="16"/>
          <w:szCs w:val="16"/>
          <w:color w:val="auto"/>
        </w:rPr>
        <w:t>. The Committee shall determine the time or times at which a Stock Option may be exercised, in whole or in part. Each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may specify the required period of continuous Employment or service as an Outside Director, as applicable, and/or the performance objectives to be achieved before the Stock Option (or any portion thereof) will become exercisable. Each Stock Option Award, the exercise (or timing of the exercise) of which is dependent, in whole or in part, on the achievement of designated performance objectives, may specify a minimum level of achievement in respect of the specified performance objectives below which no Stock Options will be exercisable, as well as a method for determining the number of Stock Options that will be exercisable if performance is at or above such minimum but short of full achievement of the performance objectives. All such terms and conditions shall be set forth in the Incentive Agreement.</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Stock Option Exercises</w:t>
      </w:r>
    </w:p>
    <w:p>
      <w:pPr>
        <w:spacing w:after="0" w:line="90" w:lineRule="exact"/>
        <w:rPr>
          <w:sz w:val="20"/>
          <w:szCs w:val="20"/>
          <w:color w:val="auto"/>
        </w:rPr>
      </w:pPr>
    </w:p>
    <w:p>
      <w:pPr>
        <w:ind w:left="460" w:right="20" w:firstLine="881"/>
        <w:spacing w:after="0" w:line="287" w:lineRule="auto"/>
        <w:tabs>
          <w:tab w:leader="none" w:pos="1575" w:val="left"/>
        </w:tabs>
        <w:numPr>
          <w:ilvl w:val="0"/>
          <w:numId w:val="297"/>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 and Payment</w:t>
      </w:r>
      <w:r>
        <w:rPr>
          <w:rFonts w:ascii="Arial" w:cs="Arial" w:eastAsia="Arial" w:hAnsi="Arial"/>
          <w:sz w:val="16"/>
          <w:szCs w:val="16"/>
          <w:color w:val="auto"/>
        </w:rPr>
        <w:t>. Exercise of the Option shall be by means of electronic or written notice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Exercise Notice</w:t>
      </w:r>
      <w:r>
        <w:rPr>
          <w:rFonts w:ascii="Arial" w:cs="Arial" w:eastAsia="Arial" w:hAnsi="Arial"/>
          <w:sz w:val="16"/>
          <w:szCs w:val="16"/>
          <w:i w:val="1"/>
          <w:iCs w:val="1"/>
          <w:color w:val="auto"/>
        </w:rPr>
        <w:t>”</w:t>
      </w:r>
      <w:r>
        <w:rPr>
          <w:rFonts w:ascii="Arial" w:cs="Arial" w:eastAsia="Arial" w:hAnsi="Arial"/>
          <w:sz w:val="16"/>
          <w:szCs w:val="16"/>
          <w:color w:val="auto"/>
        </w:rPr>
        <w:t>) in a</w:t>
      </w:r>
      <w:r>
        <w:rPr>
          <w:rFonts w:ascii="Arial" w:cs="Arial" w:eastAsia="Arial" w:hAnsi="Arial"/>
          <w:sz w:val="16"/>
          <w:szCs w:val="16"/>
          <w:b w:val="1"/>
          <w:bCs w:val="1"/>
          <w:color w:val="auto"/>
        </w:rPr>
        <w:t xml:space="preserve"> </w:t>
      </w:r>
      <w:r>
        <w:rPr>
          <w:rFonts w:ascii="Arial" w:cs="Arial" w:eastAsia="Arial" w:hAnsi="Arial"/>
          <w:sz w:val="16"/>
          <w:szCs w:val="16"/>
          <w:color w:val="auto"/>
        </w:rPr>
        <w:t>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Stock Option exercise price upon exercise of any Stock Option shall be payable to the Company in full either: (i) in cash or its equivalent; or</w:t>
      </w:r>
    </w:p>
    <w:p>
      <w:pPr>
        <w:spacing w:after="0" w:line="38" w:lineRule="exact"/>
        <w:rPr>
          <w:sz w:val="20"/>
          <w:szCs w:val="20"/>
          <w:color w:val="auto"/>
        </w:rPr>
      </w:pPr>
    </w:p>
    <w:p>
      <w:pPr>
        <w:ind w:left="460" w:right="60" w:firstLine="4"/>
        <w:spacing w:after="0" w:line="292" w:lineRule="auto"/>
        <w:tabs>
          <w:tab w:leader="none" w:pos="719" w:val="left"/>
        </w:tabs>
        <w:numPr>
          <w:ilvl w:val="0"/>
          <w:numId w:val="298"/>
        </w:numPr>
        <w:rPr>
          <w:rFonts w:ascii="Arial" w:cs="Arial" w:eastAsia="Arial" w:hAnsi="Arial"/>
          <w:sz w:val="16"/>
          <w:szCs w:val="16"/>
          <w:color w:val="auto"/>
        </w:rPr>
      </w:pPr>
      <w:r>
        <w:rPr>
          <w:rFonts w:ascii="Arial" w:cs="Arial" w:eastAsia="Arial" w:hAnsi="Arial"/>
          <w:sz w:val="16"/>
          <w:szCs w:val="16"/>
          <w:color w:val="auto"/>
        </w:rPr>
        <w:t>subject to prior approval by the Committee in its discretion, by tendering previously acquired Shares having an aggregate Fair Market Value at the time of exercise equal to the Option Price (provided that the Shares which are tendered must have been held by the Grantee for at least six (6) months prior to their tender to satisfy the Option Price); or (iii) subject to prior approval by the Committee in its discretion, by withholding Shares which otherwise would be acquired on exercise having an aggregate Fair Market Value at the time of exercise equal to the total Option Price; or (iv) subject to prior approval by the Committee in its discretion, by a combination of (i), (ii), and (iii) above.</w:t>
      </w:r>
    </w:p>
    <w:p>
      <w:pPr>
        <w:spacing w:after="0" w:line="36"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Any payment in Shares shall be effected by the surrender of such Shares to the Company in good form for transfer and shall be valued at their Fair Market Value on the date when the Stock Option is exercised.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Unless otherwise permitted by the Committee in its discretion, the Grantee shall not surrender, or attest to the ownership of, Shares in payment of the Option Price if such action would cause the Company to recognize compensation expense (or additional compensation expense) with respect to the Stock Option for financial accounting reporting purposes.</w:t>
      </w:r>
    </w:p>
    <w:p>
      <w:pPr>
        <w:spacing w:after="0" w:line="59"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The Committee, in its discretion, also may allow the Option Price to be paid with such other consideration as shall constitute lawful consideration for the issuance of Shares (including, without limitation, effecting a “cashless exercise” with a broker of the Stock Option), subject to applicable securities law restrictions and tax withholdings, or by any other means which the Committee determines to be consistent with the Plan’s purpose and applicable law. At the direction of the Grantee, the broker will either (i) sell all of the Shares received when the Stock Option is exercised and pay the Grantee the proceeds of the sale (minus the Option Price, withholding taxes and any fees due to the broker); or (ii) sell enough of the Shares received upon exercise of the Stock Option to cover the Option Price, withholding taxes and any fees due the broker and deliver the remaining Shares to the Grantee (either directly or through the Company). Dispositions to a broker effecting a cashless exercise are not exempt under Section 16 of the Exchange Act while the Company is a Publicly Held Corporation. Moreover, in no event will the Committee allow the Option Price to be paid with a form of consideration, including a loan or a “cashless exercise,” if such form of consideration would violate the Sarbanes-Oxley Act of 2002 as determined by the Committee.</w:t>
      </w:r>
    </w:p>
    <w:p>
      <w:pPr>
        <w:spacing w:after="0" w:line="39" w:lineRule="exact"/>
        <w:rPr>
          <w:sz w:val="20"/>
          <w:szCs w:val="20"/>
          <w:color w:val="auto"/>
        </w:rPr>
      </w:pPr>
    </w:p>
    <w:p>
      <w:pPr>
        <w:jc w:val="both"/>
        <w:ind w:left="460" w:right="180" w:firstLine="438"/>
        <w:spacing w:after="0" w:line="259" w:lineRule="auto"/>
        <w:rPr>
          <w:sz w:val="20"/>
          <w:szCs w:val="20"/>
          <w:color w:val="auto"/>
        </w:rPr>
      </w:pPr>
      <w:r>
        <w:rPr>
          <w:rFonts w:ascii="Arial" w:cs="Arial" w:eastAsia="Arial" w:hAnsi="Arial"/>
          <w:sz w:val="18"/>
          <w:szCs w:val="18"/>
          <w:color w:val="auto"/>
        </w:rPr>
        <w:t>As soon as practicable after receipt of a written notification of exercise and full payment, the Company shall deliver, or cause to be delivered, to or on behalf of the Grantee, in the name of the Grantee or other appropriate recipient, evidence of ownership for the number of Shares purchased under the Stock Option.</w:t>
      </w:r>
    </w:p>
    <w:p>
      <w:pPr>
        <w:spacing w:after="0" w:line="59" w:lineRule="exact"/>
        <w:rPr>
          <w:sz w:val="20"/>
          <w:szCs w:val="20"/>
          <w:color w:val="auto"/>
        </w:rPr>
      </w:pPr>
    </w:p>
    <w:p>
      <w:pPr>
        <w:jc w:val="both"/>
        <w:ind w:left="460" w:right="400" w:firstLine="438"/>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during the lifetime of a Grantee, each Stock Option granted to him shall be exercisable only by the Grantee (or his legal guardian in the event of his Disability) or by a broker-dealer acting on his behalf pursuant to a cashless exercise under the foregoing provisions of this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53" w:lineRule="exact"/>
        <w:rPr>
          <w:sz w:val="20"/>
          <w:szCs w:val="20"/>
          <w:color w:val="auto"/>
        </w:rPr>
      </w:pPr>
    </w:p>
    <w:p>
      <w:pPr>
        <w:ind w:left="460" w:right="40" w:firstLine="881"/>
        <w:spacing w:after="0" w:line="254" w:lineRule="auto"/>
        <w:tabs>
          <w:tab w:leader="none" w:pos="1585" w:val="left"/>
        </w:tabs>
        <w:numPr>
          <w:ilvl w:val="0"/>
          <w:numId w:val="29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Share Transferability</w:t>
      </w:r>
      <w:r>
        <w:rPr>
          <w:rFonts w:ascii="Arial" w:cs="Arial" w:eastAsia="Arial" w:hAnsi="Arial"/>
          <w:sz w:val="18"/>
          <w:szCs w:val="18"/>
          <w:color w:val="auto"/>
        </w:rPr>
        <w:t>. The Committee may impose such restrictions on any grant of Stock Options or on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pursuant to the exercise of a Stock Option as it may deem advisable, including, without limitation, restrictions under (i) any stockholders’ agreement, buy/sell agreement, right of first refusal, non-competition, and any other agreement between the Company and any of its securities holders or employees; (ii) any applicable federal securities laws; (iii) the requirements of any stock exchange or market upon which such Shares are then listed and/or traded; or (iv) any blue sky or state securities law applicable to such Shares. Any certificate issued to evidence Shares issued upon the exercise of an Incentive Award may bear such legends and statements as the Committee shall deem advisable to assure compliance with federal and state laws and regulations.</w:t>
      </w:r>
    </w:p>
    <w:p>
      <w:pPr>
        <w:spacing w:after="0" w:line="66"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Any Grantee or other person exercising an Incentive Award shall be required, if requested by the Committee, to give a written representation that the Incentive Award and the Shares subject to the Incentive Award will be acquired for investment and not with a view to public distribution; provided, however, that the Committee in its discretion, may release any person receiving an Incentive Award from any such representations either prior to or subsequent to the exercise of the Incentive Award.</w:t>
      </w:r>
    </w:p>
    <w:p>
      <w:pPr>
        <w:spacing w:after="0" w:line="56" w:lineRule="exact"/>
        <w:rPr>
          <w:sz w:val="20"/>
          <w:szCs w:val="20"/>
          <w:color w:val="auto"/>
        </w:rPr>
      </w:pPr>
    </w:p>
    <w:p>
      <w:pPr>
        <w:ind w:left="460" w:right="160" w:firstLine="881"/>
        <w:spacing w:after="0" w:line="275" w:lineRule="auto"/>
        <w:tabs>
          <w:tab w:leader="none" w:pos="1575"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Proceeds of Option Exercise</w:t>
      </w:r>
      <w:r>
        <w:rPr>
          <w:rFonts w:ascii="Arial" w:cs="Arial" w:eastAsia="Arial" w:hAnsi="Arial"/>
          <w:sz w:val="18"/>
          <w:szCs w:val="18"/>
          <w:color w:val="auto"/>
        </w:rPr>
        <w:t>. The proceeds received by the Company from the sale of Shares pursuant to Stock Options exercised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used for general corporate purposes.</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Stock Appreciation Rights</w:t>
      </w:r>
    </w:p>
    <w:p>
      <w:pPr>
        <w:spacing w:after="0" w:line="90" w:lineRule="exact"/>
        <w:rPr>
          <w:sz w:val="20"/>
          <w:szCs w:val="20"/>
          <w:color w:val="auto"/>
        </w:rPr>
      </w:pPr>
    </w:p>
    <w:p>
      <w:pPr>
        <w:ind w:left="460" w:right="40" w:firstLine="881"/>
        <w:spacing w:after="0" w:line="275" w:lineRule="auto"/>
        <w:tabs>
          <w:tab w:leader="none" w:pos="1575"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The Committee may grant to Employees Stock Appreciation Rights that are independent of Stock Options. All SARs granted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are intended to be exempt from taxation as deferred compensation under Code Section 409A.</w:t>
      </w:r>
    </w:p>
    <w:p>
      <w:pPr>
        <w:spacing w:after="0" w:line="38" w:lineRule="exact"/>
        <w:rPr>
          <w:rFonts w:ascii="Arial" w:cs="Arial" w:eastAsia="Arial" w:hAnsi="Arial"/>
          <w:sz w:val="18"/>
          <w:szCs w:val="18"/>
          <w:color w:val="auto"/>
        </w:rPr>
      </w:pPr>
    </w:p>
    <w:p>
      <w:pPr>
        <w:ind w:left="460" w:right="200" w:firstLine="881"/>
        <w:spacing w:after="0" w:line="262" w:lineRule="auto"/>
        <w:tabs>
          <w:tab w:leader="none" w:pos="1585"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 The terms and conditions of each SAR shall be evidenced by an Incentive Agreement. The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not less than one hundred percent (100%) of the Fair Market Value of a Share on the grant date of the SAR. The term of the SAR shall be determined by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Committee. The Committee cannot include any feature for the deferral of compensation other than the deferral of recognition of income until exercise of the SAR.</w:t>
      </w:r>
    </w:p>
    <w:p>
      <w:pPr>
        <w:spacing w:after="0" w:line="45" w:lineRule="exact"/>
        <w:rPr>
          <w:sz w:val="20"/>
          <w:szCs w:val="20"/>
          <w:color w:val="auto"/>
        </w:rPr>
      </w:pPr>
    </w:p>
    <w:p>
      <w:pPr>
        <w:ind w:left="460" w:right="40" w:firstLine="881"/>
        <w:spacing w:after="0" w:line="310" w:lineRule="auto"/>
        <w:tabs>
          <w:tab w:leader="none" w:pos="1575" w:val="left"/>
        </w:tabs>
        <w:numPr>
          <w:ilvl w:val="0"/>
          <w:numId w:val="30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w:t>
      </w:r>
      <w:r>
        <w:rPr>
          <w:rFonts w:ascii="Arial" w:cs="Arial" w:eastAsia="Arial" w:hAnsi="Arial"/>
          <w:sz w:val="16"/>
          <w:szCs w:val="16"/>
          <w:color w:val="auto"/>
        </w:rPr>
        <w:t>. SARs shall be exercisable subject to such terms and conditions as the Committee shall specify in the Incentive Agreement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grant. No SAR granted to an Insider may be exercised prior to six (6) months from the date of grant, except in the event of his death or Disability which occurs prior to the expiration of such six-month period if so permitted under the Incentive Agreement.</w:t>
      </w:r>
    </w:p>
    <w:p>
      <w:pPr>
        <w:spacing w:after="0" w:line="16" w:lineRule="exact"/>
        <w:rPr>
          <w:rFonts w:ascii="Arial" w:cs="Arial" w:eastAsia="Arial" w:hAnsi="Arial"/>
          <w:sz w:val="16"/>
          <w:szCs w:val="16"/>
          <w:color w:val="auto"/>
        </w:rPr>
      </w:pPr>
    </w:p>
    <w:p>
      <w:pPr>
        <w:ind w:left="460" w:right="100" w:firstLine="881"/>
        <w:spacing w:after="0" w:line="291" w:lineRule="auto"/>
        <w:tabs>
          <w:tab w:leader="none" w:pos="1585" w:val="left"/>
        </w:tabs>
        <w:numPr>
          <w:ilvl w:val="0"/>
          <w:numId w:val="302"/>
        </w:numPr>
        <w:rPr>
          <w:rFonts w:ascii="Arial" w:cs="Arial" w:eastAsia="Arial" w:hAnsi="Arial"/>
          <w:sz w:val="16"/>
          <w:szCs w:val="16"/>
          <w:color w:val="auto"/>
        </w:rPr>
      </w:pPr>
      <w:r>
        <w:rPr>
          <w:rFonts w:ascii="Arial" w:cs="Arial" w:eastAsia="Arial" w:hAnsi="Arial"/>
          <w:sz w:val="16"/>
          <w:szCs w:val="16"/>
          <w:b w:val="1"/>
          <w:bCs w:val="1"/>
          <w:u w:val="single" w:color="auto"/>
          <w:color w:val="auto"/>
        </w:rPr>
        <w:t>Settlement</w:t>
      </w:r>
      <w:r>
        <w:rPr>
          <w:rFonts w:ascii="Arial" w:cs="Arial" w:eastAsia="Arial" w:hAnsi="Arial"/>
          <w:sz w:val="16"/>
          <w:szCs w:val="16"/>
          <w:color w:val="auto"/>
        </w:rPr>
        <w:t>. Effective for any SARs issued on or after January 1, 2005, upon exercise of the SAR, the Grantee shall receive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Spread. The Spread, less applicable withholdings, shall be payable in cash or in Shares, the number of which shall be determined based on the Fair Market Value of the Shares as of the exercise date, as provided in the Incentive Agreement, which payment shall be made within thirty (30) calendar days after the exercise date. In addition, the Incentive Agreement under which such SARs are awarded, or any other agreements or arrangements, shall not provide that the Company will purchase any Shares delivered as a result of the exercise or vesting of a SAR. Any SARs issued under the Plan prior to January 1, 2005 shall be subject to the settlement provisions of the Plan as in effect prior to January 1, 2005, but only to the extent that such settlement is not considered a payment of deferred compensation that would be subject to Code Section 409A after December 31, 2004.</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AWARDS FOR OUTSIDE DIRECTORS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Initial Award</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Each Outside Director shall receive, upon initial election or appointment to the Board, the grant of a Common Stock Award for the number of Shares as deemed appropriate to provide equity compensation to such Grantee having a Fair Market Value, effective as of the first date of such Outside Director’s service on the Board, as determined and voted upon by the Independent Directors of the Board from time to time in its discretion.</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Annual Award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Outside Director shall receive an annual Common Stock Award on each Award Date with respect to service rendered by the Grantee during the 12-month period ending on such annual Award Date. The Shares subject to the annual Common Stock Award shall be such number as deemed appropriate to provide equity compensation to such Grantee having a Fair Market Value as determined by the Independent Directors of the Board from time to time, and effective as of the Award Date. The Award Date for annual Common Stock Awards shall be made on the date of the annual Board meeting with respect to the Grantee’s service as an Outside Director during the 12-month period ending on such annual Award Date. The annual Common Stock Awards shall not be prorated for partial service of any Outside Director, except as described in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Termination of Directorship</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If a Termination of Directorship occurs to an Outside Director, then in lieu of the annual Common Stock Award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as of the next following annual Award Date such Outside Director shall be entitled to receive a number of Shares equal to the nearest whole number of Shares obtained by multiplying the number of Shares having a Fair Market Value approximately equal to a dollar amount set by the Board from time to time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by a fraction, the numerator of which is the number of days from the last previous annual Award Date up to and including the date of his Termination of Directorship, and the denominator of which is the number of days from the last previous annual Award Date up to and including his next following regularly scheduled annual Award Date. Such Shares shall be delivered to the Outside Director within thirty (30) days following the date of his Termination of Directorship.</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Issuance of Common Stock</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Within thirty (30) days of the Award Date of a Common Stock Award pursuant to </w:t>
      </w:r>
      <w:r>
        <w:rPr>
          <w:rFonts w:ascii="Arial" w:cs="Arial" w:eastAsia="Arial" w:hAnsi="Arial"/>
          <w:sz w:val="18"/>
          <w:szCs w:val="18"/>
          <w:u w:val="single" w:color="auto"/>
          <w:color w:val="auto"/>
        </w:rPr>
        <w:t>Sections 3.1, 3.2 or 3.3</w:t>
      </w:r>
      <w:r>
        <w:rPr>
          <w:rFonts w:ascii="Arial" w:cs="Arial" w:eastAsia="Arial" w:hAnsi="Arial"/>
          <w:sz w:val="18"/>
          <w:szCs w:val="18"/>
          <w:color w:val="auto"/>
        </w:rPr>
        <w:t>, the Company shall cause Shares of Common Stock to be issued in the name of the Grantee.</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Deferral of Common Stock Award</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At the discretion of the Committee, a Grantee may elect in writing to defer the receipt of a Common Stock Award; provided, however, that such election be made by the Grantee not later than by the end of the calendar year that precedes the calendar year in which the applicable 12-month performance period begins. Notwithstanding the previous sentence, at the discretion of the Committee, a Grantee who is eligible to receive an initial award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may elect in writing to defer receipt of such initial award within thirty (30) days after the Grantee first becomes eligible to participate in the Plan or any other plan maintained by the Company that is an “account balance” plan within the meaning of, and subject to, Code Section 409A.</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Subsequent Deferrals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At the discretion of the Committee, a Grantee may elect in writing to defer the receipt of a Common Stock Award which has previously been deferred pursuant to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provided, however, that (i) such election will not take effect until at least twelve (12) months after the date upon which the election is made by the Grantee, (ii) except in the case of payment on account of the Grantee’s death or Disability, the payment with respect to which such election is made must be deferred for a period of not less than five (5) years from the date the payment would otherwise have been paid, and (iii) such election may not be made less than twelve (12) months prior to the date the payment was otherwise scheduled to be made. Any subsequent deferral election made by the Grantee pursuant to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must be consistent with the requirements of Code Section 409A.</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Award of Restricted Stock</w:t>
      </w:r>
    </w:p>
    <w:p>
      <w:pPr>
        <w:spacing w:after="0" w:line="90" w:lineRule="exact"/>
        <w:rPr>
          <w:sz w:val="20"/>
          <w:szCs w:val="20"/>
          <w:color w:val="auto"/>
        </w:rPr>
      </w:pPr>
    </w:p>
    <w:p>
      <w:pPr>
        <w:ind w:left="460" w:firstLine="881"/>
        <w:spacing w:after="0" w:line="288" w:lineRule="auto"/>
        <w:tabs>
          <w:tab w:leader="none" w:pos="1575" w:val="left"/>
        </w:tabs>
        <w:numPr>
          <w:ilvl w:val="0"/>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w:t>
      </w:r>
      <w:r>
        <w:rPr>
          <w:rFonts w:ascii="Arial" w:cs="Arial" w:eastAsia="Arial" w:hAnsi="Arial"/>
          <w:sz w:val="16"/>
          <w:szCs w:val="16"/>
          <w:color w:val="auto"/>
        </w:rPr>
        <w:t>. In consideration of the Grantee’s Employment or service as an Outside Director, as applicable, Shares of Restricted Stock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awarded by the Committee (or, with respect to Outside Directors, by the Independent Directors of the Board) with such restrictions during the Restriction Period as may be imposed by the Committee or the Independent Directors, as applicable, in its discretion. The minimum Restriction Period for a Restricted Stock Award shall be three (3) years, and for a Performance Based Restricted Stock Award shall be one (1) year. Any such restrictions may differ with respect to a particular Grantee. Restricted Stock shall be awarded for no additional consideration or such additional consideration as the Committee may determine, which consideration may be less than, equal to, or more than the Fair Market Value of the Shares of Restricted Stock on the grant date. The terms and conditions of each Restricted Stock Award shall be evidenced by an Incentive Agreement and, during the Restriction Period, Shares of Restricted Stock must remain subject to a “substantial risk of forfeiture” within the meaning given to such term under Code Section 83. Any Restricted Stock Award granted to an Employee may, at the time of grant, be designated by the Committee as a Performance-Based Restricted Award that is intended to qualify for the Performance-Based Exception.</w:t>
      </w:r>
    </w:p>
    <w:p>
      <w:pPr>
        <w:spacing w:after="0" w:line="34" w:lineRule="exact"/>
        <w:rPr>
          <w:rFonts w:ascii="Arial" w:cs="Arial" w:eastAsia="Arial" w:hAnsi="Arial"/>
          <w:sz w:val="16"/>
          <w:szCs w:val="16"/>
          <w:color w:val="auto"/>
        </w:rPr>
      </w:pPr>
    </w:p>
    <w:p>
      <w:pPr>
        <w:ind w:left="460" w:firstLine="881"/>
        <w:spacing w:after="0" w:line="258" w:lineRule="auto"/>
        <w:tabs>
          <w:tab w:leader="none" w:pos="1585"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Immediate Transfer Without Immediate Delivery of Restricted Stock</w:t>
      </w:r>
      <w:r>
        <w:rPr>
          <w:rFonts w:ascii="Arial" w:cs="Arial" w:eastAsia="Arial" w:hAnsi="Arial"/>
          <w:sz w:val="18"/>
          <w:szCs w:val="18"/>
          <w:color w:val="auto"/>
        </w:rPr>
        <w:t>. Unless otherwise specified in the Grantee’s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each Restricted Stock Award shall constitute an immediate transfer of the record and beneficial ownership of the Shares of Restricted Stock to the Grantee in consideration of his performance of services as an Employee or Outside Director, as applicable, entitling such Grantee to all voting and other ownership rights in such 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88" w:lineRule="auto"/>
        <w:rPr>
          <w:sz w:val="20"/>
          <w:szCs w:val="20"/>
          <w:color w:val="auto"/>
        </w:rPr>
      </w:pPr>
      <w:r>
        <w:rPr>
          <w:rFonts w:ascii="Arial" w:cs="Arial" w:eastAsia="Arial" w:hAnsi="Arial"/>
          <w:sz w:val="16"/>
          <w:szCs w:val="16"/>
          <w:color w:val="auto"/>
        </w:rPr>
        <w:t>As specified in the Incentive Agreement, a Restricted Stock Award may limit the Grantee’s dividend rights during the Restriction Period in which the Shares of Restricted Stock are subject to a “substantial risk of forfeiture” (within the meaning given to such term under Code Section 83) and restrictions on transfer. In the Incentive Agreement, the Committee may apply any restrictions to the dividends that the Committee deems appropriate. Without limiting the generality of the preceding sentence, if the grant or vesting of Shares of Performance-Based Restricted Stock granted to a Covered Employee is designed to comply with the requirements of the Performance-Based Exception, the Committee may apply any restrictions it deems appropriate to the payment of dividends declared with respect to such Shares of Restricted Stock, such that the dividends and/or the Shares of Restricted Stock maintain eligibility for the Performance-Based Exception. In the event that any dividend constitutes a derivative security or an equity security pursuant to the rules under Section 16 of the Exchange Act, if applicable, such dividend shall be subject to a vesting period equal to the remaining vesting period of the Shares subject to the Restricted Stock Award with respect to which the dividend is paid.</w:t>
      </w:r>
    </w:p>
    <w:p>
      <w:pPr>
        <w:spacing w:after="0" w:line="39"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Shares awarded pursuant to a Restricted Stock Award or Performance-Based Restricted Stock Award may be issued in the name of the Grantee and held, together with a stock power endorsed in blank, by (i) the Committee (or its delegate), (ii) Company (or its delegate), (iii) in trust or in escrow pursuant to an agreement satisfactory to the Committee, or (iv) in a restricted account held by the transfer agent, as shall be determined by the Committee, until such time as the restrictions on transfer have expired. All such terms and conditions shall be set forth in the particular Grantee’s Incentive Agreement. The Company or Committee, or its delegate, shall issue to the Grantee a receipt evidencing the Shares held by it which are registered in the name of the Grantee.</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Restrictions</w:t>
      </w:r>
    </w:p>
    <w:p>
      <w:pPr>
        <w:spacing w:after="0" w:line="90" w:lineRule="exact"/>
        <w:rPr>
          <w:sz w:val="20"/>
          <w:szCs w:val="20"/>
          <w:color w:val="auto"/>
        </w:rPr>
      </w:pPr>
    </w:p>
    <w:p>
      <w:pPr>
        <w:ind w:left="460" w:right="160" w:firstLine="881"/>
        <w:spacing w:after="0" w:line="254" w:lineRule="auto"/>
        <w:tabs>
          <w:tab w:leader="none" w:pos="1575"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 of Restricted Stock</w:t>
      </w:r>
      <w:r>
        <w:rPr>
          <w:rFonts w:ascii="Arial" w:cs="Arial" w:eastAsia="Arial" w:hAnsi="Arial"/>
          <w:sz w:val="18"/>
          <w:szCs w:val="18"/>
          <w:color w:val="auto"/>
        </w:rPr>
        <w:t>. Restricted Stock awarded to a Grantee may be subject to the following restrictions until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Restriction Period: (i) a restriction that constitutes a “substantial risk of forfeiture” (as defined under Code Section 83), or a restriction on transferability; (ii) unless otherwise specified by the Committee in the Incentive Agreement, the Shares of Restricted Stock that are subject to restrictions which are not satisfied shall be forfeited and all rights of the Grantee to such Shares shall terminate; and (iii) any other restrictions that the Committee determines in advance are appropriate, including, without limitation, rights of repurchase or first refusal in the Company or provisions subjecting the Restricted Stock to a continuing substantial risk of forfeiture in the hands of any transferee. Any such restrictions shall be set forth in the Grantee’s Incentive Agreement.</w:t>
      </w:r>
    </w:p>
    <w:p>
      <w:pPr>
        <w:spacing w:after="0" w:line="60" w:lineRule="exact"/>
        <w:rPr>
          <w:rFonts w:ascii="Arial" w:cs="Arial" w:eastAsia="Arial" w:hAnsi="Arial"/>
          <w:sz w:val="18"/>
          <w:szCs w:val="18"/>
          <w:color w:val="auto"/>
        </w:rPr>
      </w:pPr>
    </w:p>
    <w:p>
      <w:pPr>
        <w:ind w:left="460" w:right="140" w:firstLine="881"/>
        <w:spacing w:after="0" w:line="296" w:lineRule="auto"/>
        <w:tabs>
          <w:tab w:leader="none" w:pos="1585" w:val="left"/>
        </w:tabs>
        <w:numPr>
          <w:ilvl w:val="0"/>
          <w:numId w:val="304"/>
        </w:numPr>
        <w:rPr>
          <w:rFonts w:ascii="Arial" w:cs="Arial" w:eastAsia="Arial" w:hAnsi="Arial"/>
          <w:sz w:val="16"/>
          <w:szCs w:val="16"/>
          <w:color w:val="auto"/>
        </w:rPr>
      </w:pPr>
      <w:r>
        <w:rPr>
          <w:rFonts w:ascii="Arial" w:cs="Arial" w:eastAsia="Arial" w:hAnsi="Arial"/>
          <w:sz w:val="16"/>
          <w:szCs w:val="16"/>
          <w:b w:val="1"/>
          <w:bCs w:val="1"/>
          <w:u w:val="single" w:color="auto"/>
          <w:color w:val="auto"/>
        </w:rPr>
        <w:t>Issuance of Certificates</w:t>
      </w:r>
      <w:r>
        <w:rPr>
          <w:rFonts w:ascii="Arial" w:cs="Arial" w:eastAsia="Arial" w:hAnsi="Arial"/>
          <w:sz w:val="16"/>
          <w:szCs w:val="16"/>
          <w:color w:val="auto"/>
        </w:rPr>
        <w:t>. Reasonably promptly after the date of grant with respect to the Restricted Stock Award, and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has approved the use of electronic stock accounts that do not require the issuance of stock certificates, the Company shall cause to be issued a stock certificate, registered in the name of the Grantee to whom the Restricted Stock Award was granted, evidencing such Shares; provided, however, that the Company shall not cause to be issued such a stock certificate unless it has received a stock power duly endorsed in blank with respect to such Shares. Each such stock certificate shall bear the following legend or any other legend approved by the Company:</w:t>
      </w:r>
    </w:p>
    <w:p>
      <w:pPr>
        <w:spacing w:after="0" w:line="33"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i w:val="1"/>
          <w:iCs w:val="1"/>
          <w:color w:val="auto"/>
        </w:rPr>
        <w:t>The transferability of this certificate and the shares of stock represented hereby are subject to the restrictions, terms and conditions (including forfeiture and restrictions against transfer) contained in the Smith International, Inc. Long-Term Incentive Compensation Plan and an Incentive Agreement entered into between the registered owner of such shares and Smith International, Inc. A copy of the Plan and Incentive Agreement are on file in the main corporate office of Smith International, Inc.</w:t>
      </w:r>
    </w:p>
    <w:p>
      <w:pPr>
        <w:spacing w:after="0" w:line="62"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Such legend shall not be removed from the certificate evidencing such Shares of Restricted Stock unless and until such Shares vest pursuant to the terms of the Incentive Agreement.</w:t>
      </w:r>
    </w:p>
    <w:p>
      <w:pPr>
        <w:spacing w:after="0" w:line="45" w:lineRule="exact"/>
        <w:rPr>
          <w:sz w:val="20"/>
          <w:szCs w:val="20"/>
          <w:color w:val="auto"/>
        </w:rPr>
      </w:pPr>
    </w:p>
    <w:p>
      <w:pPr>
        <w:ind w:left="460" w:right="720" w:firstLine="881"/>
        <w:spacing w:after="0" w:line="275" w:lineRule="auto"/>
        <w:tabs>
          <w:tab w:leader="none" w:pos="1575" w:val="left"/>
        </w:tabs>
        <w:numPr>
          <w:ilvl w:val="0"/>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Removal of Restrictions</w:t>
      </w:r>
      <w:r>
        <w:rPr>
          <w:rFonts w:ascii="Arial" w:cs="Arial" w:eastAsia="Arial" w:hAnsi="Arial"/>
          <w:sz w:val="18"/>
          <w:szCs w:val="18"/>
          <w:color w:val="auto"/>
        </w:rPr>
        <w:t>. The Committee, in its discretion, shall have the authority to provide in an Incentive Agreement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the Restricted Stock shall lapse upon the occurrence of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Grantee’s death or Disability, or in the event of a Change in Control. In addition, the Committee shall have the authority, in its discretion, to remove any or all of the restrictions on the Restricted Stock if it determines that, by reason of a change in applicable law or another change in circumstance arising after the grant date of the Restricted Stock Award, such action is necessary or appropriate.</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Delivery of Shares of Common Stock</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When the restrictions in the Incentive Agreement have been satisfied, subject to (i) withholding taxes under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with respect to Employees and (ii) the terms of the Incentive Agreement, the Company shall cause Shares of Common Stock to be issued in the name of the Grantee free of restrictions.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5</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RESTRICTED STOCK UNITS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Award of Restricted Stock Units</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consideration of the Grantee’s Employment or service as an Outside Director, as applicable, Restricted Stock Unit Awards may be awarded by the Committee (or, with respect to Outside Directors, by the Independent Directors of the Board) to designated Grantees, as determined in the discretion of the Committee or the Independent Directors, as applicable. Any Restricted Stock Unit Award to an Employee may, at the time of grant, be designated by the Committee as a Performance-Based Restricted Award that is intended to qualify for the Performance-Based Exception. The minimum Restriction Period for a Restricted Stock Unit Award shall be three (3) years, and for a Performance Based Restricted Stock Unit Award shall be one (1) year.</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Restricted Stock Unit Award Terms</w:t>
      </w:r>
    </w:p>
    <w:p>
      <w:pPr>
        <w:spacing w:after="0" w:line="90" w:lineRule="exact"/>
        <w:rPr>
          <w:sz w:val="20"/>
          <w:szCs w:val="20"/>
          <w:color w:val="auto"/>
        </w:rPr>
      </w:pPr>
    </w:p>
    <w:p>
      <w:pPr>
        <w:ind w:left="460" w:right="320" w:firstLine="881"/>
        <w:spacing w:after="0" w:line="258" w:lineRule="auto"/>
        <w:tabs>
          <w:tab w:leader="none" w:pos="1575" w:val="left"/>
        </w:tabs>
        <w:numPr>
          <w:ilvl w:val="1"/>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Written Agreement</w:t>
      </w:r>
      <w:r>
        <w:rPr>
          <w:rFonts w:ascii="Arial" w:cs="Arial" w:eastAsia="Arial" w:hAnsi="Arial"/>
          <w:sz w:val="18"/>
          <w:szCs w:val="18"/>
          <w:color w:val="auto"/>
        </w:rPr>
        <w:t>. The terms and conditions of each grant of a Restricted Stock Unit Award shall be evidenced by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which shall specify among other provisions (i) the number of Restricted Stock Units awarded to the Grantee, (ii) a specified period during which such Restricted Stock Units must remain subject to a “substantial risk of forfeiture” within the meaning given to such term under Code Section 409A, and (iii) the Performance Criteria, if applicable.</w:t>
      </w:r>
    </w:p>
    <w:p>
      <w:pPr>
        <w:spacing w:after="0" w:line="55" w:lineRule="exact"/>
        <w:rPr>
          <w:rFonts w:ascii="Arial" w:cs="Arial" w:eastAsia="Arial" w:hAnsi="Arial"/>
          <w:sz w:val="18"/>
          <w:szCs w:val="18"/>
          <w:color w:val="auto"/>
        </w:rPr>
      </w:pPr>
    </w:p>
    <w:p>
      <w:pPr>
        <w:ind w:left="460" w:right="20" w:firstLine="881"/>
        <w:spacing w:after="0" w:line="334" w:lineRule="auto"/>
        <w:tabs>
          <w:tab w:leader="none" w:pos="1585" w:val="left"/>
        </w:tabs>
        <w:numPr>
          <w:ilvl w:val="1"/>
          <w:numId w:val="306"/>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The Committee, in its discretion, shall specify in the Grantee’s Incentive Agreement the date or dates upon which the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risk of forfeiture” (as described in </w:t>
      </w:r>
      <w:r>
        <w:rPr>
          <w:rFonts w:ascii="Arial" w:cs="Arial" w:eastAsia="Arial" w:hAnsi="Arial"/>
          <w:sz w:val="16"/>
          <w:szCs w:val="16"/>
          <w:u w:val="single" w:color="auto"/>
          <w:color w:val="auto"/>
        </w:rPr>
        <w:t>Section 4.2(a)</w:t>
      </w:r>
      <w:r>
        <w:rPr>
          <w:rFonts w:ascii="Arial" w:cs="Arial" w:eastAsia="Arial" w:hAnsi="Arial"/>
          <w:sz w:val="16"/>
          <w:szCs w:val="16"/>
          <w:color w:val="auto"/>
        </w:rPr>
        <w:t>) will lapse (the “</w:t>
      </w:r>
      <w:r>
        <w:rPr>
          <w:rFonts w:ascii="Arial" w:cs="Arial" w:eastAsia="Arial" w:hAnsi="Arial"/>
          <w:sz w:val="16"/>
          <w:szCs w:val="16"/>
          <w:b w:val="1"/>
          <w:bCs w:val="1"/>
          <w:color w:val="auto"/>
        </w:rPr>
        <w:t>Vesting Date</w:t>
      </w:r>
      <w:r>
        <w:rPr>
          <w:rFonts w:ascii="Arial" w:cs="Arial" w:eastAsia="Arial" w:hAnsi="Arial"/>
          <w:sz w:val="16"/>
          <w:szCs w:val="16"/>
          <w:color w:val="auto"/>
        </w:rPr>
        <w:t>”), and the events upon which such lapse occurs.</w:t>
      </w:r>
    </w:p>
    <w:p>
      <w:pPr>
        <w:spacing w:after="0" w:line="1" w:lineRule="exact"/>
        <w:rPr>
          <w:rFonts w:ascii="Arial" w:cs="Arial" w:eastAsia="Arial" w:hAnsi="Arial"/>
          <w:sz w:val="16"/>
          <w:szCs w:val="16"/>
          <w:color w:val="auto"/>
        </w:rPr>
      </w:pPr>
    </w:p>
    <w:p>
      <w:pPr>
        <w:ind w:left="460" w:right="80" w:firstLine="881"/>
        <w:spacing w:after="0" w:line="289" w:lineRule="auto"/>
        <w:tabs>
          <w:tab w:leader="none" w:pos="1575" w:val="left"/>
        </w:tabs>
        <w:numPr>
          <w:ilvl w:val="1"/>
          <w:numId w:val="306"/>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When the restrictions in the Incentive Agreement have been satisfied, subject to (i) withholding taxes under Section 9.3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Employees and (ii) the terms of the Incentive Agreement, Restricted Stock Units shall be paid in Shares within thirty (30) days after the later of</w:t>
      </w:r>
    </w:p>
    <w:p>
      <w:pPr>
        <w:spacing w:after="0" w:line="1" w:lineRule="exact"/>
        <w:rPr>
          <w:rFonts w:ascii="Arial" w:cs="Arial" w:eastAsia="Arial" w:hAnsi="Arial"/>
          <w:sz w:val="16"/>
          <w:szCs w:val="16"/>
          <w:color w:val="auto"/>
        </w:rPr>
      </w:pPr>
    </w:p>
    <w:p>
      <w:pPr>
        <w:ind w:left="460" w:right="220" w:firstLine="4"/>
        <w:spacing w:after="0" w:line="323" w:lineRule="auto"/>
        <w:tabs>
          <w:tab w:leader="none" w:pos="74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Vesting Date (as defined in Section 5.2(b)) or (B) the date that satisfaction of any Performance Criteria for the Restricted Stock Units have been certified by the Committee but, in either event, not later than 2-1/2 months following the last day of the calendar year containing the Vesting Date.</w:t>
      </w:r>
    </w:p>
    <w:p>
      <w:pPr>
        <w:spacing w:after="0" w:line="5" w:lineRule="exact"/>
        <w:rPr>
          <w:rFonts w:ascii="Arial" w:cs="Arial" w:eastAsia="Arial" w:hAnsi="Arial"/>
          <w:sz w:val="16"/>
          <w:szCs w:val="16"/>
          <w:color w:val="auto"/>
        </w:rPr>
      </w:pPr>
    </w:p>
    <w:p>
      <w:pPr>
        <w:ind w:left="460" w:right="100" w:firstLine="881"/>
        <w:spacing w:after="0" w:line="291" w:lineRule="auto"/>
        <w:tabs>
          <w:tab w:leader="none" w:pos="1585" w:val="left"/>
        </w:tabs>
        <w:numPr>
          <w:ilvl w:val="1"/>
          <w:numId w:val="307"/>
        </w:numPr>
        <w:rPr>
          <w:rFonts w:ascii="Arial" w:cs="Arial" w:eastAsia="Arial" w:hAnsi="Arial"/>
          <w:sz w:val="16"/>
          <w:szCs w:val="16"/>
          <w:color w:val="auto"/>
        </w:rPr>
      </w:pPr>
      <w:r>
        <w:rPr>
          <w:rFonts w:ascii="Arial" w:cs="Arial" w:eastAsia="Arial" w:hAnsi="Arial"/>
          <w:sz w:val="16"/>
          <w:szCs w:val="16"/>
          <w:b w:val="1"/>
          <w:bCs w:val="1"/>
          <w:u w:val="single" w:color="auto"/>
          <w:color w:val="auto"/>
        </w:rPr>
        <w:t>Initial Deferral of Restricted Stock Unit Awards</w:t>
      </w:r>
      <w:r>
        <w:rPr>
          <w:rFonts w:ascii="Arial" w:cs="Arial" w:eastAsia="Arial" w:hAnsi="Arial"/>
          <w:sz w:val="16"/>
          <w:szCs w:val="16"/>
          <w:color w:val="auto"/>
        </w:rPr>
        <w:t>. As permitted in the discretion of the Committee and subject to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required by the Committee, a Grantee may elect in writing to defer the receipt of Shares that become payable upon vesting of a Restricted Stock Unit Award; provided, however, that such election be made by the Grantee not later than by the end of the calendar year that immediately precedes the calendar year during which the applicable performance period begins. Notwithstanding the previous sentence, at the discretion of the Committee and subject to such terms and conditions as required by the Committee, a Grantee who is first eligible to participate in the Plan under Section 1.7 may elect in writing to defer receipt of his initial Restricted Stock Unit Award under the Plan within thirty (30) days after the grant date of such Restricted Stock Unit Award. Any deferral election made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340"/>
          </w:cols>
          <w:pgMar w:left="240" w:top="460" w:right="3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the Grantee pursuant to this Section 5.2(d) must be consistent with the requirements of Code Section 409A and shall be construed accordingly.</w:t>
      </w:r>
    </w:p>
    <w:p>
      <w:pPr>
        <w:spacing w:after="0" w:line="107" w:lineRule="exact"/>
        <w:rPr>
          <w:sz w:val="20"/>
          <w:szCs w:val="20"/>
          <w:color w:val="auto"/>
        </w:rPr>
      </w:pPr>
    </w:p>
    <w:p>
      <w:pPr>
        <w:ind w:left="460" w:right="120" w:firstLine="881"/>
        <w:spacing w:after="0" w:line="290" w:lineRule="auto"/>
        <w:tabs>
          <w:tab w:leader="none" w:pos="1575" w:val="left"/>
        </w:tabs>
        <w:numPr>
          <w:ilvl w:val="0"/>
          <w:numId w:val="308"/>
        </w:numPr>
        <w:rPr>
          <w:rFonts w:ascii="Arial" w:cs="Arial" w:eastAsia="Arial" w:hAnsi="Arial"/>
          <w:sz w:val="16"/>
          <w:szCs w:val="16"/>
          <w:color w:val="auto"/>
        </w:rPr>
      </w:pPr>
      <w:r>
        <w:rPr>
          <w:rFonts w:ascii="Arial" w:cs="Arial" w:eastAsia="Arial" w:hAnsi="Arial"/>
          <w:sz w:val="16"/>
          <w:szCs w:val="16"/>
          <w:b w:val="1"/>
          <w:bCs w:val="1"/>
          <w:u w:val="single" w:color="auto"/>
          <w:color w:val="auto"/>
        </w:rPr>
        <w:t>Subsequent Deferrals</w:t>
      </w:r>
      <w:r>
        <w:rPr>
          <w:rFonts w:ascii="Arial" w:cs="Arial" w:eastAsia="Arial" w:hAnsi="Arial"/>
          <w:sz w:val="16"/>
          <w:szCs w:val="16"/>
          <w:color w:val="auto"/>
        </w:rPr>
        <w:t>. As permitted in the discretion of the Committee and subject to such terms and conditions as required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if a Grantee has previously made an initial deferral election pursuant to Section 5.2(d), the Grantee may elect in writing to defer the receipt of Shares payable upon vesting of the outstanding Restricted Stock Unit Award; provided, however, that (i) such election will not take effect until at least twelve (12) months after the date upon which the election is made by the Grantee, (ii) except in the case of payment on account of the Grantee’s death or Disability, the payment with respect to which such election is made must be deferred for a period of not less than five (5) years from the date the payment would otherwise have been paid, and (iii) such election may not be made less than twelve (12) months prior to the date the payment was otherwise scheduled to be made. Any subsequent deferral election made by the Grantee pursuant to this Section 5.2(e) must be consistent with the requirements of Code Section 409A and shall be construed accordingly.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Grant of Other Stock-Based Awards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Other Stock-Based Awards may be awarded by the Committee to selected Grantees that are payable in Shares, as determined by the Committee to be consistent with the goals of the Company. Other types of Stock-Based Awards include, without limitation, purchase rights, Shares of Common Stock awarded that are not subject to any restrictions or conditions other than Common Stock Awards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(limited, however, to not more than five percent (5%) of the Shares available under the Plan under </w:t>
      </w:r>
      <w:r>
        <w:rPr>
          <w:rFonts w:ascii="Arial" w:cs="Arial" w:eastAsia="Arial" w:hAnsi="Arial"/>
          <w:sz w:val="16"/>
          <w:szCs w:val="16"/>
          <w:u w:val="single" w:color="auto"/>
          <w:color w:val="auto"/>
        </w:rPr>
        <w:t>Section 1.4</w:t>
      </w:r>
      <w:r>
        <w:rPr>
          <w:rFonts w:ascii="Arial" w:cs="Arial" w:eastAsia="Arial" w:hAnsi="Arial"/>
          <w:sz w:val="16"/>
          <w:szCs w:val="16"/>
          <w:color w:val="auto"/>
        </w:rPr>
        <w:t>), convertible or exchangeable debentures, other rights convertible into Shares, Incentive Awards valued by reference to the performance of a specified Subsidiary, division or department of the Company, and settlement in cancellation of rights of any person with a vested interest in any other plan, fund, program or arrangement that is or was sponsored, maintained or participated in by the Company or any Subsidiary. As is the case with other types of Incentive Awards, Other Stock-Based Awards may be awarded either alone or in addition to or in conjunction with any other Incentive Awards. Other Stock-Based Awards are not intended to be deferred compensation that is subject to Code Section 409A unless otherwise determined by the Committee.</w:t>
      </w:r>
    </w:p>
    <w:p>
      <w:pPr>
        <w:spacing w:after="0" w:line="19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Other Stock-Based Award Terms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auto"/>
        </w:rPr>
        <w:t>Written Agreement</w:t>
      </w:r>
      <w:r>
        <w:rPr>
          <w:rFonts w:ascii="Arial" w:cs="Arial" w:eastAsia="Arial" w:hAnsi="Arial"/>
          <w:sz w:val="16"/>
          <w:szCs w:val="16"/>
          <w:color w:val="auto"/>
        </w:rPr>
        <w:t>. The terms and conditions of each grant of an Other Stock-Based Award shall be evidenced by an Incentive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w:t>
      </w:r>
    </w:p>
    <w:p>
      <w:pPr>
        <w:spacing w:after="0" w:line="78" w:lineRule="exact"/>
        <w:rPr>
          <w:sz w:val="20"/>
          <w:szCs w:val="20"/>
          <w:color w:val="auto"/>
        </w:rPr>
      </w:pPr>
    </w:p>
    <w:p>
      <w:pPr>
        <w:jc w:val="both"/>
        <w:ind w:left="460" w:right="100" w:firstLine="881"/>
        <w:spacing w:after="0" w:line="338" w:lineRule="auto"/>
        <w:tabs>
          <w:tab w:leader="none" w:pos="1585" w:val="left"/>
        </w:tabs>
        <w:numPr>
          <w:ilvl w:val="0"/>
          <w:numId w:val="309"/>
        </w:numPr>
        <w:rPr>
          <w:rFonts w:ascii="Arial" w:cs="Arial" w:eastAsia="Arial" w:hAnsi="Arial"/>
          <w:sz w:val="15"/>
          <w:szCs w:val="15"/>
          <w:color w:val="auto"/>
        </w:rPr>
      </w:pPr>
      <w:r>
        <w:rPr>
          <w:rFonts w:ascii="Arial" w:cs="Arial" w:eastAsia="Arial" w:hAnsi="Arial"/>
          <w:sz w:val="15"/>
          <w:szCs w:val="15"/>
          <w:b w:val="1"/>
          <w:bCs w:val="1"/>
          <w:u w:val="single" w:color="auto"/>
          <w:color w:val="auto"/>
        </w:rPr>
        <w:t>Purchase Price</w:t>
      </w:r>
      <w:r>
        <w:rPr>
          <w:rFonts w:ascii="Arial" w:cs="Arial" w:eastAsia="Arial" w:hAnsi="Arial"/>
          <w:sz w:val="15"/>
          <w:szCs w:val="15"/>
          <w:color w:val="auto"/>
        </w:rPr>
        <w:t>. Except to the extent that an Other Stock-Based Award is granted in substitution for an outstanding Incentive Award or is</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upon exercise of a Stock Option, the amount of consideration required to be received by the Company shall be either (i) no consideration other than services actually rendered (in the case of authorized and unissued Shares) or to be rendered, or (ii) as otherwise specified in the Incentive Agreement.</w:t>
      </w:r>
    </w:p>
    <w:p>
      <w:pPr>
        <w:ind w:left="460" w:firstLine="881"/>
        <w:spacing w:after="0" w:line="301" w:lineRule="auto"/>
        <w:tabs>
          <w:tab w:leader="none" w:pos="1575" w:val="left"/>
        </w:tabs>
        <w:numPr>
          <w:ilvl w:val="0"/>
          <w:numId w:val="309"/>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Criteria and Other Terms</w:t>
      </w:r>
      <w:r>
        <w:rPr>
          <w:rFonts w:ascii="Arial" w:cs="Arial" w:eastAsia="Arial" w:hAnsi="Arial"/>
          <w:sz w:val="16"/>
          <w:szCs w:val="16"/>
          <w:color w:val="auto"/>
        </w:rPr>
        <w:t>. In its discretion, the Committee may specify Performance Criteria for (i) vesting in Other Stock-Based Awards and (ii) payment thereof to the Grantee, as it may determine in its discretion. The extent to which any such Performance Criteria have been met shall be determined and certified by the Committee in accordance with the requirements to qualify for the Performance-Based Exception under Code Section 162(m). All terms and conditions of Other Stock-Based Awards shall be determined by the Committee and set forth in the Incentive Agreement.</w:t>
      </w:r>
    </w:p>
    <w:p>
      <w:pPr>
        <w:spacing w:after="0" w:line="22" w:lineRule="exact"/>
        <w:rPr>
          <w:rFonts w:ascii="Arial" w:cs="Arial" w:eastAsia="Arial" w:hAnsi="Arial"/>
          <w:sz w:val="16"/>
          <w:szCs w:val="16"/>
          <w:color w:val="auto"/>
        </w:rPr>
      </w:pPr>
    </w:p>
    <w:p>
      <w:pPr>
        <w:ind w:left="460" w:right="320" w:firstLine="881"/>
        <w:spacing w:after="0" w:line="275" w:lineRule="auto"/>
        <w:tabs>
          <w:tab w:leader="none" w:pos="1585" w:val="left"/>
        </w:tabs>
        <w:numPr>
          <w:ilvl w:val="0"/>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Other Stock-Based Awards shall be paid in Shares, in a single payment or in installments on such dates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all as specified in the Incentive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7</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CRITERIA</w:t>
      </w:r>
    </w:p>
    <w:p>
      <w:pPr>
        <w:spacing w:after="0" w:line="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Performance Awards.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purpose of this Section 7 is to provide the Committee the ability to (i) grant Performance-Based Restricted Awards, Other Stock-Based Awards and other types of Incentive Awards which satisfy the Performance-Based Exception, and (ii) grant Performance Awards that are settled in cash or shares of Common Stock based on the satisfaction of Performance Criteria and, where applicable, to cause such awards to satisfy the Performance-Based Exception. If the Committee, in its discretion, decides to grant an Award to a Covered Employee that is intended to satisfy the requirements of the Performance-Based Exception, the provisions of Section 7.6 shall control over any contrary provision contained herein.</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Performance Measures.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A Performance Award shall be awarded to a Grantee contingent upon future performance of the Company during the Performance Period. The Committee shall designate (i) the Performance Criteria for each Performance Award, (ii) the Performance Period for each Performance Award, (iii) the number of shares of Common Stock subject to, or the maximum value of, the Performance Award. The Committee, in its sole discretion, may provide for an adjustable Performance Award value based upon the level of achievement of the Performance Goals.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Awards Criteria.</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In determining the value of Performance Awards, the Committee shall take into account a Grantee’s responsibility level, performance, potential, other Awards, and such other considerations as it deems appropriate. The Committee, in its sole discretion, may provide for a reduction in the value of a Grantee’s Performance Award during a Performance Period.</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Payment.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Following the end of the Performance Period, the holder of a Performance Award shall be entitled to receive payment of an amount not exceeding the number of Shares subject to, or the maximum value of, the Performance Award, based on the achievement of the performance measures for such Performance Period, as determined and certified in writing by the Committee. Payment of a Performance Award may be made in a lump sum in cash, Shares, or a combination thereof, as determined by the Committee, and shall be made no later than 2-1/2 months after the end of the Performance Period. If a Performance Award covering Shares is to be paid in cash, such payment shall be based on the Fair Market Value of the Shares on the payment date.</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Termination of Award.</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 Performance Award shall terminate if the Grantee does not remain continuously in the employ of the Company at all times during the applicable Performance Period, except as may be determined by the Committee.</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Awards Subject to the Performance-Based Exception.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determined by the Committee at the time of grant, Performance-Based Restricted Awards, Other Stock-Based Awards, Performance Awards and other types of Incentive Awards made under the Plan may be granted to an Employee subject to performance objectives relating to one or more of the following within the meaning of Code Section 162(m) in order to qualify for the Performance-Based Exception (the “Performance Criteria”):</w:t>
      </w:r>
    </w:p>
    <w:p>
      <w:pPr>
        <w:spacing w:after="0" w:line="26" w:lineRule="exact"/>
        <w:rPr>
          <w:sz w:val="20"/>
          <w:szCs w:val="20"/>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profits (including, but not limited to, profit growth, net operating profit or economic profit);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profit-related return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equity, investment or sales);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360"/>
          </w:cols>
          <w:pgMar w:left="240" w:top="460" w:right="2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or cash flow return on capital or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earnings (including but not limited to, total shareholder return, earnings per share or earnings before or after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net sales growth;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net earnings or income (before or after taxes, interest, depreciation and/or amortization);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gross, operating or net profit 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shareholder return);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turnover of assets, capital, or inventory;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measures of health, safety or environment;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customer service or satisfaction;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credit quality;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Criteria may be stated in absolute terms or relative to comparison companies or indices to be achieved during a Performance Period.</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Committee shall establish one or more Performance Criteria for each Incentive Award that is intended to qualify for the Performance-Based Exception no later than ninety (90) days after the beginning of the Performance Period to which the Award relates. In establishing the Performance Criteria for each applicable Incentive Award, the Committee may provide that the effect of specified extraordinary or unusual events will be included or excluded (including, but not limited to, all items of gain, loss or expense determined to be extraordinary or unusual in nature or infrequent in occurrence or related to the disposal of a segment of business or related to a change in accounting principle, all as determined in accordance with standards by Opinion No. 30 of the Accounting Principles Board (APB Opinion 30) or other authoritative financial accounting standards). The terms of the stated Performance Criteria for each applicable Incentive Award must preclude the Committee’s discretion to increase the amount payable to any Grantee that would otherwise be due upon attainment of the Performance Criteria. The Performance Criteria specified in any Incentive Agreement need not be applicable to all Incentive Awards, and may be particular to an individual Grantee’s function or business unit. The Committee may establish the Performance Criteria of the Company or any entity which is affiliated by common ownership with the Company as determined and designated by the Committee, in its discretion, in the Incentive Agreement.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8</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PROVISIONS RELATING TO PLAN PARTICIPATION</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Incentive Agreement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Grantee to whom an Incentive Award is granted (other than a Common Stock Award) shall be required to enter into an Incentive Agreement with the Company, in such a form as is provided by the Committee.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360"/>
          </w:cols>
          <w:pgMar w:left="240" w:top="460" w:right="2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Incentive Agreement shall contain such specific terms as determined by the Committee, in its discretion, with respect to the Grantee’s particular Incentive Award. Such terms need not be uniform among all Grantees or any similarly situated Grantees. The Incentive Agreement may include, without limitation, vesting, forfeiture and other provisions that are specific to the individual Grantee’s Incentive Award, as well as, for example, provisions to the effect that the Grantee</w:t>
      </w:r>
    </w:p>
    <w:p>
      <w:pPr>
        <w:spacing w:after="0" w:line="1" w:lineRule="exact"/>
        <w:rPr>
          <w:sz w:val="20"/>
          <w:szCs w:val="20"/>
          <w:color w:val="auto"/>
        </w:rPr>
      </w:pPr>
    </w:p>
    <w:p>
      <w:pPr>
        <w:ind w:firstLine="8"/>
        <w:spacing w:after="0" w:line="287" w:lineRule="auto"/>
        <w:tabs>
          <w:tab w:leader="none" w:pos="21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shall not disclose any confidential information acquired during Employment with the Company, (ii) shall abide by all the terms and conditions of the Plan and such other terms and conditions as may be imposed by the Committee, (iii) shall not interfere with the employment or other service of any employee, (iv) shall not compete with the Company or become involved in a conflict of interest with the interests of the Company, (v) shall forfeit an Incentive Award if terminated for Cause, (vi) shall not be permitted to make an election under Code Section 83(b) when applicable, and (vii) shall be subject to any other agreement between the Grantee and the Company regarding Shares that may be acquired under an Incentive Award including, without limitation, a stockholders’ agreement, buy-sell agreement, or other agreement restricting the transferability of Shares by Grantee. An Incentive Agreement shall include such terms and conditions as are determined by the Committee, in its discretion, to be appropriate with respect to the Grantee. The Incentive Agreement shall be signed by the Grantee to whom the Incentive Award is made and by an Authorized Officer; provided, however, the Committee, in its discretion, may from time to time approve another method of acceptance.</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No Right to Employment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Nothing in the Plan or any instrument executed pursuant to the Plan shall create any Employment rights (including without limitation, rights to either continued Employment or service as an Outside Director) in any Grantee or affect any right to terminate the Employment of any Grantee or service as an Outside Director at any time without regard to the existence of the Plan.</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Securities Requirements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shall be under no obligation to effect the registration pursuant to the Securities Act of 1933 of any Shares to be issued hereunder or to effect similar compliance under any state laws. Notwithstanding anything herein to the contrary, the Company shall not be obligated to cause to be issued or delivered any certificates evidencing Shares pursuant to the Plan unless and until the Company is advised by its counsel that the issuance and delivery of such certificates is in compliance with all applicable laws, regulations of governmental authorities, and the requirements of any securities exchange on which Shares are traded. The Committee may require, as a condition of the issuance and delivery of certificates evidencing Shares pursuant to the terms hereof, that the recipient of such Shares make such covenants, agreements and representations, and that such certificates bear such legends, as the Committee, in its discretion, deems necessary or desirable.</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may, in its discretion, defer the effectiveness of any payment under an Incentive Award to allow the issuance of Shares to be made pursuant to registration or an exemption from registration or other methods for compliance available under federal or state securities laws. The Committee shall inform the Grantee in writing of its decision to defer the effectiveness of the exercise of an Incentive Award. During the period that the effectiveness of the exercise of an Incentive Award has been deferred, the Grantee may, by written notice to the Committee withdraw such exercise and obtain the refund of any amount paid with respect thereto.</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the Shares issuable on payment of an Incentive Award are not registered under the Securities Act of 1933, the Company may imprint on the certificate for such Shares the following legend or any other legend which counsel for the Company considers necessary or advisable to comply with the Securities Act of 1933:</w:t>
      </w:r>
    </w:p>
    <w:p>
      <w:pPr>
        <w:spacing w:after="0" w:line="59"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(“ACT”), OR THE SECURITIES LAWS OF ANY STATE. THE SECURITIES MAY NOT BE TRANSFERRED EXCEPT PURSUANT TO AN EFFECTIVE REGISTRATION STATEMENT UNDER SUCH ACT AND APPLICABLE STATE SECURITIES LAWS OR PURSUANT TO ANY APPLICABLE EXEMPTION FROM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REGISTRATION REQUIREMENTS OF SUCH ACT AND SUCH LAWS OR PURSUANT TO A WRITTEN OPINION OF COUNSEL REASONABLY SATISFACTORY TO THE COMPANY THAT SUCH REGISTRATION IS NOT REQUIRED.</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Transferability</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Incentive Awards granted under the Plan shall not be transferable or assignable other than: (a) by will or the laws of descent and distribution or (b) pursuant to a qualified domestic relations order (as defined under Code Section 414(p)); provided, however, only with respect to Incentive Awards consisting of Stock Options awarded to an Employee, the Committee may, in its discretion, authorize all or a portion of the Stock Options to be granted on terms which permit transfer by the Grantee to (i) the members of the Grantee’s Immediate Family, (ii) a trust or trusts for the exclusive benefit of Immediate Family members, (iii) a partnership in which such Immediate Family members are the only partners, or (iv) any other entity owned solely by Immediate Family members; provided that</w:t>
      </w:r>
    </w:p>
    <w:p>
      <w:pPr>
        <w:spacing w:after="0" w:line="2" w:lineRule="exact"/>
        <w:rPr>
          <w:sz w:val="20"/>
          <w:szCs w:val="20"/>
          <w:color w:val="auto"/>
        </w:rPr>
      </w:pPr>
    </w:p>
    <w:p>
      <w:pPr>
        <w:ind w:firstLine="8"/>
        <w:spacing w:after="0" w:line="288" w:lineRule="auto"/>
        <w:tabs>
          <w:tab w:leader="none" w:pos="288"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there may be no consideration for any such transfer, (B) the Incentive Agreement pursuant to which such Stock Options are granted must be approved by the Committee, and must expressly provide for transferability in a manner consistent with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(C) subsequent transfers of transferred Stock Options shall be prohibited except in accordance with clauses (a) and (b) (above) of this sentence, and (D) there may be no transfer of any Incentive Award in a listed transaction as described in IRS Notice 2003-47. Following any permitted transfer, the Stock Option shall continue to be subject to the same terms and conditions as were applicable immediately prior to transfer, provided that the term “Grantee” shall be deemed to refer to the transferee. The events of termination of employment, as set out in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and in the Incentive Agreement, shall continue to be applied with respect to the original Grantee, and the Incentive Award shall be exercisable by the transferee only to the extent, and for the periods, specified in the Incentive Agreement.</w:t>
      </w:r>
    </w:p>
    <w:p>
      <w:pPr>
        <w:spacing w:after="0" w:line="12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Except as may otherwise be permitted under the Code, in the event of a permitted transfer of a Stock Option hereunder, the original Grantee shall remain subject to withholding taxes upon exercise. In addition, the Company and the Committee shall have no obligation to provide any notices to any Grantee or transferee thereof, including, for example, notice of the expiration of an Incentive Award following the original Grantee’s termination of Employment.</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designation by a Grantee of a beneficiary of an Incentive Award shall not constitute transfer of the Incentive Award. No transfer by will or by the laws of descent and distribution shall be effective to bind the Company unless the Committee has been furnished with a copy of the deceased Grantee’s enforceable will or such other evidence as the Committee deems necessary to establish the validity of the transfer. Any attempted transfer in violation of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void and ineffective. All determinations under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made by the Committee.</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Rights as a Stockholder</w:t>
      </w:r>
    </w:p>
    <w:p>
      <w:pPr>
        <w:spacing w:after="0" w:line="90" w:lineRule="exact"/>
        <w:rPr>
          <w:sz w:val="20"/>
          <w:szCs w:val="20"/>
          <w:color w:val="auto"/>
        </w:rPr>
      </w:pPr>
    </w:p>
    <w:p>
      <w:pPr>
        <w:ind w:left="460" w:right="20" w:firstLine="881"/>
        <w:spacing w:after="0" w:line="262" w:lineRule="auto"/>
        <w:tabs>
          <w:tab w:leader="none" w:pos="1575"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color w:val="auto"/>
        </w:rPr>
        <w:t>. Except as otherwise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4.1(b)</w:t>
      </w:r>
      <w:r>
        <w:rPr>
          <w:rFonts w:ascii="Arial" w:cs="Arial" w:eastAsia="Arial" w:hAnsi="Arial"/>
          <w:sz w:val="18"/>
          <w:szCs w:val="18"/>
          <w:b w:val="1"/>
          <w:bCs w:val="1"/>
          <w:color w:val="auto"/>
        </w:rPr>
        <w:t xml:space="preserve"> </w:t>
      </w:r>
      <w:r>
        <w:rPr>
          <w:rFonts w:ascii="Arial" w:cs="Arial" w:eastAsia="Arial" w:hAnsi="Arial"/>
          <w:sz w:val="18"/>
          <w:szCs w:val="18"/>
          <w:color w:val="auto"/>
        </w:rPr>
        <w:t>for grants of Restricted Stock, a Grantee of an Incentive Award (or</w:t>
      </w:r>
      <w:r>
        <w:rPr>
          <w:rFonts w:ascii="Arial" w:cs="Arial" w:eastAsia="Arial" w:hAnsi="Arial"/>
          <w:sz w:val="18"/>
          <w:szCs w:val="18"/>
          <w:b w:val="1"/>
          <w:bCs w:val="1"/>
          <w:color w:val="auto"/>
        </w:rPr>
        <w:t xml:space="preserve"> </w:t>
      </w:r>
      <w:r>
        <w:rPr>
          <w:rFonts w:ascii="Arial" w:cs="Arial" w:eastAsia="Arial" w:hAnsi="Arial"/>
          <w:sz w:val="18"/>
          <w:szCs w:val="18"/>
          <w:color w:val="auto"/>
        </w:rPr>
        <w:t>a permitted transferee of such Grantee) shall have no rights as a stockholder with respect to any Shares of Common Stock until the issuance of a stock certificate or other record of ownership for such Shares.</w:t>
      </w:r>
    </w:p>
    <w:p>
      <w:pPr>
        <w:spacing w:after="0" w:line="51" w:lineRule="exact"/>
        <w:rPr>
          <w:rFonts w:ascii="Arial" w:cs="Arial" w:eastAsia="Arial" w:hAnsi="Arial"/>
          <w:sz w:val="18"/>
          <w:szCs w:val="18"/>
          <w:color w:val="auto"/>
        </w:rPr>
      </w:pPr>
    </w:p>
    <w:p>
      <w:pPr>
        <w:ind w:left="460" w:right="100" w:firstLine="881"/>
        <w:spacing w:after="0" w:line="339" w:lineRule="auto"/>
        <w:tabs>
          <w:tab w:leader="none" w:pos="1585" w:val="left"/>
        </w:tabs>
        <w:numPr>
          <w:ilvl w:val="0"/>
          <w:numId w:val="314"/>
        </w:numPr>
        <w:rPr>
          <w:rFonts w:ascii="Arial" w:cs="Arial" w:eastAsia="Arial" w:hAnsi="Arial"/>
          <w:sz w:val="15"/>
          <w:szCs w:val="15"/>
          <w:color w:val="auto"/>
        </w:rPr>
      </w:pPr>
      <w:r>
        <w:rPr>
          <w:rFonts w:ascii="Arial" w:cs="Arial" w:eastAsia="Arial" w:hAnsi="Arial"/>
          <w:sz w:val="15"/>
          <w:szCs w:val="15"/>
          <w:b w:val="1"/>
          <w:bCs w:val="1"/>
          <w:u w:val="single" w:color="auto"/>
          <w:color w:val="auto"/>
        </w:rPr>
        <w:t>Representation of Ownership</w:t>
      </w:r>
      <w:r>
        <w:rPr>
          <w:rFonts w:ascii="Arial" w:cs="Arial" w:eastAsia="Arial" w:hAnsi="Arial"/>
          <w:sz w:val="15"/>
          <w:szCs w:val="15"/>
          <w:color w:val="auto"/>
        </w:rPr>
        <w:t>. In the case of the exercise of an Incentive Award by a person or estate acquiring the right to exercise such</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 Award by reason of the death or Disability of a Grantee, the Committee may require reasonable evidence as to the ownership of such Incentive Award or the authority of such person. The Committee may also require such consents and releases of taxing authorities as it deems advisable.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Change in Stock and Adjustments</w:t>
      </w:r>
    </w:p>
    <w:p>
      <w:pPr>
        <w:spacing w:after="0" w:line="90" w:lineRule="exact"/>
        <w:rPr>
          <w:sz w:val="20"/>
          <w:szCs w:val="20"/>
          <w:color w:val="auto"/>
        </w:rPr>
      </w:pPr>
    </w:p>
    <w:p>
      <w:pPr>
        <w:ind w:left="460" w:right="60" w:firstLine="881"/>
        <w:spacing w:after="0" w:line="289" w:lineRule="auto"/>
        <w:tabs>
          <w:tab w:leader="none" w:pos="1575"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Law or Circumstances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(which only applies in the event of a Change in Control), in the event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applicable law or any change in circumstances which results in or would result in any dilution of the rights granted under the Plan, or which otherwise warrants an equitable adjustment because it interferes with the intended operation of the Plan, then, if the Board or Committee should so determine, in its absolute discretion, that such change equitably requires an adjustment in the number or kind of shares of stock or other securities or property theretofore subject, or which may become subject, to issuance or transfer under the Plan or in the terms and conditions of outstanding Incentive Awards, such adjustment shall be made in accordance with such determination. Such adjustments may include changes with respect to (i) the aggregate number of Shares that may be issued under the Plan, (ii) the number of Shares subject to Incentive Awards, and (iii) the price per Share for outstanding Incentive Awards, but shall not result in the grant of any Stock Option with an exercise price less than 100% of the Fair Market Value per Share on the date of grant. The Board or Committee shall give notice to each applicable Grantee of such adjustment which shall be effective and binding.</w:t>
      </w:r>
    </w:p>
    <w:p>
      <w:pPr>
        <w:spacing w:after="0" w:line="31" w:lineRule="exact"/>
        <w:rPr>
          <w:rFonts w:ascii="Arial" w:cs="Arial" w:eastAsia="Arial" w:hAnsi="Arial"/>
          <w:sz w:val="16"/>
          <w:szCs w:val="16"/>
          <w:color w:val="auto"/>
        </w:rPr>
      </w:pPr>
    </w:p>
    <w:p>
      <w:pPr>
        <w:ind w:left="460" w:right="60" w:firstLine="881"/>
        <w:spacing w:after="0" w:line="296" w:lineRule="auto"/>
        <w:tabs>
          <w:tab w:leader="none" w:pos="1585"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Corporate Powers</w:t>
      </w:r>
      <w:r>
        <w:rPr>
          <w:rFonts w:ascii="Arial" w:cs="Arial" w:eastAsia="Arial" w:hAnsi="Arial"/>
          <w:sz w:val="16"/>
          <w:szCs w:val="16"/>
          <w:color w:val="auto"/>
        </w:rPr>
        <w:t>. The existence of the Plan or outstanding Incentive Awards hereunder shall not affect in any way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or power of the Company or its stockholders to make or authorize any or all adjustments, recapitalization, reorganization or other changes in the Company’s capital structure or its business or any merger or consolidation of the Company, or any issue of bonds, debentures, preferred or prior preference stocks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26" w:lineRule="exact"/>
        <w:rPr>
          <w:rFonts w:ascii="Arial" w:cs="Arial" w:eastAsia="Arial" w:hAnsi="Arial"/>
          <w:sz w:val="16"/>
          <w:szCs w:val="16"/>
          <w:color w:val="auto"/>
        </w:rPr>
      </w:pPr>
    </w:p>
    <w:p>
      <w:pPr>
        <w:ind w:left="460" w:firstLine="881"/>
        <w:spacing w:after="0" w:line="289" w:lineRule="auto"/>
        <w:tabs>
          <w:tab w:leader="none" w:pos="1575"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Recapitalization of the Company</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(which only applies in the event of a Change in Control), if while there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Incentive Awards outstanding, the Company shall effect any subdivision or consolidation of Shares of Common Stock or other capital readjustment, the payment of a stock dividend, stock split, combination of Shares, recapitalization or other increase or reduction in the number of Shares outstanding, without receiving compensation therefor in money, services or property, then the number of Shares available under the Plan and the number of Incentive Awards which may thereafter be settled shall (i) in the event of an increase in the number of Shares outstanding, be proportionately increased and the Option Price or Fair Market Value of the Incentive Awards awarded shall be proportionately reduced; and (ii) in the event of a reduction in the number of Shares outstanding, be proportionately reduced, and the Option Price or Fair Market Value of the Incentive Awards awarded shall be proportionately increased. The Board or Committee shall take such action and whatever other action it deems appropriate, in its discretion, so that the value of each outstanding Incentive Award to the Grantee shall not be adversely affected by a corporate event described in this </w:t>
      </w:r>
      <w:r>
        <w:rPr>
          <w:rFonts w:ascii="Arial" w:cs="Arial" w:eastAsia="Arial" w:hAnsi="Arial"/>
          <w:sz w:val="16"/>
          <w:szCs w:val="16"/>
          <w:u w:val="single" w:color="auto"/>
          <w:color w:val="auto"/>
        </w:rPr>
        <w:t>Section 8.6(c)</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right="20" w:firstLine="881"/>
        <w:spacing w:after="0" w:line="293" w:lineRule="auto"/>
        <w:tabs>
          <w:tab w:leader="none" w:pos="1585"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Issue of Common Stock by the Company</w:t>
      </w:r>
      <w:r>
        <w:rPr>
          <w:rFonts w:ascii="Arial" w:cs="Arial" w:eastAsia="Arial" w:hAnsi="Arial"/>
          <w:sz w:val="16"/>
          <w:szCs w:val="16"/>
          <w:color w:val="auto"/>
        </w:rPr>
        <w:t>. Except as hereinabove expressly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8.6</w:t>
      </w:r>
      <w:r>
        <w:rPr>
          <w:rFonts w:ascii="Arial" w:cs="Arial" w:eastAsia="Arial" w:hAnsi="Arial"/>
          <w:sz w:val="16"/>
          <w:szCs w:val="16"/>
          <w:b w:val="1"/>
          <w:bCs w:val="1"/>
          <w:color w:val="auto"/>
        </w:rPr>
        <w:t xml:space="preserve"> </w:t>
      </w:r>
      <w:r>
        <w:rPr>
          <w:rFonts w:ascii="Arial" w:cs="Arial" w:eastAsia="Arial" w:hAnsi="Arial"/>
          <w:sz w:val="16"/>
          <w:szCs w:val="16"/>
          <w:color w:val="auto"/>
        </w:rPr>
        <w:t>and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 Change in Control, the issue by the Company of shares of stock of any class, or securities convertible into shares of stock of any class, for cash or property, or for labor or services, either upon direct sale or upon the exercise of rights or warrants to subscribe therefor, or upon any conversion of shares or obligations of the Company convertible into such shares or other securities, shall not affect, and no adjustment by reason thereof shall be made with respect to, the number of, Option Price or Fair Market Value of, any Incentive Awards then outstanding under previously granted Incentive Awards; provided, however, in such event, outstanding Shares of Restricted Stock shall be treated the same as outstanding unrestricted Shares of Common Stock.</w:t>
      </w:r>
    </w:p>
    <w:p>
      <w:pPr>
        <w:spacing w:after="0" w:line="29" w:lineRule="exact"/>
        <w:rPr>
          <w:rFonts w:ascii="Arial" w:cs="Arial" w:eastAsia="Arial" w:hAnsi="Arial"/>
          <w:sz w:val="16"/>
          <w:szCs w:val="16"/>
          <w:color w:val="auto"/>
        </w:rPr>
      </w:pPr>
    </w:p>
    <w:p>
      <w:pPr>
        <w:ind w:left="460" w:right="20" w:firstLine="881"/>
        <w:spacing w:after="0" w:line="256" w:lineRule="auto"/>
        <w:tabs>
          <w:tab w:leader="none" w:pos="1575"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Assumption under the Plan of Outstanding Stock Options</w:t>
      </w:r>
      <w:r>
        <w:rPr>
          <w:rFonts w:ascii="Arial" w:cs="Arial" w:eastAsia="Arial" w:hAnsi="Arial"/>
          <w:sz w:val="18"/>
          <w:szCs w:val="18"/>
          <w:color w:val="auto"/>
        </w:rPr>
        <w:t>. Notwithstanding any other provision of the Plan, the Board or Committee, in</w:t>
      </w:r>
      <w:r>
        <w:rPr>
          <w:rFonts w:ascii="Arial" w:cs="Arial" w:eastAsia="Arial" w:hAnsi="Arial"/>
          <w:sz w:val="18"/>
          <w:szCs w:val="18"/>
          <w:b w:val="1"/>
          <w:bCs w:val="1"/>
          <w:color w:val="auto"/>
        </w:rPr>
        <w:t xml:space="preserve"> </w:t>
      </w:r>
      <w:r>
        <w:rPr>
          <w:rFonts w:ascii="Arial" w:cs="Arial" w:eastAsia="Arial" w:hAnsi="Arial"/>
          <w:sz w:val="18"/>
          <w:szCs w:val="18"/>
          <w:color w:val="auto"/>
        </w:rPr>
        <w:t>its discretion, may authorize the assumption and continuation under the Plan of outstanding and unexercised stock options or other types of stock-based incentive awards that were granted under a stock option plan (or other type of stock incentive plan or agreement) that is or was maintained by a corporation or other entity that was merged into, consolidated with, or whose stock or assets were acquired by, the Company as the surviving corporation. Any such action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 xml:space="preserve">shall be upon such terms and conditions as the Board or Committee, in its discretion, may deem appropriate, including provisions to preserve the holder’s rights under the previously granted and unexercised stock option or other stock-based incentive award; such as, for example, retaining an existing exercise price under an outstanding stock option. Any such assumption and continuation of any such previously granted and unexercised incentive award shall be treated as an outstanding Incentive Award under the Plan and shall thus count against the number of Shares reserved for issuance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In addition, any Shares issued by the Company through the assumption or substitution of outstanding grants from an acquired company shall reduce the Shares available for grants under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if not prohibited by any applicable rule or regulation and after obtaining any required shareholder approval, shall likewise increase the number of Shares available for Incentive Awards.</w:t>
      </w:r>
    </w:p>
    <w:p>
      <w:pPr>
        <w:spacing w:after="0" w:line="31" w:lineRule="exact"/>
        <w:rPr>
          <w:sz w:val="20"/>
          <w:szCs w:val="20"/>
          <w:color w:val="auto"/>
        </w:rPr>
      </w:pPr>
    </w:p>
    <w:p>
      <w:pPr>
        <w:ind w:left="460" w:right="60" w:firstLine="881"/>
        <w:spacing w:after="0" w:line="288" w:lineRule="auto"/>
        <w:tabs>
          <w:tab w:leader="none" w:pos="1556" w:val="left"/>
        </w:tabs>
        <w:numPr>
          <w:ilvl w:val="0"/>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t>Assumption of Incentive Awards by a Successor</w:t>
      </w:r>
      <w:r>
        <w:rPr>
          <w:rFonts w:ascii="Arial" w:cs="Arial" w:eastAsia="Arial" w:hAnsi="Arial"/>
          <w:sz w:val="16"/>
          <w:szCs w:val="16"/>
          <w:color w:val="auto"/>
        </w:rPr>
        <w:t>. Subject to the accelerated vesting and other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that apply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 Change in Control, in the event of a Corporate Event (defined below), each Grantee shall be entitled to receive, in lieu of the number of Shares subject to Incentive Awards, such shares of capital stock or other securities or property as may be issuable or payable with respect to or in exchange for the number of Shares which Grantee would have received had he been entitled to exercise Shares subject to the Award immediately prior to such Corporate Event, together with any conforming adjustments. For this purpose, Shares of Restricted Stock shall be treated the same as unrestricted outstanding Shares of Common Stock. A “Corporate Event” means any of the following: (i) a dissolution or liquidation of the Company, (ii) a sale of all or substantially all of the Company’s assets, or (iii) a merger, consolidation or combination involving the Company (other than a merger, consolidation or combination (A) in which the Company is the continuing or surviving corporation and (B) which does not result in the outstanding Shares being converted into or exchanged for different securities, cash or other property, or any combination thereof). The Board or Committee shall take whatever other action it deems appropriate to preserve the rights of Grantees holding outstanding Incentive Awards.</w:t>
      </w:r>
    </w:p>
    <w:p>
      <w:pPr>
        <w:spacing w:after="0" w:line="40"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color w:val="auto"/>
        </w:rPr>
        <w:t xml:space="preserve">Notwithstanding the previous paragraph of this </w:t>
      </w:r>
      <w:r>
        <w:rPr>
          <w:rFonts w:ascii="Arial" w:cs="Arial" w:eastAsia="Arial" w:hAnsi="Arial"/>
          <w:sz w:val="18"/>
          <w:szCs w:val="18"/>
          <w:u w:val="single" w:color="auto"/>
          <w:color w:val="auto"/>
        </w:rPr>
        <w:t>Section 8.6(f)</w:t>
      </w:r>
      <w:r>
        <w:rPr>
          <w:rFonts w:ascii="Arial" w:cs="Arial" w:eastAsia="Arial" w:hAnsi="Arial"/>
          <w:sz w:val="18"/>
          <w:szCs w:val="18"/>
          <w:color w:val="auto"/>
        </w:rPr>
        <w:t xml:space="preserve">, but subject to any accelerated vesting or other provisions of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or the Incentive Agreement that apply in the event of a Change in Control, in the event of a Corporate Event (described in the previous paragraph), the Board or Committee, in its discretion, shall have the right and power to:</w:t>
      </w:r>
    </w:p>
    <w:p>
      <w:pPr>
        <w:spacing w:after="0" w:line="59" w:lineRule="exact"/>
        <w:rPr>
          <w:sz w:val="20"/>
          <w:szCs w:val="20"/>
          <w:color w:val="auto"/>
        </w:rPr>
      </w:pPr>
    </w:p>
    <w:p>
      <w:pPr>
        <w:ind w:left="920" w:right="120" w:firstLine="421"/>
        <w:spacing w:after="0" w:line="303" w:lineRule="auto"/>
        <w:tabs>
          <w:tab w:leader="none" w:pos="1549" w:val="left"/>
        </w:tabs>
        <w:numPr>
          <w:ilvl w:val="1"/>
          <w:numId w:val="317"/>
        </w:numPr>
        <w:rPr>
          <w:rFonts w:ascii="Arial" w:cs="Arial" w:eastAsia="Arial" w:hAnsi="Arial"/>
          <w:sz w:val="15"/>
          <w:szCs w:val="15"/>
          <w:color w:val="auto"/>
        </w:rPr>
      </w:pPr>
      <w:r>
        <w:rPr>
          <w:rFonts w:ascii="Arial" w:cs="Arial" w:eastAsia="Arial" w:hAnsi="Arial"/>
          <w:sz w:val="15"/>
          <w:szCs w:val="15"/>
          <w:color w:val="auto"/>
        </w:rPr>
        <w:t>cancel, effective immediately prior to the occurrence of the Corporate Event, each outstanding Incentive Award (whether or not then exercisable) and, in full consideration of such cancellation, pay to the Grantee an amount in cash equal to the excess of (A) the value, as determined by the Board or Committee, of the property (including cash) received by the holders of Common Stock as a result of such Corporate Event over</w:t>
      </w:r>
    </w:p>
    <w:p>
      <w:pPr>
        <w:spacing w:after="0" w:line="1" w:lineRule="exact"/>
        <w:rPr>
          <w:rFonts w:ascii="Arial" w:cs="Arial" w:eastAsia="Arial" w:hAnsi="Arial"/>
          <w:sz w:val="15"/>
          <w:szCs w:val="15"/>
          <w:color w:val="auto"/>
        </w:rPr>
      </w:pPr>
    </w:p>
    <w:p>
      <w:pPr>
        <w:ind w:left="920" w:right="120" w:firstLine="1"/>
        <w:spacing w:after="0" w:line="295" w:lineRule="auto"/>
        <w:tabs>
          <w:tab w:leader="none" w:pos="1198"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exercise price of such Incentive Award, if any; provided, however, this subsection (i) shall be inapplicable to an Incentive Award granted within six (6) months before the occurrence of the Corporate Event if the Grantee is an Insider and such disposition is not exempt under Rule 16b-3 (or other rules preventing liability of the Insider under Section 16(b) of the Exchange Act) and, in that event, the provisions hereof shall be applicable to such Incentive Award after the expiration of six (6) months from the date of grant; or</w:t>
      </w:r>
    </w:p>
    <w:p>
      <w:pPr>
        <w:spacing w:after="0" w:line="34" w:lineRule="exact"/>
        <w:rPr>
          <w:rFonts w:ascii="Arial" w:cs="Arial" w:eastAsia="Arial" w:hAnsi="Arial"/>
          <w:sz w:val="16"/>
          <w:szCs w:val="16"/>
          <w:color w:val="auto"/>
        </w:rPr>
      </w:pPr>
    </w:p>
    <w:p>
      <w:pPr>
        <w:ind w:left="920" w:right="220" w:firstLine="421"/>
        <w:spacing w:after="0" w:line="298" w:lineRule="auto"/>
        <w:tabs>
          <w:tab w:leader="none" w:pos="1598" w:val="left"/>
        </w:tabs>
        <w:numPr>
          <w:ilvl w:val="1"/>
          <w:numId w:val="318"/>
        </w:numPr>
        <w:rPr>
          <w:rFonts w:ascii="Arial" w:cs="Arial" w:eastAsia="Arial" w:hAnsi="Arial"/>
          <w:sz w:val="16"/>
          <w:szCs w:val="16"/>
          <w:color w:val="auto"/>
        </w:rPr>
      </w:pPr>
      <w:r>
        <w:rPr>
          <w:rFonts w:ascii="Arial" w:cs="Arial" w:eastAsia="Arial" w:hAnsi="Arial"/>
          <w:sz w:val="16"/>
          <w:szCs w:val="16"/>
          <w:color w:val="auto"/>
        </w:rPr>
        <w:t>provide for the exchange or substitution of each Incentive Award outstanding immediately prior to such Corporate Event (whether or not then exercisable) for another award with respect to the Common Stock or other property for which such Incentive Award is exchangeable and, incident thereto, make an equitable adjustment as determined by the Board or Committee, in its discretion, in the Option Price or exercise price of the Incentive Award, if any, or in the number of Shares or amount of property (including cash) subject to the Incentive Award; or</w:t>
      </w:r>
    </w:p>
    <w:p>
      <w:pPr>
        <w:spacing w:after="0" w:line="31" w:lineRule="exact"/>
        <w:rPr>
          <w:rFonts w:ascii="Arial" w:cs="Arial" w:eastAsia="Arial" w:hAnsi="Arial"/>
          <w:sz w:val="16"/>
          <w:szCs w:val="16"/>
          <w:color w:val="auto"/>
        </w:rPr>
      </w:pPr>
    </w:p>
    <w:p>
      <w:pPr>
        <w:ind w:left="1640" w:hanging="299"/>
        <w:spacing w:after="0"/>
        <w:tabs>
          <w:tab w:leader="none" w:pos="16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provide for assumption of the Plan and such outstanding Incentive Awards by the surviving entity or its parent.</w:t>
      </w:r>
    </w:p>
    <w:p>
      <w:pPr>
        <w:spacing w:after="0" w:line="90"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 xml:space="preserve">The Board or Committee, in its discretion, shall have the authority to take whatever action it deems to be necessary or appropriate to effectuate the provisions of this </w:t>
      </w:r>
      <w:r>
        <w:rPr>
          <w:rFonts w:ascii="Arial" w:cs="Arial" w:eastAsia="Arial" w:hAnsi="Arial"/>
          <w:sz w:val="18"/>
          <w:szCs w:val="18"/>
          <w:u w:val="single" w:color="auto"/>
          <w:color w:val="auto"/>
        </w:rPr>
        <w:t>Section 8.6(f)</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Termination of Employment or Directorship, Death, Disability and Retirement</w:t>
      </w:r>
    </w:p>
    <w:p>
      <w:pPr>
        <w:spacing w:after="0" w:line="90" w:lineRule="exact"/>
        <w:rPr>
          <w:sz w:val="20"/>
          <w:szCs w:val="20"/>
          <w:color w:val="auto"/>
        </w:rPr>
      </w:pPr>
    </w:p>
    <w:p>
      <w:pPr>
        <w:ind w:left="460" w:firstLine="881"/>
        <w:spacing w:after="0" w:line="284" w:lineRule="auto"/>
        <w:tabs>
          <w:tab w:leader="none" w:pos="1575" w:val="left"/>
        </w:tabs>
        <w:numPr>
          <w:ilvl w:val="1"/>
          <w:numId w:val="31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Employmen</w:t>
      </w:r>
      <w:r>
        <w:rPr>
          <w:rFonts w:ascii="Arial" w:cs="Arial" w:eastAsia="Arial" w:hAnsi="Arial"/>
          <w:sz w:val="16"/>
          <w:szCs w:val="16"/>
          <w:color w:val="auto"/>
        </w:rPr>
        <w:t>t. Unless otherwise expressly provided in the Grantee’s Incentive Agreement with respect to a Grantee who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Employee, if the Grantee’s Employment is terminated (i) involuntarily by the Company without Cause or (ii) for any other reason except due to his death, Disability, Retirement, for Cause, or his voluntary resignation, as subject to the following provisions of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then any non-vested portion of any Stock Option or other Incentive Award at the time of such termination shall automatically expire and terminate and no further vesting shall occur after the termination date unless the Committee, in its discretion, provides for an extension of exercisability or other modification pursuant to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8.7(g)</w:t>
      </w:r>
      <w:r>
        <w:rPr>
          <w:rFonts w:ascii="Arial" w:cs="Arial" w:eastAsia="Arial" w:hAnsi="Arial"/>
          <w:sz w:val="16"/>
          <w:szCs w:val="16"/>
          <w:color w:val="auto"/>
        </w:rPr>
        <w:t>. In such event, except as otherwise expressly provided in his Incentive Agreement or as determined by the Committee in its discretion, the Grantee shall be entitled to exercise his rights only with respect to the vested portion of the Incentive Award for a period that shall end on the earlier of</w:t>
      </w:r>
    </w:p>
    <w:p>
      <w:pPr>
        <w:ind w:left="680" w:hanging="216"/>
        <w:spacing w:after="0"/>
        <w:tabs>
          <w:tab w:leader="none" w:pos="6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expiration date set forth in the Incentive Agreement or (ii) one (1) year after the date of his termination of Employment.</w:t>
      </w:r>
    </w:p>
    <w:p>
      <w:pPr>
        <w:spacing w:after="0" w:line="77" w:lineRule="exact"/>
        <w:rPr>
          <w:rFonts w:ascii="Arial" w:cs="Arial" w:eastAsia="Arial" w:hAnsi="Arial"/>
          <w:sz w:val="18"/>
          <w:szCs w:val="18"/>
          <w:color w:val="auto"/>
        </w:rPr>
      </w:pPr>
    </w:p>
    <w:p>
      <w:pPr>
        <w:ind w:left="460" w:right="220" w:firstLine="881"/>
        <w:spacing w:after="0" w:line="262" w:lineRule="auto"/>
        <w:tabs>
          <w:tab w:leader="none" w:pos="1585" w:val="left"/>
        </w:tabs>
        <w:numPr>
          <w:ilvl w:val="1"/>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With respect to a Grantee who is an Outside Director, unless otherwise specifically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Grantee’s Incentive Agreement, and except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 upon a Grantee’s Termination of Directorship, all outstanding Awards that are not vested as of such Termination of Directorship will be forfeited.</w:t>
      </w:r>
    </w:p>
    <w:p>
      <w:pPr>
        <w:spacing w:after="0" w:line="51" w:lineRule="exact"/>
        <w:rPr>
          <w:rFonts w:ascii="Arial" w:cs="Arial" w:eastAsia="Arial" w:hAnsi="Arial"/>
          <w:sz w:val="18"/>
          <w:szCs w:val="18"/>
          <w:color w:val="auto"/>
        </w:rPr>
      </w:pPr>
    </w:p>
    <w:p>
      <w:pPr>
        <w:ind w:left="460" w:right="160" w:firstLine="881"/>
        <w:spacing w:after="0" w:line="338" w:lineRule="auto"/>
        <w:tabs>
          <w:tab w:leader="none" w:pos="1575" w:val="left"/>
        </w:tabs>
        <w:numPr>
          <w:ilvl w:val="1"/>
          <w:numId w:val="320"/>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Employment for Cause</w:t>
      </w:r>
      <w:r>
        <w:rPr>
          <w:rFonts w:ascii="Arial" w:cs="Arial" w:eastAsia="Arial" w:hAnsi="Arial"/>
          <w:sz w:val="15"/>
          <w:szCs w:val="15"/>
          <w:color w:val="auto"/>
        </w:rPr>
        <w:t>. Unless otherwise expressly provided in the Grantee’s Incentive Agreement with respect to a</w:t>
      </w:r>
      <w:r>
        <w:rPr>
          <w:rFonts w:ascii="Arial" w:cs="Arial" w:eastAsia="Arial" w:hAnsi="Arial"/>
          <w:sz w:val="15"/>
          <w:szCs w:val="15"/>
          <w:b w:val="1"/>
          <w:bCs w:val="1"/>
          <w:color w:val="auto"/>
        </w:rPr>
        <w:t xml:space="preserve"> </w:t>
      </w:r>
      <w:r>
        <w:rPr>
          <w:rFonts w:ascii="Arial" w:cs="Arial" w:eastAsia="Arial" w:hAnsi="Arial"/>
          <w:sz w:val="15"/>
          <w:szCs w:val="15"/>
          <w:color w:val="auto"/>
        </w:rPr>
        <w:t>Grantee who is an Employee, in the event of termination of the Grantee’s Employment for Cause, all vested and non-vested Incentive Awards granted to such Grantee shall immediately expire, and shall not be exercisable to any extent, as of 12:01 a.m. (CST) on the date of such termination of Employment.</w:t>
      </w:r>
    </w:p>
    <w:p>
      <w:pPr>
        <w:ind w:left="460" w:right="240" w:firstLine="881"/>
        <w:spacing w:after="0" w:line="361" w:lineRule="auto"/>
        <w:tabs>
          <w:tab w:leader="none" w:pos="1585" w:val="left"/>
        </w:tabs>
        <w:numPr>
          <w:ilvl w:val="1"/>
          <w:numId w:val="320"/>
        </w:numPr>
        <w:rPr>
          <w:rFonts w:ascii="Arial" w:cs="Arial" w:eastAsia="Arial" w:hAnsi="Arial"/>
          <w:sz w:val="15"/>
          <w:szCs w:val="15"/>
          <w:color w:val="auto"/>
        </w:rPr>
      </w:pPr>
      <w:r>
        <w:rPr>
          <w:rFonts w:ascii="Arial" w:cs="Arial" w:eastAsia="Arial" w:hAnsi="Arial"/>
          <w:sz w:val="15"/>
          <w:szCs w:val="15"/>
          <w:b w:val="1"/>
          <w:bCs w:val="1"/>
          <w:u w:val="single" w:color="auto"/>
          <w:color w:val="auto"/>
        </w:rPr>
        <w:t>Voluntary Resignation</w:t>
      </w:r>
      <w:r>
        <w:rPr>
          <w:rFonts w:ascii="Arial" w:cs="Arial" w:eastAsia="Arial" w:hAnsi="Arial"/>
          <w:sz w:val="15"/>
          <w:szCs w:val="15"/>
          <w:color w:val="auto"/>
        </w:rPr>
        <w:t>. Unless otherwise expressly provided in the Grantee’s Incentive Agreement, with respect to a Grantee who is an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in the event of termination of the Grantee’s Employment due to his voluntary resignation except resulting from his Disability or Retirement:</w:t>
      </w:r>
    </w:p>
    <w:p>
      <w:pPr>
        <w:ind w:left="1560" w:hanging="219"/>
        <w:spacing w:after="0"/>
        <w:tabs>
          <w:tab w:leader="none" w:pos="15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any non-vested portion of any outstanding Incentive Award shall immediately terminate and no further vesting shall occur; and</w:t>
      </w:r>
    </w:p>
    <w:p>
      <w:pPr>
        <w:spacing w:after="0" w:line="113" w:lineRule="exact"/>
        <w:rPr>
          <w:rFonts w:ascii="Arial" w:cs="Arial" w:eastAsia="Arial" w:hAnsi="Arial"/>
          <w:sz w:val="16"/>
          <w:szCs w:val="16"/>
          <w:color w:val="auto"/>
        </w:rPr>
      </w:pPr>
    </w:p>
    <w:p>
      <w:pPr>
        <w:ind w:left="920" w:right="320" w:firstLine="421"/>
        <w:spacing w:after="0" w:line="268" w:lineRule="auto"/>
        <w:tabs>
          <w:tab w:leader="none" w:pos="159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ninety (90) days after the date of his termination of Employment.</w:t>
      </w:r>
    </w:p>
    <w:p>
      <w:pPr>
        <w:spacing w:after="0" w:line="45" w:lineRule="exact"/>
        <w:rPr>
          <w:sz w:val="20"/>
          <w:szCs w:val="20"/>
          <w:color w:val="auto"/>
        </w:rPr>
      </w:pPr>
    </w:p>
    <w:p>
      <w:pPr>
        <w:ind w:left="460" w:right="300" w:firstLine="881"/>
        <w:spacing w:after="0" w:line="275" w:lineRule="auto"/>
        <w:tabs>
          <w:tab w:leader="none" w:pos="1575"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color w:val="auto"/>
        </w:rPr>
        <w:t>. Unless otherwise expressly provided in the Grantee’s Incentive Agreement, with respect to a Grantee who is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termination of Employment due to Retirement:</w:t>
      </w:r>
    </w:p>
    <w:p>
      <w:pPr>
        <w:spacing w:after="0" w:line="45" w:lineRule="exact"/>
        <w:rPr>
          <w:sz w:val="20"/>
          <w:szCs w:val="20"/>
          <w:color w:val="auto"/>
        </w:rPr>
      </w:pPr>
    </w:p>
    <w:p>
      <w:pPr>
        <w:ind w:left="1560" w:hanging="219"/>
        <w:spacing w:after="0"/>
        <w:tabs>
          <w:tab w:leader="none" w:pos="15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any non-vested portion of any outstanding Incentive Award shall immediately terminate and no further vesting shall occur; and</w:t>
      </w:r>
    </w:p>
    <w:p>
      <w:pPr>
        <w:spacing w:after="0" w:line="113" w:lineRule="exact"/>
        <w:rPr>
          <w:rFonts w:ascii="Arial" w:cs="Arial" w:eastAsia="Arial" w:hAnsi="Arial"/>
          <w:sz w:val="16"/>
          <w:szCs w:val="16"/>
          <w:color w:val="auto"/>
        </w:rPr>
      </w:pPr>
    </w:p>
    <w:p>
      <w:pPr>
        <w:ind w:left="920" w:right="340" w:firstLine="421"/>
        <w:spacing w:after="0" w:line="268" w:lineRule="auto"/>
        <w:tabs>
          <w:tab w:leader="none" w:pos="159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three (3) years after the date of his termination of Employment.</w:t>
      </w:r>
    </w:p>
    <w:p>
      <w:pPr>
        <w:spacing w:after="0" w:line="45" w:lineRule="exact"/>
        <w:rPr>
          <w:sz w:val="20"/>
          <w:szCs w:val="20"/>
          <w:color w:val="auto"/>
        </w:rPr>
      </w:pPr>
    </w:p>
    <w:p>
      <w:pPr>
        <w:ind w:left="460" w:right="540" w:firstLine="881"/>
        <w:spacing w:after="0" w:line="275" w:lineRule="auto"/>
        <w:tabs>
          <w:tab w:leader="none" w:pos="1556"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 or Death</w:t>
      </w:r>
      <w:r>
        <w:rPr>
          <w:rFonts w:ascii="Arial" w:cs="Arial" w:eastAsia="Arial" w:hAnsi="Arial"/>
          <w:sz w:val="18"/>
          <w:szCs w:val="18"/>
          <w:color w:val="auto"/>
        </w:rPr>
        <w:t>. Unless otherwise expressly provided in the Grantee’s Incentive Agreement, with respect to a Grantee who is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upon termination of Employment as a result of the Grantee’s Disability or death:</w:t>
      </w:r>
    </w:p>
    <w:p>
      <w:pPr>
        <w:spacing w:after="0" w:line="126" w:lineRule="exact"/>
        <w:rPr>
          <w:sz w:val="20"/>
          <w:szCs w:val="20"/>
          <w:color w:val="auto"/>
        </w:rPr>
      </w:pPr>
    </w:p>
    <w:p>
      <w:pPr>
        <w:ind w:left="920" w:right="260" w:firstLine="421"/>
        <w:spacing w:after="0" w:line="268" w:lineRule="auto"/>
        <w:tabs>
          <w:tab w:leader="none" w:pos="154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non-vested portion of any outstanding Incentive Award shall immediately terminate upon termination of Employment and no further vesting shall occur; and</w:t>
      </w:r>
    </w:p>
    <w:p>
      <w:pPr>
        <w:spacing w:after="0" w:line="50" w:lineRule="exact"/>
        <w:rPr>
          <w:rFonts w:ascii="Arial" w:cs="Arial" w:eastAsia="Arial" w:hAnsi="Arial"/>
          <w:sz w:val="18"/>
          <w:szCs w:val="18"/>
          <w:color w:val="auto"/>
        </w:rPr>
      </w:pPr>
    </w:p>
    <w:p>
      <w:pPr>
        <w:ind w:left="920" w:right="320" w:firstLine="421"/>
        <w:spacing w:after="0" w:line="268" w:lineRule="auto"/>
        <w:tabs>
          <w:tab w:leader="none" w:pos="159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three (3) years after the date of his termination of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 xml:space="preserve">In the event that the Grantee dies or becomes permanently and totally disabled as determined by the Committee within the one-year period specified in </w:t>
      </w:r>
      <w:r>
        <w:rPr>
          <w:rFonts w:ascii="Arial" w:cs="Arial" w:eastAsia="Arial" w:hAnsi="Arial"/>
          <w:sz w:val="18"/>
          <w:szCs w:val="18"/>
          <w:u w:val="single" w:color="auto"/>
          <w:color w:val="auto"/>
        </w:rPr>
        <w:t>Section 8.7(a)</w:t>
      </w:r>
      <w:r>
        <w:rPr>
          <w:rFonts w:ascii="Arial" w:cs="Arial" w:eastAsia="Arial" w:hAnsi="Arial"/>
          <w:sz w:val="18"/>
          <w:szCs w:val="18"/>
          <w:color w:val="auto"/>
        </w:rPr>
        <w:t xml:space="preserve"> (above), then notwithstanding </w:t>
      </w:r>
      <w:r>
        <w:rPr>
          <w:rFonts w:ascii="Arial" w:cs="Arial" w:eastAsia="Arial" w:hAnsi="Arial"/>
          <w:sz w:val="18"/>
          <w:szCs w:val="18"/>
          <w:u w:val="single" w:color="auto"/>
          <w:color w:val="auto"/>
        </w:rPr>
        <w:t>Section 8.7(a)</w:t>
      </w:r>
      <w:r>
        <w:rPr>
          <w:rFonts w:ascii="Arial" w:cs="Arial" w:eastAsia="Arial" w:hAnsi="Arial"/>
          <w:sz w:val="18"/>
          <w:szCs w:val="18"/>
          <w:color w:val="auto"/>
        </w:rPr>
        <w:t>, the Incentive Award shall expire on the earlier of (A) the expiration date set forth in the Incentive Agreement for such Incentive Award or (B) the expiration of one (1) year after the date of his death or the date he is determined to be permanently and totally disabled as such date is determined by the Committee.</w:t>
      </w:r>
    </w:p>
    <w:p>
      <w:pPr>
        <w:spacing w:after="0" w:line="62" w:lineRule="exact"/>
        <w:rPr>
          <w:sz w:val="20"/>
          <w:szCs w:val="20"/>
          <w:color w:val="auto"/>
        </w:rPr>
      </w:pPr>
    </w:p>
    <w:p>
      <w:pPr>
        <w:ind w:left="460" w:firstLine="438"/>
        <w:spacing w:after="0" w:line="284" w:lineRule="auto"/>
        <w:rPr>
          <w:sz w:val="20"/>
          <w:szCs w:val="20"/>
          <w:color w:val="auto"/>
        </w:rPr>
      </w:pPr>
      <w:r>
        <w:rPr>
          <w:rFonts w:ascii="Arial" w:cs="Arial" w:eastAsia="Arial" w:hAnsi="Arial"/>
          <w:sz w:val="16"/>
          <w:szCs w:val="16"/>
          <w:color w:val="auto"/>
        </w:rPr>
        <w:t xml:space="preserve">In the event that the Grantee dies or becomes permanently and totally disabled as determined by the Committee within the three-year period specified in </w:t>
      </w:r>
      <w:r>
        <w:rPr>
          <w:rFonts w:ascii="Arial" w:cs="Arial" w:eastAsia="Arial" w:hAnsi="Arial"/>
          <w:sz w:val="16"/>
          <w:szCs w:val="16"/>
          <w:u w:val="single" w:color="auto"/>
          <w:color w:val="auto"/>
        </w:rPr>
        <w:t>Section 8.7(e)</w:t>
      </w:r>
      <w:r>
        <w:rPr>
          <w:rFonts w:ascii="Arial" w:cs="Arial" w:eastAsia="Arial" w:hAnsi="Arial"/>
          <w:sz w:val="16"/>
          <w:szCs w:val="16"/>
          <w:color w:val="auto"/>
        </w:rPr>
        <w:t xml:space="preserve"> (above), then notwithstanding </w:t>
      </w:r>
      <w:r>
        <w:rPr>
          <w:rFonts w:ascii="Arial" w:cs="Arial" w:eastAsia="Arial" w:hAnsi="Arial"/>
          <w:sz w:val="16"/>
          <w:szCs w:val="16"/>
          <w:u w:val="single" w:color="auto"/>
          <w:color w:val="auto"/>
        </w:rPr>
        <w:t>Section 8.7(e)</w:t>
      </w:r>
      <w:r>
        <w:rPr>
          <w:rFonts w:ascii="Arial" w:cs="Arial" w:eastAsia="Arial" w:hAnsi="Arial"/>
          <w:sz w:val="16"/>
          <w:szCs w:val="16"/>
          <w:color w:val="auto"/>
        </w:rPr>
        <w:t>, the Incentive Award shall expire on the earlier of: (A) the expiration date set forth in the Incentive Agreement for such Incentive Award or (B) the later of either (i) the expiration of three (3) years after the date of his Retirement or (ii) one</w:t>
      </w:r>
    </w:p>
    <w:p>
      <w:pPr>
        <w:spacing w:after="0" w:line="1" w:lineRule="exact"/>
        <w:rPr>
          <w:sz w:val="20"/>
          <w:szCs w:val="20"/>
          <w:color w:val="auto"/>
        </w:rPr>
      </w:pPr>
    </w:p>
    <w:p>
      <w:pPr>
        <w:ind w:left="720" w:hanging="256"/>
        <w:spacing w:after="0"/>
        <w:tabs>
          <w:tab w:leader="none" w:pos="72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year from the date of his death or the date he is determined to be permanently and totally disabled as such date is determined by the Committee.</w:t>
      </w:r>
    </w:p>
    <w:p>
      <w:pPr>
        <w:spacing w:after="0" w:line="100" w:lineRule="exact"/>
        <w:rPr>
          <w:rFonts w:ascii="Arial" w:cs="Arial" w:eastAsia="Arial" w:hAnsi="Arial"/>
          <w:sz w:val="16"/>
          <w:szCs w:val="16"/>
          <w:color w:val="auto"/>
        </w:rPr>
      </w:pPr>
    </w:p>
    <w:p>
      <w:pPr>
        <w:ind w:left="460" w:right="20" w:firstLine="881"/>
        <w:spacing w:after="0" w:line="293" w:lineRule="auto"/>
        <w:tabs>
          <w:tab w:leader="none" w:pos="1585" w:val="left"/>
        </w:tabs>
        <w:numPr>
          <w:ilvl w:val="1"/>
          <w:numId w:val="326"/>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Continuation</w:t>
      </w:r>
      <w:r>
        <w:rPr>
          <w:rFonts w:ascii="Arial" w:cs="Arial" w:eastAsia="Arial" w:hAnsi="Arial"/>
          <w:sz w:val="16"/>
          <w:szCs w:val="16"/>
          <w:color w:val="auto"/>
        </w:rPr>
        <w:t>. Subject to the conditions and limitations of the Plan and applicable law and regulation, with respect to a Grantee who is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in the event that the Grantee ceases to be an Employee, the Committee and Grantee, in their discretion, may mutually agree with respect to any outstanding Incentive Award then held by the Grantee (i) for an acceleration or other adjustment in any vesting schedule applicable to the Incentive Award; (ii) for a continuation of the exercise period following termination for a longer period than is otherwise provided under such Incentive Award; or (iii) to any other change in the terms and conditions of the Incentive Award. In the event of any such change to an outstanding Incentive Award, a written amendment to the Grantee’s Incentive Agreement shall be required.</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Change in 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any contrary provision in the Plan, with respect to a Grantee who is an Employee, in the event of a Change in Control (as defined below),</w:t>
      </w:r>
    </w:p>
    <w:p>
      <w:pPr>
        <w:spacing w:after="0" w:line="38"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then for each Incentive Award issued prior to</w:t>
      </w:r>
      <w:r>
        <w:rPr>
          <w:sz w:val="20"/>
          <w:szCs w:val="20"/>
          <w:color w:val="auto"/>
        </w:rPr>
        <w:tab/>
      </w:r>
      <w:r>
        <w:rPr>
          <w:rFonts w:ascii="Arial" w:cs="Arial" w:eastAsia="Arial" w:hAnsi="Arial"/>
          <w:sz w:val="16"/>
          <w:szCs w:val="16"/>
          <w:color w:val="auto"/>
        </w:rPr>
        <w:t>, 2010, the following actions shall automatically occur as of the day immediately preceding the Change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date unless expressly provided otherwise in the individual Grantee’s Incentive Agreement:</w:t>
      </w:r>
    </w:p>
    <w:p>
      <w:pPr>
        <w:spacing w:after="0" w:line="84" w:lineRule="exact"/>
        <w:rPr>
          <w:sz w:val="20"/>
          <w:szCs w:val="20"/>
          <w:color w:val="auto"/>
        </w:rPr>
      </w:pPr>
    </w:p>
    <w:p>
      <w:pPr>
        <w:ind w:left="1140" w:hanging="237"/>
        <w:spacing w:after="0"/>
        <w:tabs>
          <w:tab w:leader="none" w:pos="11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all of the Stock Options and Stock Appreciation Rights then outstanding shall become 100% vested and immediately and fully exercisable;</w:t>
      </w:r>
    </w:p>
    <w:p>
      <w:pPr>
        <w:spacing w:after="0" w:line="113"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all of the restrictions and conditions of any Restricted Stock and any Other Stock-Based Awards then outstanding shall be deemed satisfied, and the Restriction Period with respect thereto shall be deemed to have expired, and thus each such Incentive Award shall become free of all restrictions and fully vested; and</w:t>
      </w:r>
    </w:p>
    <w:p>
      <w:pPr>
        <w:spacing w:after="0" w:line="59" w:lineRule="exact"/>
        <w:rPr>
          <w:rFonts w:ascii="Arial" w:cs="Arial" w:eastAsia="Arial" w:hAnsi="Arial"/>
          <w:sz w:val="18"/>
          <w:szCs w:val="18"/>
          <w:color w:val="auto"/>
        </w:rPr>
      </w:pPr>
    </w:p>
    <w:p>
      <w:pPr>
        <w:ind w:left="460" w:right="220" w:firstLine="443"/>
        <w:spacing w:after="0" w:line="306" w:lineRule="auto"/>
        <w:tabs>
          <w:tab w:leader="none" w:pos="1137"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all of the Performance-Based Restricted Awards and any Other Stock-Based Awards shall become fully vested and deemed earned in full at the specified 100% target amounts, and promptly paid in full within thirty (30) days to the affected Grantees without regard to payment schedules and notwithstanding that the applicable performance cycle, retention cycle or other restrictions and conditions have not been completed or satisfied.</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addition, for each Incentive Award issued on or after , 2010, the Committee may, in its sole discretion, cause the provisions of this Section 8.8 to apply to such Incentive Award; provided, however, that the Committee may elect to not apply this provision to one or more such Incentive Awards.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the Plan, a “</w:t>
      </w:r>
      <w:r>
        <w:rPr>
          <w:rFonts w:ascii="Arial" w:cs="Arial" w:eastAsia="Arial" w:hAnsi="Arial"/>
          <w:sz w:val="18"/>
          <w:szCs w:val="18"/>
          <w:b w:val="1"/>
          <w:bCs w:val="1"/>
          <w:color w:val="auto"/>
        </w:rPr>
        <w:t>Change in Control</w:t>
      </w:r>
      <w:r>
        <w:rPr>
          <w:rFonts w:ascii="Arial" w:cs="Arial" w:eastAsia="Arial" w:hAnsi="Arial"/>
          <w:sz w:val="18"/>
          <w:szCs w:val="18"/>
          <w:color w:val="auto"/>
        </w:rPr>
        <w:t>” of the Company means the occurrence of any one or more of the following events:</w:t>
      </w:r>
    </w:p>
    <w:p>
      <w:pPr>
        <w:spacing w:after="0" w:line="90" w:lineRule="exact"/>
        <w:rPr>
          <w:sz w:val="20"/>
          <w:szCs w:val="20"/>
          <w:color w:val="auto"/>
        </w:rPr>
      </w:pPr>
    </w:p>
    <w:p>
      <w:pPr>
        <w:jc w:val="both"/>
        <w:ind w:left="460" w:right="440" w:firstLine="443"/>
        <w:spacing w:after="0" w:line="310" w:lineRule="auto"/>
        <w:tabs>
          <w:tab w:leader="none" w:pos="113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(a “</w:t>
      </w:r>
      <w:r>
        <w:rPr>
          <w:rFonts w:ascii="Arial" w:cs="Arial" w:eastAsia="Arial" w:hAnsi="Arial"/>
          <w:sz w:val="16"/>
          <w:szCs w:val="16"/>
          <w:b w:val="1"/>
          <w:bCs w:val="1"/>
          <w:color w:val="auto"/>
        </w:rPr>
        <w:t>Person</w:t>
      </w:r>
      <w:r>
        <w:rPr>
          <w:rFonts w:ascii="Arial" w:cs="Arial" w:eastAsia="Arial" w:hAnsi="Arial"/>
          <w:sz w:val="16"/>
          <w:szCs w:val="16"/>
          <w:color w:val="auto"/>
        </w:rPr>
        <w:t>”) (within the meaning of Section 13(d)(3) or 14(d)(2) of the Exchange Act) of beneficial ownership (within the meaning of Rule 13d-3 promulgated under the Exchange Act) of twenty percent (20%) or more of either (i) the then outstanding Shares (the “</w:t>
      </w:r>
      <w:r>
        <w:rPr>
          <w:rFonts w:ascii="Arial" w:cs="Arial" w:eastAsia="Arial" w:hAnsi="Arial"/>
          <w:sz w:val="16"/>
          <w:szCs w:val="16"/>
          <w:b w:val="1"/>
          <w:bCs w:val="1"/>
          <w:color w:val="auto"/>
        </w:rPr>
        <w:t>Outstanding Company Stock</w:t>
      </w:r>
      <w:r>
        <w:rPr>
          <w:rFonts w:ascii="Arial" w:cs="Arial" w:eastAsia="Arial" w:hAnsi="Arial"/>
          <w:sz w:val="16"/>
          <w:szCs w:val="16"/>
          <w:color w:val="auto"/>
        </w:rPr>
        <w:t>”) or (ii) the combined voting power of the then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96" w:lineRule="auto"/>
        <w:rPr>
          <w:sz w:val="20"/>
          <w:szCs w:val="20"/>
          <w:color w:val="auto"/>
        </w:rPr>
      </w:pPr>
      <w:r>
        <w:rPr>
          <w:rFonts w:ascii="Arial" w:cs="Arial" w:eastAsia="Arial" w:hAnsi="Arial"/>
          <w:sz w:val="16"/>
          <w:szCs w:val="16"/>
          <w:color w:val="auto"/>
        </w:rPr>
        <w:t>outstanding voting securities of the Company entitled to vote generally in the election of directors (the “</w:t>
      </w:r>
      <w:r>
        <w:rPr>
          <w:rFonts w:ascii="Arial" w:cs="Arial" w:eastAsia="Arial" w:hAnsi="Arial"/>
          <w:sz w:val="16"/>
          <w:szCs w:val="16"/>
          <w:b w:val="1"/>
          <w:bCs w:val="1"/>
          <w:color w:val="auto"/>
        </w:rPr>
        <w:t>Outstanding Company Voting Securities</w:t>
      </w:r>
      <w:r>
        <w:rPr>
          <w:rFonts w:ascii="Arial" w:cs="Arial" w:eastAsia="Arial" w:hAnsi="Arial"/>
          <w:sz w:val="16"/>
          <w:szCs w:val="16"/>
          <w:color w:val="auto"/>
        </w:rPr>
        <w:t>”); provided, however, that the following acquisitions shall not constitute a Change in Control: (i) any acquisition directly from the Company or any Subsidiary, (ii) any acquisition by the Company or any Subsidiary or by any employee benefit plan (or related trust) sponsored or maintained by the Company or any Subsidiary, or (iii) any acquisition by any corporation pursuant to a reorganization, merger, consolidation or similar business combination involving the Company (a “</w:t>
      </w:r>
      <w:r>
        <w:rPr>
          <w:rFonts w:ascii="Arial" w:cs="Arial" w:eastAsia="Arial" w:hAnsi="Arial"/>
          <w:sz w:val="16"/>
          <w:szCs w:val="16"/>
          <w:b w:val="1"/>
          <w:bCs w:val="1"/>
          <w:color w:val="auto"/>
        </w:rPr>
        <w:t>Merger</w:t>
      </w:r>
      <w:r>
        <w:rPr>
          <w:rFonts w:ascii="Arial" w:cs="Arial" w:eastAsia="Arial" w:hAnsi="Arial"/>
          <w:sz w:val="16"/>
          <w:szCs w:val="16"/>
          <w:color w:val="auto"/>
        </w:rPr>
        <w:t xml:space="preserve">”), if, following such Merger, the conditions described in </w:t>
      </w:r>
      <w:r>
        <w:rPr>
          <w:rFonts w:ascii="Arial" w:cs="Arial" w:eastAsia="Arial" w:hAnsi="Arial"/>
          <w:sz w:val="16"/>
          <w:szCs w:val="16"/>
          <w:u w:val="single" w:color="auto"/>
          <w:color w:val="auto"/>
        </w:rPr>
        <w:t>Section 8.8(c)</w:t>
      </w:r>
      <w:r>
        <w:rPr>
          <w:rFonts w:ascii="Arial" w:cs="Arial" w:eastAsia="Arial" w:hAnsi="Arial"/>
          <w:sz w:val="16"/>
          <w:szCs w:val="16"/>
          <w:color w:val="auto"/>
        </w:rPr>
        <w:t xml:space="preserve"> (below) are satisfied;</w:t>
      </w:r>
    </w:p>
    <w:p>
      <w:pPr>
        <w:spacing w:after="0" w:line="27" w:lineRule="exact"/>
        <w:rPr>
          <w:sz w:val="20"/>
          <w:szCs w:val="20"/>
          <w:color w:val="auto"/>
        </w:rPr>
      </w:pPr>
    </w:p>
    <w:p>
      <w:pPr>
        <w:ind w:left="460" w:firstLine="443"/>
        <w:spacing w:after="0" w:line="293" w:lineRule="auto"/>
        <w:tabs>
          <w:tab w:leader="none" w:pos="114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Individuals who, as of the Effective Date, constitute the Board of Directors of the Company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w:t>
      </w:r>
    </w:p>
    <w:p>
      <w:pPr>
        <w:spacing w:after="0" w:line="35" w:lineRule="exact"/>
        <w:rPr>
          <w:rFonts w:ascii="Arial" w:cs="Arial" w:eastAsia="Arial" w:hAnsi="Arial"/>
          <w:sz w:val="16"/>
          <w:szCs w:val="16"/>
          <w:color w:val="auto"/>
        </w:rPr>
      </w:pPr>
    </w:p>
    <w:p>
      <w:pPr>
        <w:ind w:left="460" w:right="80" w:firstLine="443"/>
        <w:spacing w:after="0" w:line="285" w:lineRule="auto"/>
        <w:tabs>
          <w:tab w:leader="none" w:pos="113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sixty percent (60%) of, respectively, the then outstanding Shares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corporation resulting from such Business Combination or any employee benefit plan (or related trust) of the Company or such corporation resulting from such Business Combination) beneficially owns, directly or indirectly, twenty (20%) or more of, respectively, the then outstanding Shares resulting from such Business Combination or the combined voting power of the then outstanding voting securities of such corporation except to the extent that such ownership existed prior to the Business Combination, and (3) at least a majority of the members of the board of directors of the corporation resulting from such Business Combination were members of the Incumbent Board at the time of the execution of the initial agreement, or the action of the Board, providing for such Business Combination; or</w:t>
      </w:r>
    </w:p>
    <w:p>
      <w:pPr>
        <w:spacing w:after="0" w:line="47" w:lineRule="exact"/>
        <w:rPr>
          <w:rFonts w:ascii="Arial" w:cs="Arial" w:eastAsia="Arial" w:hAnsi="Arial"/>
          <w:sz w:val="16"/>
          <w:szCs w:val="16"/>
          <w:color w:val="auto"/>
        </w:rPr>
      </w:pPr>
    </w:p>
    <w:p>
      <w:pPr>
        <w:ind w:left="1160" w:hanging="257"/>
        <w:spacing w:after="0"/>
        <w:tabs>
          <w:tab w:leader="none" w:pos="1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Company.</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Notwithstanding the occurrence of any of the foregoing events set out in this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which would otherwise result in a Change in Control, the Board may determine in its discretion, if it deems it to be in the best interest of the Company, that an event or events otherwise constituting or reasonably leading to a Change in Control shall not be deemed a Change in Control hereunder. Such determination shall be effective only if it is made by the Board (i) prior to the occurrence of an event that otherwise would be, or reasonably lead to, a Change in Control, or (ii) after such event only if made by the Board a majority of which is composed of directors who were members of the Board immediately prior to the event that otherwise would be, or reasonably lead to, a Change in Control.</w:t>
      </w:r>
    </w:p>
    <w:p>
      <w:pPr>
        <w:spacing w:after="0" w:line="1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8.8</w:t>
      </w:r>
      <w:r>
        <w:rPr>
          <w:rFonts w:ascii="Arial" w:cs="Arial" w:eastAsia="Arial" w:hAnsi="Arial"/>
          <w:sz w:val="16"/>
          <w:szCs w:val="16"/>
          <w:color w:val="auto"/>
        </w:rPr>
        <w:t>, to the extent that any payment or acceleration hereunder is subject to Code Section 409A, whether a Change in Control has occurred with respect to such amount shall be determined within the meaning set forth in Code Section 409A(a)(2)(A)(v), but only to the extent inconsistent with the foregoing provisions as determined in the discretion of the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5"/>
          <w:szCs w:val="15"/>
          <w:b w:val="1"/>
          <w:bCs w:val="1"/>
          <w:color w:val="auto"/>
        </w:rPr>
        <w:t>Exchange of Incentive Awards</w:t>
      </w:r>
    </w:p>
    <w:p>
      <w:pPr>
        <w:spacing w:after="0" w:line="96" w:lineRule="exact"/>
        <w:rPr>
          <w:sz w:val="20"/>
          <w:szCs w:val="20"/>
          <w:color w:val="auto"/>
        </w:rPr>
      </w:pPr>
    </w:p>
    <w:p>
      <w:pPr>
        <w:ind w:left="460" w:right="120" w:firstLine="443"/>
        <w:spacing w:after="0" w:line="254" w:lineRule="auto"/>
        <w:tabs>
          <w:tab w:leader="none" w:pos="113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Committee shall not, without the approval of the Company’s stockholders, authorize (i) the amendment of any outstanding Incentive Award to reduce its price per share; (ii) the cancellation of a Stock Option whose exercise price is greater than the current fair market value of a share of the Company’s Common Stock in exchange for a cash payment or the grant of a new Incentive Award, or (iii) cancellation and replacement of an Incentive Award which does not have any current value in exchange for either a cash payment or the grant of an new Incentive Award . Furthermore, no Incentive Award shall be cancelled and replaced with the grant of an Incentive Award having a lesser price per share without the further approval of the Company’s stockholders.</w:t>
      </w:r>
    </w:p>
    <w:p>
      <w:pPr>
        <w:spacing w:after="0" w:line="63"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Committee may, without the approval of the Company’s stockholders, amend any outstanding Incentive Award to increase the price per share or to cancel and replace an Incentive Award with the grant of an new Incentive Award having a price per share that is greater than or equal to the price per share of the original Incentive Award.</w:t>
      </w:r>
    </w:p>
    <w:p>
      <w:pPr>
        <w:spacing w:after="0" w:line="59"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Committee may, without the approval of the Company’s stockholders, permit any Grantee to surrender outstanding Incentive Awards in order to exercise or realize his rights under other Incentive Awards.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5"/>
          <w:szCs w:val="15"/>
          <w:b w:val="1"/>
          <w:bCs w:val="1"/>
          <w:color w:val="auto"/>
        </w:rPr>
        <w:t>Financing</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Subject to the requirements of the Sarbanes-Oxley Act of 2002, the Company may extend and maintain, or arrange for and guarantee, the extension and maintenance of financing to any Grantee to purchase Shares pursuant to exercise of an Incentive Award upon such terms as are approved by the Committee in its discretion.</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9</w:t>
      </w:r>
    </w:p>
    <w:p>
      <w:pPr>
        <w:spacing w:after="0" w:line="9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Effective Date and Grant Period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Plan is adopted by the Board effective as of the Effective Date, subject to the approval of the stockholders of the Company. Incentive Awards may be granted under the Plan at any time prior to receipt of such stockholder approval; provided, however, (a) no Shares may be issued pursuant to Incentive Awards granted after the Effective Date until the requisite stockholder approval is obtained, and (b) if the requisite stockholder approval is not obtained then any Incentive Awards granted hereunder after the Effective Date shall automatically become null and void and of no force or effect. Notwithstanding the foregoing, any Incentive Award that is intended to satisfy the Performance-Based Exception shall not be granted until the terms of the Plan are disclosed to, and approved by, stockholders of the Company in accordance with the requirements of the Performance-Based Exception.</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Funding and Liability of Company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 provision of the Plan shall require the Company, for the purpose of satisfying any obligations under the Plan, to purchase assets or place any assets in a trust or other entity to which contributions are made, or to otherwise segregate any assets. In addition, the Company shall not be required to maintain separate bank accounts, books, records or other evidence of the existence of a segregated or separately maintained or administered fund for purposes of the Plan. Although bookkeeping accounts may be established with respect to Grantees who are entitled to cash, Common Stock or rights thereto under the Plan, any such accounts shall be used merely as a bookkeeping convenience. The Company shall not be required to segregate any assets that may at any time be represented by cash, Common Stock or rights thereto. The Plan shall not be construed as providing for such segregation, nor shall the Company, the Board or the Committee be deemed to be a trustee of any cash, Common Stock or rights thereto. Any liability or obligation of the Company to any Grantee with respect to 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1400"/>
          </w:cols>
          <w:pgMar w:left="240" w:top="459" w:right="2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Incentive Award shall be based solely upon any contractual obligations that may be created by the Plan and any Incentive Agreement, and no such liability or obligation of the Company shall be deemed to be secured by any pledge or other encumbrance on any property of the Company. Neither the Company, the Board nor the Committee shall be required to give any security or bond for the performance of any obligation that may be created by the Plan.</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Withholding Taxes</w:t>
      </w:r>
    </w:p>
    <w:p>
      <w:pPr>
        <w:spacing w:after="0" w:line="90" w:lineRule="exact"/>
        <w:rPr>
          <w:sz w:val="20"/>
          <w:szCs w:val="20"/>
          <w:color w:val="auto"/>
        </w:rPr>
      </w:pPr>
    </w:p>
    <w:p>
      <w:pPr>
        <w:ind w:left="460" w:firstLine="881"/>
        <w:spacing w:after="0" w:line="296" w:lineRule="auto"/>
        <w:tabs>
          <w:tab w:leader="none" w:pos="1575"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color w:val="auto"/>
        </w:rPr>
        <w:t>. The Company shall have the power and the right to deduct or withhold, or require a Grantee to remit to the Company,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sufficient to satisfy federal, state, and local taxes, domestic or foreign, required by law or regulation to be withheld with respect to any taxable event arising as the result of an Incentive Award. Upon the lapse of restrictions on Restricted Stock, the Committee, in its discretion, may elect to satisfy the tax withholding requirement, in whole or in part, by having the Company withhold Shares having a Fair Market Value on the date the tax is to be determined equal to the minimum withholding taxes which could be imposed on the transaction as determined by the Committee.</w:t>
      </w:r>
    </w:p>
    <w:p>
      <w:pPr>
        <w:spacing w:after="0" w:line="26" w:lineRule="exact"/>
        <w:rPr>
          <w:rFonts w:ascii="Arial" w:cs="Arial" w:eastAsia="Arial" w:hAnsi="Arial"/>
          <w:sz w:val="16"/>
          <w:szCs w:val="16"/>
          <w:color w:val="auto"/>
        </w:rPr>
      </w:pPr>
    </w:p>
    <w:p>
      <w:pPr>
        <w:ind w:left="460" w:right="40" w:firstLine="881"/>
        <w:spacing w:after="0" w:line="293" w:lineRule="auto"/>
        <w:tabs>
          <w:tab w:leader="none" w:pos="1585"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 Withholding</w:t>
      </w:r>
      <w:r>
        <w:rPr>
          <w:rFonts w:ascii="Arial" w:cs="Arial" w:eastAsia="Arial" w:hAnsi="Arial"/>
          <w:sz w:val="16"/>
          <w:szCs w:val="16"/>
          <w:color w:val="auto"/>
        </w:rPr>
        <w:t>. With respect to tax withholding required upon the exercise of Stock Options or SARs, upon the lapse of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on Restricted Stock or Restricted Stock Units, or upon any other taxable event arising as a result of any Incentive Awards, Grantees may elect, subject to the approval of the Committee in its discretion, to satisfy the withholding requirement, in whole or in part, by having the Company withhold Shares having a Fair Market Value on the date the tax is to be determined equal to the minimum withholding taxes which could be imposed on the transaction as determined by the Committee. All such elections shall be made in writing, signed by the Grantee, and shall be subject to any restrictions or limitations that the Committee, in its discretion, deems appropriate.</w:t>
      </w:r>
    </w:p>
    <w:p>
      <w:pPr>
        <w:spacing w:after="0" w:line="29" w:lineRule="exact"/>
        <w:rPr>
          <w:rFonts w:ascii="Arial" w:cs="Arial" w:eastAsia="Arial" w:hAnsi="Arial"/>
          <w:sz w:val="16"/>
          <w:szCs w:val="16"/>
          <w:color w:val="auto"/>
        </w:rPr>
      </w:pPr>
    </w:p>
    <w:p>
      <w:pPr>
        <w:ind w:left="460" w:right="40" w:firstLine="881"/>
        <w:spacing w:after="0" w:line="334" w:lineRule="auto"/>
        <w:tabs>
          <w:tab w:leader="none" w:pos="1575"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Loans</w:t>
      </w:r>
      <w:r>
        <w:rPr>
          <w:rFonts w:ascii="Arial" w:cs="Arial" w:eastAsia="Arial" w:hAnsi="Arial"/>
          <w:sz w:val="16"/>
          <w:szCs w:val="16"/>
          <w:color w:val="auto"/>
        </w:rPr>
        <w:t>. To the extent permitted by the Sarbanes-Oxley Act of 2002 or other applicable law, the Committee may provide for loans, on either</w:t>
      </w:r>
      <w:r>
        <w:rPr>
          <w:rFonts w:ascii="Arial" w:cs="Arial" w:eastAsia="Arial" w:hAnsi="Arial"/>
          <w:sz w:val="16"/>
          <w:szCs w:val="16"/>
          <w:b w:val="1"/>
          <w:bCs w:val="1"/>
          <w:color w:val="auto"/>
        </w:rPr>
        <w:t xml:space="preserve"> </w:t>
      </w:r>
      <w:r>
        <w:rPr>
          <w:rFonts w:ascii="Arial" w:cs="Arial" w:eastAsia="Arial" w:hAnsi="Arial"/>
          <w:sz w:val="16"/>
          <w:szCs w:val="16"/>
          <w:color w:val="auto"/>
        </w:rPr>
        <w:t>a short term or demand basis, from the Company to a Grantee who is an Employee to permit the payment of taxes required by law.</w:t>
      </w:r>
    </w:p>
    <w:p>
      <w:pPr>
        <w:spacing w:after="0" w:line="1" w:lineRule="exact"/>
        <w:rPr>
          <w:rFonts w:ascii="Arial" w:cs="Arial" w:eastAsia="Arial" w:hAnsi="Arial"/>
          <w:sz w:val="16"/>
          <w:szCs w:val="16"/>
          <w:color w:val="auto"/>
        </w:rPr>
      </w:pPr>
    </w:p>
    <w:p>
      <w:pPr>
        <w:ind w:left="460" w:right="140" w:firstLine="881"/>
        <w:spacing w:after="0" w:line="293" w:lineRule="auto"/>
        <w:tabs>
          <w:tab w:leader="none" w:pos="1585"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 Sale</w:t>
      </w:r>
      <w:r>
        <w:rPr>
          <w:rFonts w:ascii="Arial" w:cs="Arial" w:eastAsia="Arial" w:hAnsi="Arial"/>
          <w:sz w:val="16"/>
          <w:szCs w:val="16"/>
          <w:color w:val="auto"/>
        </w:rPr>
        <w:t>. At the direction of the Committee, the Company shall have the power and the right to require the sale by Grantee of a</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number of Shares to permit the Company to satisfy its withholding and deposit obligations under any federal, state, and local taxes, domestic or foreign, laws or regulations with respect to any taxable event arising as the result of an Incentive Award. In particular, upon the lapse of restrictions on Restricted Stock, or delivery of Shares upon settlement of a Restricted Stock Unit award, the Committee, in its discretion, may elect to satisfy the tax withholding requirement, in whole or in part, by having the Company initiate the sale of Shares having a Fair Market Value on the date the tax is to be determined equal to the minimum withholding taxes which could be imposed on the transaction as determined by the Committee.</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No Guarantee of Tax Consequences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the Committee and the Board do not make any commitment or guarantee that any federal, state or local tax treatment will apply or be available to any person participating or eligible to participate in the Plan.</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color w:val="auto"/>
        </w:rPr>
        <w:t>Designation of Beneficiary by Grantee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Each Grantee may, from time to time, name any beneficiary or beneficiaries (who may be named contingently or successively) to whom any benefit under the Plan is to be paid in case of his death before he receives any or all of such benefit. Each such designation shall revoke all prior designations by the same Grantee, shall be in a form prescribed by the Company and will be effective only when filed by the Grantee in writing with the Company during the Grantee’s lifetime. In the absence of any such designation, benefits remaining unpaid at the Grantee’s death shall be paid to the Grantee’s estate.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C-26</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Amendment and Termination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shall have the power and authority to terminate or amend the Plan at any time, provided, however, the Board shall not, without the approval of the stockholders of the Company within the time period required by applicable law:</w:t>
      </w:r>
    </w:p>
    <w:p>
      <w:pPr>
        <w:spacing w:after="0" w:line="51" w:lineRule="exact"/>
        <w:rPr>
          <w:sz w:val="20"/>
          <w:szCs w:val="20"/>
          <w:color w:val="auto"/>
        </w:rPr>
      </w:pPr>
    </w:p>
    <w:p>
      <w:pPr>
        <w:ind w:left="1140" w:hanging="237"/>
        <w:spacing w:after="0"/>
        <w:tabs>
          <w:tab w:leader="none" w:pos="114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increase the maximum number of Shares which may be issued under the Plan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amend the requirements as to the class of individuals eligible to purchase Common Stock under the Plan;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extend the term of the Plan; or,</w:t>
      </w:r>
    </w:p>
    <w:p>
      <w:pPr>
        <w:spacing w:after="0" w:line="9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while the Company is a Publicly Held Corporation (i) increase the maximum limits on Incentive Awards to Covered Employees as set for compliance with the Performance-Based Exception or (ii) decrease the authority granted to the Committee under the Plan in contravention of Rule 16b-3 under the Exchange Act.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termination, amendment, or modification of the Plan shall adversely affect in any material way any outstanding Incentive Award previously granted to a Grantee under the Plan, without the written consent of such Grantee or other designated holder of such Incentive Award.</w:t>
      </w:r>
    </w:p>
    <w:p>
      <w:pPr>
        <w:spacing w:after="0" w:line="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to the extent that the Committee determines that (a) the listing for qualification requirements of any national securities exchange or quotation system on which the Company’s Common Stock is then listed or quoted, if applicable, or (b) the Code (or regulations promulgated thereunder), require stockholder approval in order to maintain compliance with such listing requirements or to maintain any favorable tax advantages or qualifications, then the Plan shall not be amended in such respect without approval of the Company’s stockholders.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Requirements of Law</w:t>
      </w:r>
    </w:p>
    <w:p>
      <w:pPr>
        <w:spacing w:after="0" w:line="90" w:lineRule="exact"/>
        <w:rPr>
          <w:sz w:val="20"/>
          <w:szCs w:val="20"/>
          <w:color w:val="auto"/>
        </w:rPr>
      </w:pPr>
    </w:p>
    <w:p>
      <w:pPr>
        <w:ind w:left="460" w:right="160" w:firstLine="881"/>
        <w:spacing w:after="0" w:line="291" w:lineRule="auto"/>
        <w:tabs>
          <w:tab w:leader="none" w:pos="1575"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Governmental Entities and Securities Exchanges</w:t>
      </w:r>
      <w:r>
        <w:rPr>
          <w:rFonts w:ascii="Arial" w:cs="Arial" w:eastAsia="Arial" w:hAnsi="Arial"/>
          <w:sz w:val="16"/>
          <w:szCs w:val="16"/>
          <w:color w:val="auto"/>
        </w:rPr>
        <w:t>. The granting of Incentive Awards and the issuance of Shares under the Plan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laws, rules, and regulations, and to such approvals by any governmental agencies or national securities exchanges as may be required. Certificates evidencing Shares delivered under the Plan (to the extent that such Shares are so evidenced) may be subject to such stop transfer orders and other restrictions as the Committee may deem advisable under the rules and regulations of the Securities and Exchange Commission, any securities exchange or transaction reporting system upon which the Common Stock is then listed or to which it is admitted for quotation, and any applicable federal or state securities law, if applicable. The Committee may cause a legend or legends to be placed upon such certificates (if any) to make appropriate reference to such restrictions.</w:t>
      </w:r>
    </w:p>
    <w:p>
      <w:pPr>
        <w:spacing w:after="0" w:line="32" w:lineRule="exact"/>
        <w:rPr>
          <w:rFonts w:ascii="Arial" w:cs="Arial" w:eastAsia="Arial" w:hAnsi="Arial"/>
          <w:sz w:val="16"/>
          <w:szCs w:val="16"/>
          <w:color w:val="auto"/>
        </w:rPr>
      </w:pPr>
    </w:p>
    <w:p>
      <w:pPr>
        <w:ind w:left="460" w:right="40" w:firstLine="881"/>
        <w:spacing w:after="0" w:line="288" w:lineRule="auto"/>
        <w:tabs>
          <w:tab w:leader="none" w:pos="1585"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Securities Act Rule 701</w:t>
      </w:r>
      <w:r>
        <w:rPr>
          <w:rFonts w:ascii="Arial" w:cs="Arial" w:eastAsia="Arial" w:hAnsi="Arial"/>
          <w:sz w:val="16"/>
          <w:szCs w:val="16"/>
          <w:color w:val="auto"/>
        </w:rPr>
        <w:t>. If no class of the Company’s securities is registered under Section 12 of the Exchange Act, then unless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Committee, grants of Incentive Awards to “Rule 701 Grantees” (as defined below) and issuances of the underlying Shares, if any, on the exercise or conversion of such Incentive Awards are intended to comply with all applicable conditions of Securities Act Rule 701 (“</w:t>
      </w:r>
      <w:r>
        <w:rPr>
          <w:rFonts w:ascii="Arial" w:cs="Arial" w:eastAsia="Arial" w:hAnsi="Arial"/>
          <w:sz w:val="16"/>
          <w:szCs w:val="16"/>
          <w:b w:val="1"/>
          <w:bCs w:val="1"/>
          <w:color w:val="auto"/>
        </w:rPr>
        <w:t>Rule 701</w:t>
      </w:r>
      <w:r>
        <w:rPr>
          <w:rFonts w:ascii="Arial" w:cs="Arial" w:eastAsia="Arial" w:hAnsi="Arial"/>
          <w:sz w:val="16"/>
          <w:szCs w:val="16"/>
          <w:color w:val="auto"/>
        </w:rPr>
        <w:t xml:space="preserve">”), including, without limitation, the restrictions as to the amount of securities that may be offered and sold in reliance on Rule 701, so as to qualify for an exemption from the registration requirements of the Securities Act. Any ambiguities or inconsistencies in the construction of an Incentive Award or the Plan shall be interpreted to give effect to such intention. In accordance with Rule 701, each Grantee shall receive a copy of the Plan on or before the date an Incentive Award is granted to him, as well as the additional disclosure required by Rule 701(e) if the aggregate sales price or amount of securities sold during any consecutive 12-month period exceeds $5,000,000 as determined under Rule 701(e). If Rule 701 (or any successor provision) is amended to eliminate or otherwise modify any of the requirements specified in Rule 701, then the provisions of this </w:t>
      </w:r>
      <w:r>
        <w:rPr>
          <w:rFonts w:ascii="Arial" w:cs="Arial" w:eastAsia="Arial" w:hAnsi="Arial"/>
          <w:sz w:val="16"/>
          <w:szCs w:val="16"/>
          <w:u w:val="single" w:color="auto"/>
          <w:color w:val="auto"/>
        </w:rPr>
        <w:t>Section 9.7(b)</w:t>
      </w:r>
      <w:r>
        <w:rPr>
          <w:rFonts w:ascii="Arial" w:cs="Arial" w:eastAsia="Arial" w:hAnsi="Arial"/>
          <w:sz w:val="16"/>
          <w:szCs w:val="16"/>
          <w:color w:val="auto"/>
        </w:rPr>
        <w:t xml:space="preserve"> shall be interpreted and construed in accordance with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C-27</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 xml:space="preserve">Rule 701 as so amended. For purposes of this </w:t>
      </w:r>
      <w:r>
        <w:rPr>
          <w:rFonts w:ascii="Arial" w:cs="Arial" w:eastAsia="Arial" w:hAnsi="Arial"/>
          <w:sz w:val="18"/>
          <w:szCs w:val="18"/>
          <w:u w:val="single" w:color="auto"/>
          <w:color w:val="auto"/>
        </w:rPr>
        <w:t>Section 9.7(b)</w:t>
      </w:r>
      <w:r>
        <w:rPr>
          <w:rFonts w:ascii="Arial" w:cs="Arial" w:eastAsia="Arial" w:hAnsi="Arial"/>
          <w:sz w:val="18"/>
          <w:szCs w:val="18"/>
          <w:color w:val="auto"/>
        </w:rPr>
        <w:t>, as determined in accordance with Rule 701, “Rule 701 Grantees” shall mean any Grantee other than a director of the Company, the Company’s chairman, CEO, president, chief financial officer, controller and any vice president of the Company, and any other key employee of the Company who generally has access to financial and other business related information and possesses sufficient sophistication to understand and evaluate such information.</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5"/>
          <w:szCs w:val="15"/>
          <w:b w:val="1"/>
          <w:bCs w:val="1"/>
          <w:color w:val="auto"/>
        </w:rPr>
        <w:t>Rule 16b-3 Securities Law Compliance for Insiders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While the Company is a Publicly Held Corporation, transactions under the Plan with respect to Insiders are intended to comply with all applicable conditions of Rule 16b-3 under the Exchange Act. Any ambiguities or inconsistencies in the construction of an Incentive Award or the Plan shall be interpreted to give effect to such intention, and to the extent any provision of the Plan or action by the Committee fails to so comply, it shall be deemed null and void to the extent permitted by law and deemed advisable by the Committee in its discretion.</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Compliance with Code Section 162(m) for Publicly Held Corporation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the Company is a Publicly Held Corporation, unless otherwise determined by the Committee with respect to any particular Incentive Award, it is intended that the Plan shall comply fully with the applicable requirements so that any Incentive Awards subject to Section 162(m) that are granted to Covered Employees shall qualify for the Performance-Based Exception, except for grants of Stock Options with an Option Price set at less than the Fair Market Value of a Share on the date of grant. If any provision of the Plan or an Incentive Agreement would disqualify the Plan or would not otherwise permit the Plan or Incentive Award to comply with the Performance-Based Exception as so intended, such provision shall be construed or deemed to be amended to conform to the requirements of the Performance-Based Exception to the extent permitted by applicable law and deemed advisable by the Committee; provided, however, no such construction or amendment shall have an adverse effect on the prior grant of an Incentive Award or the economic value to a Grantee of any outstanding Incentive Award.</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4"/>
          <w:szCs w:val="14"/>
          <w:b w:val="1"/>
          <w:bCs w:val="1"/>
          <w:color w:val="auto"/>
        </w:rPr>
        <w:t>Notices</w:t>
      </w:r>
    </w:p>
    <w:p>
      <w:pPr>
        <w:spacing w:after="0" w:line="90" w:lineRule="exact"/>
        <w:rPr>
          <w:sz w:val="20"/>
          <w:szCs w:val="20"/>
          <w:color w:val="auto"/>
        </w:rPr>
      </w:pPr>
    </w:p>
    <w:p>
      <w:pPr>
        <w:ind w:left="460" w:firstLine="881"/>
        <w:spacing w:after="0" w:line="256" w:lineRule="auto"/>
        <w:tabs>
          <w:tab w:leader="none" w:pos="1575"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From Insiders to Secretary of Change in Beneficial Ownership</w:t>
      </w:r>
      <w:r>
        <w:rPr>
          <w:rFonts w:ascii="Arial" w:cs="Arial" w:eastAsia="Arial" w:hAnsi="Arial"/>
          <w:sz w:val="18"/>
          <w:szCs w:val="18"/>
          <w:color w:val="auto"/>
        </w:rPr>
        <w:t>. Within two business days after the date of a change in beneficial</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the Common Stock issued or delivered pursuant to the Plan, an Insider should report to the Secretary of the Company, or his delegate, any such change to the beneficial ownership of Common Stock that is required to be reported with respect to such Insider under Rule 16(a)-3 promulgated pursuant to the Exchange Act. Whenever reasonably feasible, Insiders will provide the Committee or Company with advance notification of such change in beneficial ownership.</w:t>
      </w:r>
    </w:p>
    <w:p>
      <w:pPr>
        <w:spacing w:after="0" w:line="57" w:lineRule="exact"/>
        <w:rPr>
          <w:rFonts w:ascii="Arial" w:cs="Arial" w:eastAsia="Arial" w:hAnsi="Arial"/>
          <w:sz w:val="18"/>
          <w:szCs w:val="18"/>
          <w:color w:val="auto"/>
        </w:rPr>
      </w:pPr>
    </w:p>
    <w:p>
      <w:pPr>
        <w:ind w:left="460" w:right="160" w:firstLine="881"/>
        <w:spacing w:after="0" w:line="310" w:lineRule="auto"/>
        <w:tabs>
          <w:tab w:leader="none" w:pos="1585" w:val="left"/>
        </w:tabs>
        <w:numPr>
          <w:ilvl w:val="0"/>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to Insiders and Securities and Exchange Commission</w:t>
      </w:r>
      <w:r>
        <w:rPr>
          <w:rFonts w:ascii="Arial" w:cs="Arial" w:eastAsia="Arial" w:hAnsi="Arial"/>
          <w:sz w:val="16"/>
          <w:szCs w:val="16"/>
          <w:color w:val="auto"/>
        </w:rPr>
        <w:t>. The Company shall provide notice to any Insider, as well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and Exchange Commission, of any “blackout period,” as defined in Section 306(a)(4) of the Sarbanes-Oxley Act of 2002, in any case in which Insider is subject to the requirements of Section 304 of said Act in connection with such “blackout period.”</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Pre-Clearance Agreement with Brokers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Notwithstanding anything in the Plan to the contrary, no Shares issued pursuant to the Plan will be delivered to a broker or dealer that receives such Shares for the account of an Insider unless and until the broker or dealer enters into an agreement with the Company whereby such broker or dealer agrees to report immediately to the Secretary of the Company (or other designated person) a change in the beneficial ownership of such Shares.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C-28</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5"/>
          <w:szCs w:val="15"/>
          <w:b w:val="1"/>
          <w:bCs w:val="1"/>
          <w:color w:val="auto"/>
        </w:rPr>
        <w:t>Successors to Company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obligations of the Company under the Plan with respect to Incentive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5"/>
          <w:szCs w:val="15"/>
          <w:b w:val="1"/>
          <w:bCs w:val="1"/>
          <w:color w:val="auto"/>
        </w:rPr>
        <w:t>Miscellaneous Provisions</w:t>
      </w:r>
    </w:p>
    <w:p>
      <w:pPr>
        <w:spacing w:after="0" w:line="96" w:lineRule="exact"/>
        <w:rPr>
          <w:sz w:val="20"/>
          <w:szCs w:val="20"/>
          <w:color w:val="auto"/>
        </w:rPr>
      </w:pPr>
    </w:p>
    <w:p>
      <w:pPr>
        <w:ind w:left="460" w:right="80" w:firstLine="443"/>
        <w:spacing w:after="0" w:line="259" w:lineRule="auto"/>
        <w:tabs>
          <w:tab w:leader="none" w:pos="113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No Employee, Outside Director, or other person shall have any claim or right to be granted an Incentive Award under the Plan. Neither the Plan, nor any action taken hereunder, shall be construed as giving any Employee or Outside Director any right to be retained in the Employment or other service of the Company or any Subsidiary.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expenses of the Plan shall be borne by the Company.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By accepting any Incentive Award, each Grantee and each person claiming by or through him shall be deemed to have indicated his acceptance of</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Plan.</w:t>
      </w:r>
    </w:p>
    <w:p>
      <w:pPr>
        <w:spacing w:after="0" w:line="24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5"/>
          <w:szCs w:val="15"/>
          <w:b w:val="1"/>
          <w:bCs w:val="1"/>
          <w:color w:val="auto"/>
        </w:rPr>
        <w:t>Severability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that any provision of the Plan shall be held illegal, invalid or unenforceable for any reason, such provision shall be fully severable, but shall not affect the remaining provisions of the Plan, and the Plan shall be construed and enforced as if the illegal, invalid, or unenforceable provision was not included herein.</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9.15</w:t>
      </w:r>
      <w:r>
        <w:rPr>
          <w:sz w:val="20"/>
          <w:szCs w:val="20"/>
          <w:color w:val="auto"/>
        </w:rPr>
        <w:tab/>
      </w:r>
      <w:r>
        <w:rPr>
          <w:rFonts w:ascii="Arial" w:cs="Arial" w:eastAsia="Arial" w:hAnsi="Arial"/>
          <w:sz w:val="15"/>
          <w:szCs w:val="15"/>
          <w:b w:val="1"/>
          <w:bCs w:val="1"/>
          <w:color w:val="auto"/>
        </w:rPr>
        <w:t>Gender, Tense and Headings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Whenever the context so requires, words of the masculine gender used herein shall include the feminine and neuter, and words used in the singular shall include the plural. Section headings as used herein are inserted solely for convenience and reference and constitute no part of the interpretation or construction of the Plan.</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9.16</w:t>
      </w:r>
      <w:r>
        <w:rPr>
          <w:sz w:val="20"/>
          <w:szCs w:val="20"/>
          <w:color w:val="auto"/>
        </w:rPr>
        <w:tab/>
      </w:r>
      <w:r>
        <w:rPr>
          <w:rFonts w:ascii="Arial" w:cs="Arial" w:eastAsia="Arial" w:hAnsi="Arial"/>
          <w:sz w:val="16"/>
          <w:szCs w:val="16"/>
          <w:b w:val="1"/>
          <w:bCs w:val="1"/>
          <w:color w:val="auto"/>
        </w:rPr>
        <w:t>Governing Law</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Plan shall be interpreted, construed and constructed in accordance with the laws of the State of Delaware without regard to its conflicts of law provisions, except as may be superseded by applicable laws of the United States.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9.17</w:t>
      </w:r>
      <w:r>
        <w:rPr>
          <w:sz w:val="20"/>
          <w:szCs w:val="20"/>
          <w:color w:val="auto"/>
        </w:rPr>
        <w:tab/>
      </w:r>
      <w:r>
        <w:rPr>
          <w:rFonts w:ascii="Arial" w:cs="Arial" w:eastAsia="Arial" w:hAnsi="Arial"/>
          <w:sz w:val="15"/>
          <w:szCs w:val="15"/>
          <w:b w:val="1"/>
          <w:bCs w:val="1"/>
          <w:color w:val="auto"/>
        </w:rPr>
        <w:t>Section 409A Compliance</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To the extent that the Plan provides for the payment of amounts that constitute “nonqualified deferred compensation” under Code Section 409A, the Plan is intended to comply with the provisions of Section 409A so as to prevent the inclusion in gross income of any amounts deferred hereunder in a taxable year that is prior to the taxable year or years in which such amounts would otherwise be actually distributed and made available to Grantees or beneficiaries.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C-29</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460"/>
              <w:spacing w:after="0"/>
              <w:rPr>
                <w:sz w:val="20"/>
                <w:szCs w:val="20"/>
                <w:color w:val="auto"/>
              </w:rPr>
            </w:pPr>
            <w:r>
              <w:rPr>
                <w:rFonts w:ascii="Arial" w:cs="Arial" w:eastAsia="Arial" w:hAnsi="Arial"/>
                <w:sz w:val="18"/>
                <w:szCs w:val="18"/>
                <w:color w:val="auto"/>
              </w:rPr>
              <w:t>IN WITNESS WHEREOF, on this</w:t>
            </w:r>
          </w:p>
        </w:tc>
        <w:tc>
          <w:tcPr>
            <w:tcW w:w="1020" w:type="dxa"/>
            <w:vAlign w:val="bottom"/>
          </w:tcPr>
          <w:p>
            <w:pPr>
              <w:ind w:left="280"/>
              <w:spacing w:after="0"/>
              <w:rPr>
                <w:sz w:val="20"/>
                <w:szCs w:val="20"/>
                <w:color w:val="auto"/>
              </w:rPr>
            </w:pPr>
            <w:r>
              <w:rPr>
                <w:rFonts w:ascii="Arial" w:cs="Arial" w:eastAsia="Arial" w:hAnsi="Arial"/>
                <w:sz w:val="18"/>
                <w:szCs w:val="18"/>
                <w:color w:val="auto"/>
              </w:rPr>
              <w:t>day of</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w w:val="89"/>
              </w:rPr>
              <w:t>, 2010, the Company has caused the Plan to be duly executed in its name and on its behalf by its</w:t>
            </w: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duly authorized officer.</w:t>
            </w:r>
          </w:p>
        </w:tc>
        <w:tc>
          <w:tcPr>
            <w:tcW w:w="10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500"/>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2660"/>
              <w:spacing w:after="0"/>
              <w:rPr>
                <w:sz w:val="20"/>
                <w:szCs w:val="20"/>
                <w:color w:val="auto"/>
              </w:rPr>
            </w:pPr>
            <w:r>
              <w:rPr>
                <w:rFonts w:ascii="Arial" w:cs="Arial" w:eastAsia="Arial" w:hAnsi="Arial"/>
                <w:sz w:val="18"/>
                <w:szCs w:val="18"/>
                <w:b w:val="1"/>
                <w:bCs w:val="1"/>
                <w:color w:val="auto"/>
              </w:rPr>
              <w:t>SMITH INTERNATIONAL, INC.</w:t>
            </w:r>
          </w:p>
        </w:tc>
      </w:tr>
      <w:tr>
        <w:trPr>
          <w:trHeight w:val="421"/>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ind w:left="266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4"/>
                <w:szCs w:val="24"/>
                <w:color w:val="auto"/>
              </w:rPr>
            </w:pPr>
          </w:p>
        </w:tc>
      </w:tr>
      <w:tr>
        <w:trPr>
          <w:trHeight w:val="304"/>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2660"/>
              <w:spacing w:after="0"/>
              <w:rPr>
                <w:sz w:val="20"/>
                <w:szCs w:val="20"/>
                <w:color w:val="auto"/>
              </w:rPr>
            </w:pPr>
            <w:r>
              <w:rPr>
                <w:rFonts w:ascii="Arial" w:cs="Arial" w:eastAsia="Arial" w:hAnsi="Arial"/>
                <w:sz w:val="18"/>
                <w:szCs w:val="18"/>
                <w:color w:val="auto"/>
              </w:rPr>
              <w:t>Name:</w:t>
            </w:r>
          </w:p>
        </w:tc>
      </w:tr>
      <w:tr>
        <w:trPr>
          <w:trHeight w:val="196"/>
        </w:trPr>
        <w:tc>
          <w:tcPr>
            <w:tcW w:w="3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0" w:type="dxa"/>
            <w:vAlign w:val="bottom"/>
          </w:tcPr>
          <w:p>
            <w:pPr>
              <w:ind w:left="2660"/>
              <w:spacing w:after="0" w:line="196" w:lineRule="exact"/>
              <w:rPr>
                <w:sz w:val="20"/>
                <w:szCs w:val="20"/>
                <w:color w:val="auto"/>
              </w:rPr>
            </w:pPr>
            <w:r>
              <w:rPr>
                <w:rFonts w:ascii="Arial" w:cs="Arial" w:eastAsia="Arial" w:hAnsi="Arial"/>
                <w:sz w:val="18"/>
                <w:szCs w:val="18"/>
                <w:color w:val="auto"/>
              </w:rPr>
              <w:t>Title:</w:t>
            </w:r>
          </w:p>
        </w:tc>
        <w:tc>
          <w:tcPr>
            <w:tcW w:w="4020" w:type="dxa"/>
            <w:vAlign w:val="bottom"/>
            <w:tcBorders>
              <w:top w:val="single" w:sz="8" w:color="auto"/>
              <w:bottom w:val="single" w:sz="8" w:color="auto"/>
            </w:tcBorders>
          </w:tcPr>
          <w:p>
            <w:pPr>
              <w:spacing w:after="0"/>
              <w:rPr>
                <w:sz w:val="17"/>
                <w:szCs w:val="17"/>
                <w:color w:val="auto"/>
              </w:rPr>
            </w:pPr>
          </w:p>
        </w:tc>
      </w:tr>
      <w:tr>
        <w:trPr>
          <w:trHeight w:val="356"/>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1340"/>
              <w:spacing w:after="0"/>
              <w:rPr>
                <w:sz w:val="20"/>
                <w:szCs w:val="20"/>
                <w:color w:val="auto"/>
              </w:rPr>
            </w:pPr>
            <w:r>
              <w:rPr>
                <w:rFonts w:ascii="Arial" w:cs="Arial" w:eastAsia="Arial" w:hAnsi="Arial"/>
                <w:sz w:val="18"/>
                <w:szCs w:val="18"/>
                <w:color w:val="auto"/>
              </w:rPr>
              <w:t>C-30</w:t>
            </w:r>
          </w:p>
        </w:tc>
      </w:tr>
    </w:tbl>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4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the fullest extent permitted by applicable law, Schlumberger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 Schlumberger is required to indemnify any present or former officer or director of Schlumberger to the fullest extent allowed by the preceding paragraphs in the event of a “Change of Control.” “Change of Control” means a change in control of Schlumberger, which shall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To the fullest extent permitted by applicable law, Schlumberger shall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Schlumberger only as authorized by the Chief Executive Officer or by contract approved, or by-laws, resolution or other action adopted or taken, by the board of directors or by the stockholders.</w:t>
      </w:r>
    </w:p>
    <w:p>
      <w:pPr>
        <w:spacing w:after="0" w:line="14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Expenses (including attorneys’ fees) incurred by a present or former director or a present officer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8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3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1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Schlumberger.”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shall, in the performance of such member’s duties, be fully protected in relying in good faith upon the records of Schlumberger and upon such information, opinions, reports or statements presented to Schlumberger by any of Schlumberger’s officers or employees, or committees of the Board of Directors, or by any other person as to matters the member reasonably believes are within such other person’s professional or expert competence and who has been selected with reasonable care by or on behalf of Schlumberger.</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Schlumberger maintains directors’ and officers’ liability insurance which insures against certain liabilities that the officers and directors of Schlumberger may incur in such capacities.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ITEM 21.</w:t>
            </w:r>
          </w:p>
        </w:tc>
        <w:tc>
          <w:tcPr>
            <w:tcW w:w="10460" w:type="dxa"/>
            <w:vAlign w:val="bottom"/>
          </w:tcPr>
          <w:p>
            <w:pPr>
              <w:ind w:left="16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520"/>
        </w:trPr>
        <w:tc>
          <w:tcPr>
            <w:tcW w:w="88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10460" w:type="dxa"/>
            <w:vAlign w:val="bottom"/>
          </w:tcPr>
          <w:p>
            <w:pPr>
              <w:ind w:left="160"/>
              <w:spacing w:after="0"/>
              <w:rPr>
                <w:sz w:val="20"/>
                <w:szCs w:val="20"/>
                <w:color w:val="auto"/>
              </w:rPr>
            </w:pPr>
            <w:r>
              <w:rPr>
                <w:rFonts w:ascii="Arial" w:cs="Arial" w:eastAsia="Arial" w:hAnsi="Arial"/>
                <w:sz w:val="18"/>
                <w:szCs w:val="18"/>
                <w:color w:val="auto"/>
                <w:w w:val="89"/>
              </w:rPr>
              <w:t>Agreement and Plan of Merger among Schlumberger Limited, Turnberry Merger Sub Inc. and Smith International, Inc., dated February 21, 2010</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(attached as Annex A to the proxy statement/prospectus that is part of this Registration Statement).</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3.1</w:t>
            </w:r>
          </w:p>
        </w:tc>
        <w:tc>
          <w:tcPr>
            <w:tcW w:w="10460" w:type="dxa"/>
            <w:vAlign w:val="bottom"/>
          </w:tcPr>
          <w:p>
            <w:pPr>
              <w:ind w:left="160"/>
              <w:spacing w:after="0"/>
              <w:rPr>
                <w:sz w:val="20"/>
                <w:szCs w:val="20"/>
                <w:color w:val="auto"/>
              </w:rPr>
            </w:pPr>
            <w:r>
              <w:rPr>
                <w:rFonts w:ascii="Arial" w:cs="Arial" w:eastAsia="Arial" w:hAnsi="Arial"/>
                <w:sz w:val="18"/>
                <w:szCs w:val="18"/>
                <w:color w:val="auto"/>
                <w:w w:val="90"/>
              </w:rPr>
              <w:t>Articles of Incorporation of Schlumberger Limited (Schlumberger N.V.), as last amended on April 12, 2006 (incorporated by reference to Exhibit</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3.1 to Schlumberger’s Quarterly Report on Form 10-Q for the quarter ended March 31, 2006).</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3.2</w:t>
            </w:r>
          </w:p>
        </w:tc>
        <w:tc>
          <w:tcPr>
            <w:tcW w:w="10460" w:type="dxa"/>
            <w:vAlign w:val="bottom"/>
          </w:tcPr>
          <w:p>
            <w:pPr>
              <w:ind w:left="160"/>
              <w:spacing w:after="0"/>
              <w:rPr>
                <w:sz w:val="20"/>
                <w:szCs w:val="20"/>
                <w:color w:val="auto"/>
              </w:rPr>
            </w:pPr>
            <w:r>
              <w:rPr>
                <w:rFonts w:ascii="Arial" w:cs="Arial" w:eastAsia="Arial" w:hAnsi="Arial"/>
                <w:sz w:val="18"/>
                <w:szCs w:val="18"/>
                <w:color w:val="auto"/>
                <w:w w:val="89"/>
              </w:rPr>
              <w:t>Amended and Restated By-Laws of Schlumberger Limited (Schlumberger N.V.), as last amended on April 21, 2005 (incorporated by reference to</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Exhibit 3.1 to Schlumberger’s Current Report on Form 8-K filed on April 22, 2005)</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4.1</w:t>
            </w:r>
          </w:p>
        </w:tc>
        <w:tc>
          <w:tcPr>
            <w:tcW w:w="10460" w:type="dxa"/>
            <w:vAlign w:val="bottom"/>
          </w:tcPr>
          <w:p>
            <w:pPr>
              <w:ind w:left="160"/>
              <w:spacing w:after="0"/>
              <w:rPr>
                <w:sz w:val="20"/>
                <w:szCs w:val="20"/>
                <w:color w:val="auto"/>
              </w:rPr>
            </w:pPr>
            <w:r>
              <w:rPr>
                <w:rFonts w:ascii="Arial" w:cs="Arial" w:eastAsia="Arial" w:hAnsi="Arial"/>
                <w:sz w:val="18"/>
                <w:szCs w:val="18"/>
                <w:color w:val="auto"/>
                <w:w w:val="88"/>
              </w:rPr>
              <w:t>Indenture dated as of June 9, 2003, by and between Schlumberger Limited and Citibank, N.A., as Trustee (incorporated by reference to Exhibit 4.3</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to Schlumberger’s Registration Statement on Form S-3 filed on September 12, 2003)</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4.2</w:t>
            </w:r>
          </w:p>
        </w:tc>
        <w:tc>
          <w:tcPr>
            <w:tcW w:w="10460" w:type="dxa"/>
            <w:vAlign w:val="bottom"/>
          </w:tcPr>
          <w:p>
            <w:pPr>
              <w:ind w:left="160"/>
              <w:spacing w:after="0"/>
              <w:rPr>
                <w:sz w:val="20"/>
                <w:szCs w:val="20"/>
                <w:color w:val="auto"/>
              </w:rPr>
            </w:pPr>
            <w:r>
              <w:rPr>
                <w:rFonts w:ascii="Arial" w:cs="Arial" w:eastAsia="Arial" w:hAnsi="Arial"/>
                <w:sz w:val="18"/>
                <w:szCs w:val="18"/>
                <w:color w:val="auto"/>
                <w:w w:val="90"/>
              </w:rPr>
              <w:t>First Supplemental Indenture dated as of June 9, 2003, by and between Schlumberger Limited and Citibank, N.A., as Trustee (incorporated by</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reference to Exhibit 4.4 to Schlumberger’s Registration Statement on Form S-3 filed on September 12, 2003)</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rPr>
              <w:t>5.1*</w:t>
            </w:r>
          </w:p>
        </w:tc>
        <w:tc>
          <w:tcPr>
            <w:tcW w:w="10460" w:type="dxa"/>
            <w:vAlign w:val="bottom"/>
          </w:tcPr>
          <w:p>
            <w:pPr>
              <w:ind w:left="160"/>
              <w:spacing w:after="0"/>
              <w:rPr>
                <w:sz w:val="20"/>
                <w:szCs w:val="20"/>
                <w:color w:val="auto"/>
              </w:rPr>
            </w:pPr>
            <w:r>
              <w:rPr>
                <w:rFonts w:ascii="Arial" w:cs="Arial" w:eastAsia="Arial" w:hAnsi="Arial"/>
                <w:sz w:val="18"/>
                <w:szCs w:val="18"/>
                <w:color w:val="auto"/>
              </w:rPr>
              <w:t>Opinion of Alexander C. Juden.</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rPr>
              <w:t>8.1*</w:t>
            </w:r>
          </w:p>
        </w:tc>
        <w:tc>
          <w:tcPr>
            <w:tcW w:w="10460" w:type="dxa"/>
            <w:vAlign w:val="bottom"/>
          </w:tcPr>
          <w:p>
            <w:pPr>
              <w:ind w:left="160"/>
              <w:spacing w:after="0"/>
              <w:rPr>
                <w:sz w:val="20"/>
                <w:szCs w:val="20"/>
                <w:color w:val="auto"/>
              </w:rPr>
            </w:pPr>
            <w:r>
              <w:rPr>
                <w:rFonts w:ascii="Arial" w:cs="Arial" w:eastAsia="Arial" w:hAnsi="Arial"/>
                <w:sz w:val="18"/>
                <w:szCs w:val="18"/>
                <w:color w:val="auto"/>
              </w:rPr>
              <w:t>Form of Opinion of Baker Botts L.L.P. regarding certain federal income tax matters.</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rPr>
              <w:t>8.2*</w:t>
            </w:r>
          </w:p>
        </w:tc>
        <w:tc>
          <w:tcPr>
            <w:tcW w:w="10460" w:type="dxa"/>
            <w:vAlign w:val="bottom"/>
          </w:tcPr>
          <w:p>
            <w:pPr>
              <w:ind w:left="160"/>
              <w:spacing w:after="0"/>
              <w:rPr>
                <w:sz w:val="20"/>
                <w:szCs w:val="20"/>
                <w:color w:val="auto"/>
              </w:rPr>
            </w:pPr>
            <w:r>
              <w:rPr>
                <w:rFonts w:ascii="Arial" w:cs="Arial" w:eastAsia="Arial" w:hAnsi="Arial"/>
                <w:sz w:val="18"/>
                <w:szCs w:val="18"/>
                <w:color w:val="auto"/>
              </w:rPr>
              <w:t>Form of Opinion of Wachtell, Lipton, Rosen &amp; Katz regarding certain federal income tax matters.</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w w:val="85"/>
              </w:rPr>
              <w:t>21.1</w:t>
            </w:r>
          </w:p>
        </w:tc>
        <w:tc>
          <w:tcPr>
            <w:tcW w:w="10460" w:type="dxa"/>
            <w:vAlign w:val="bottom"/>
          </w:tcPr>
          <w:p>
            <w:pPr>
              <w:ind w:left="160"/>
              <w:spacing w:after="0"/>
              <w:rPr>
                <w:sz w:val="20"/>
                <w:szCs w:val="20"/>
                <w:color w:val="auto"/>
              </w:rPr>
            </w:pPr>
            <w:r>
              <w:rPr>
                <w:rFonts w:ascii="Arial" w:cs="Arial" w:eastAsia="Arial" w:hAnsi="Arial"/>
                <w:sz w:val="18"/>
                <w:szCs w:val="18"/>
                <w:color w:val="auto"/>
                <w:w w:val="91"/>
              </w:rPr>
              <w:t>Subsidiaries of Schlumberger Limited (incorporated by reference to Exhibit 21 to Schlumberger Limited’s Annual Report on Form 10-K for the</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year ended December 31, 2009).</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23.1*</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Alexander C. Juden (included in the opinion filed as Exhibit 5.1).</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23.2*</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Baker Botts L.L.P. (included in the opinion filed as Exhibit 8.1).</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23.3*</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Wachtell, Lipton, Rosen &amp; Katz (included in the opinion filed as Exhibit 8.2).</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23.4*</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PricewaterhouseCoopers LLP, independent registered public accounting firm for Schlumberger Limited.</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23.5*</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Deloitte &amp; Touche LLP, independent registered public accounting firm for Smith International, Inc.</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24.1*</w:t>
            </w:r>
          </w:p>
        </w:tc>
        <w:tc>
          <w:tcPr>
            <w:tcW w:w="10460" w:type="dxa"/>
            <w:vAlign w:val="bottom"/>
          </w:tcPr>
          <w:p>
            <w:pPr>
              <w:ind w:left="160"/>
              <w:spacing w:after="0"/>
              <w:rPr>
                <w:sz w:val="20"/>
                <w:szCs w:val="20"/>
                <w:color w:val="auto"/>
              </w:rPr>
            </w:pPr>
            <w:r>
              <w:rPr>
                <w:rFonts w:ascii="Arial" w:cs="Arial" w:eastAsia="Arial" w:hAnsi="Arial"/>
                <w:sz w:val="18"/>
                <w:szCs w:val="18"/>
                <w:color w:val="auto"/>
              </w:rPr>
              <w:t>Powers of Attorney.</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7"/>
              </w:rPr>
              <w:t>99.1**</w:t>
            </w:r>
          </w:p>
        </w:tc>
        <w:tc>
          <w:tcPr>
            <w:tcW w:w="10460" w:type="dxa"/>
            <w:vAlign w:val="bottom"/>
          </w:tcPr>
          <w:p>
            <w:pPr>
              <w:ind w:left="160"/>
              <w:spacing w:after="0"/>
              <w:rPr>
                <w:sz w:val="20"/>
                <w:szCs w:val="20"/>
                <w:color w:val="auto"/>
              </w:rPr>
            </w:pPr>
            <w:r>
              <w:rPr>
                <w:rFonts w:ascii="Arial" w:cs="Arial" w:eastAsia="Arial" w:hAnsi="Arial"/>
                <w:sz w:val="18"/>
                <w:szCs w:val="18"/>
                <w:color w:val="auto"/>
              </w:rPr>
              <w:t>Form of Proxy Card of Smith International, Inc.</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99.2*</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UBS Securities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60" w:right="3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512(a) Undertaking</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 as follows:</w:t>
      </w:r>
    </w:p>
    <w:p>
      <w:pPr>
        <w:spacing w:after="0" w:line="90" w:lineRule="exact"/>
        <w:rPr>
          <w:sz w:val="20"/>
          <w:szCs w:val="20"/>
          <w:color w:val="auto"/>
        </w:rPr>
      </w:pPr>
    </w:p>
    <w:p>
      <w:pPr>
        <w:ind w:left="720" w:hanging="256"/>
        <w:spacing w:after="0"/>
        <w:tabs>
          <w:tab w:leader="none" w:pos="7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460" w:right="40" w:firstLine="443"/>
        <w:spacing w:after="0" w:line="291" w:lineRule="auto"/>
        <w:tabs>
          <w:tab w:leader="none" w:pos="1157"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9" w:lineRule="exact"/>
        <w:rPr>
          <w:rFonts w:ascii="Arial" w:cs="Arial" w:eastAsia="Arial" w:hAnsi="Arial"/>
          <w:sz w:val="16"/>
          <w:szCs w:val="16"/>
          <w:color w:val="auto"/>
        </w:rPr>
      </w:pPr>
    </w:p>
    <w:p>
      <w:pPr>
        <w:ind w:left="460" w:right="60" w:firstLine="443"/>
        <w:spacing w:after="0" w:line="268" w:lineRule="auto"/>
        <w:tabs>
          <w:tab w:leader="none" w:pos="1205"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w:t>
      </w:r>
    </w:p>
    <w:p>
      <w:pPr>
        <w:spacing w:after="0" w:line="38"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8" w:lineRule="exact"/>
        <w:rPr>
          <w:rFonts w:ascii="Arial" w:cs="Arial" w:eastAsia="Arial" w:hAnsi="Arial"/>
          <w:sz w:val="16"/>
          <w:szCs w:val="16"/>
          <w:color w:val="auto"/>
        </w:rPr>
      </w:pPr>
    </w:p>
    <w:p>
      <w:pPr>
        <w:ind w:right="280" w:firstLine="464"/>
        <w:spacing w:after="0" w:line="323" w:lineRule="auto"/>
        <w:tabs>
          <w:tab w:leader="none" w:pos="705" w:val="left"/>
        </w:tabs>
        <w:numPr>
          <w:ilvl w:val="0"/>
          <w:numId w:val="338"/>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 w:lineRule="exact"/>
        <w:rPr>
          <w:rFonts w:ascii="Arial" w:cs="Arial" w:eastAsia="Arial" w:hAnsi="Arial"/>
          <w:sz w:val="15"/>
          <w:szCs w:val="15"/>
          <w:color w:val="auto"/>
        </w:rPr>
      </w:pPr>
    </w:p>
    <w:p>
      <w:pPr>
        <w:ind w:left="1120" w:hanging="217"/>
        <w:spacing w:after="0"/>
        <w:tabs>
          <w:tab w:leader="none" w:pos="112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460" w:right="800" w:firstLine="443"/>
        <w:spacing w:after="0" w:line="268" w:lineRule="auto"/>
        <w:tabs>
          <w:tab w:leader="none" w:pos="1157"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268" w:lineRule="auto"/>
        <w:tabs>
          <w:tab w:leader="none" w:pos="120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512(b) Undertaking</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512(g) Undertaking</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8" w:lineRule="auto"/>
        <w:tabs>
          <w:tab w:leader="none" w:pos="70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12" w:lineRule="exact"/>
        <w:rPr>
          <w:rFonts w:ascii="Arial" w:cs="Arial" w:eastAsia="Arial" w:hAnsi="Arial"/>
          <w:sz w:val="16"/>
          <w:szCs w:val="16"/>
          <w:color w:val="auto"/>
        </w:rPr>
      </w:pPr>
    </w:p>
    <w:p>
      <w:pPr>
        <w:ind w:right="120" w:firstLine="464"/>
        <w:spacing w:after="0" w:line="294" w:lineRule="auto"/>
        <w:tabs>
          <w:tab w:leader="none" w:pos="70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512(h) Undertaking</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S-4, Item 22(b) Undertaking</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40"/>
          </w:cols>
          <w:pgMar w:left="240" w:top="460" w:right="3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S-4, Item 22(c) Undertaking</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Houston, State of Texas, on June 17, 2010.</w:t>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Accounting Officer</w:t>
      </w:r>
    </w:p>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4"/>
        </w:trPr>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Chairman of the Board, Chief Executive Officer and</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202"/>
        </w:trPr>
        <w:tc>
          <w:tcPr>
            <w:tcW w:w="56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Andrew Gould</w:t>
            </w:r>
          </w:p>
        </w:tc>
        <w:tc>
          <w:tcPr>
            <w:tcW w:w="44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Director (Principal Executive Officer)</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26"/>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 Officer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202"/>
        </w:trPr>
        <w:tc>
          <w:tcPr>
            <w:tcW w:w="56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Simon Ayat</w:t>
            </w:r>
          </w:p>
        </w:tc>
        <w:tc>
          <w:tcPr>
            <w:tcW w:w="44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Officer)</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26"/>
        </w:trPr>
        <w:tc>
          <w:tcPr>
            <w:tcW w:w="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4"/>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Chief Accounting Officer (Principal Accounting</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202"/>
        </w:trPr>
        <w:tc>
          <w:tcPr>
            <w:tcW w:w="56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Howard Guild</w:t>
            </w:r>
          </w:p>
        </w:tc>
        <w:tc>
          <w:tcPr>
            <w:tcW w:w="44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Officer)</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27"/>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Philippe Camus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1"/>
              </w:rPr>
              <w:t>Peter L.S. Currie</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Tony Isaac</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K. Vaman Kamath</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Nikolay Kudryavtsev</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Adrian Lajous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Michael E. Marks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Leo Rafael Reif</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Tore I. Sandvold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5"/>
              </w:rPr>
              <w:t>Henri Seydoux</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02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LEXANDER</w:t>
            </w:r>
            <w:r>
              <w:rPr>
                <w:rFonts w:ascii="Arial" w:cs="Arial" w:eastAsia="Arial" w:hAnsi="Arial"/>
                <w:sz w:val="18"/>
                <w:szCs w:val="18"/>
                <w:color w:val="auto"/>
              </w:rPr>
              <w:t xml:space="preserve"> C. J</w:t>
            </w:r>
            <w:r>
              <w:rPr>
                <w:rFonts w:ascii="Arial" w:cs="Arial" w:eastAsia="Arial" w:hAnsi="Arial"/>
                <w:sz w:val="14"/>
                <w:szCs w:val="14"/>
                <w:color w:val="auto"/>
              </w:rPr>
              <w:t>UDEN</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44"/>
        </w:trPr>
        <w:tc>
          <w:tcPr>
            <w:tcW w:w="560" w:type="dxa"/>
            <w:vAlign w:val="bottom"/>
          </w:tcPr>
          <w:p>
            <w:pPr>
              <w:spacing w:after="0"/>
              <w:rPr>
                <w:sz w:val="12"/>
                <w:szCs w:val="12"/>
                <w:color w:val="auto"/>
              </w:rPr>
            </w:pPr>
          </w:p>
        </w:tc>
        <w:tc>
          <w:tcPr>
            <w:tcW w:w="4480" w:type="dxa"/>
            <w:vAlign w:val="bottom"/>
            <w:gridSpan w:val="4"/>
          </w:tcPr>
          <w:p>
            <w:pPr>
              <w:jc w:val="center"/>
              <w:ind w:right="480"/>
              <w:spacing w:after="0" w:line="144" w:lineRule="exact"/>
              <w:rPr>
                <w:sz w:val="20"/>
                <w:szCs w:val="20"/>
                <w:color w:val="auto"/>
              </w:rPr>
            </w:pPr>
            <w:r>
              <w:rPr>
                <w:rFonts w:ascii="Arial" w:cs="Arial" w:eastAsia="Arial" w:hAnsi="Arial"/>
                <w:sz w:val="14"/>
                <w:szCs w:val="14"/>
                <w:b w:val="1"/>
                <w:bCs w:val="1"/>
                <w:color w:val="auto"/>
                <w:w w:val="88"/>
              </w:rPr>
              <w:t>Name: Alexander C. Juden,</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74"/>
        </w:trPr>
        <w:tc>
          <w:tcPr>
            <w:tcW w:w="560" w:type="dxa"/>
            <w:vAlign w:val="bottom"/>
          </w:tcPr>
          <w:p>
            <w:pPr>
              <w:spacing w:after="0"/>
              <w:rPr>
                <w:sz w:val="15"/>
                <w:szCs w:val="15"/>
                <w:color w:val="auto"/>
              </w:rPr>
            </w:pPr>
          </w:p>
        </w:tc>
        <w:tc>
          <w:tcPr>
            <w:tcW w:w="44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Attorney-in-Fact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r>
    </w:tbl>
    <w:p>
      <w:pPr>
        <w:sectPr>
          <w:pgSz w:w="11900" w:h="16838" w:orient="portrait"/>
          <w:cols w:equalWidth="0" w:num="1">
            <w:col w:w="11220"/>
          </w:cols>
          <w:pgMar w:left="240" w:top="460"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0580" w:type="dxa"/>
            <w:vAlign w:val="bottom"/>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520"/>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2.1*</w:t>
            </w: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Agreement and Plan of Merger among Schlumberger Limited, Turnberry Merger Sub Inc. and Smith International, Inc., dated February 21, 2010</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(attached as Annex A to the proxy statement/prospectus that is part of this Registration Statement).</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3.1</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Articles of Incorporation of Schlumberger Limited (Schlumberger N.V.), as last amended on April 12, 2006 (incorporated by reference to Exhibit</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3.1 to Schlumberger’s Quarterly Report on Form 10-Q for the quarter ended March 31, 2006).</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3.2</w:t>
            </w: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Amended and Restated By-Laws of Schlumberger Limited (Schlumberger N.V.), as last amended on April 21, 2005 (incorporated by reference to</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Exhibit 3.1 to Schlumberger’s Current Report on Form 8-K filed on April 22, 2005)</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10580" w:type="dxa"/>
            <w:vAlign w:val="bottom"/>
          </w:tcPr>
          <w:p>
            <w:pPr>
              <w:ind w:left="280"/>
              <w:spacing w:after="0"/>
              <w:rPr>
                <w:sz w:val="20"/>
                <w:szCs w:val="20"/>
                <w:color w:val="auto"/>
              </w:rPr>
            </w:pPr>
            <w:r>
              <w:rPr>
                <w:rFonts w:ascii="Arial" w:cs="Arial" w:eastAsia="Arial" w:hAnsi="Arial"/>
                <w:sz w:val="18"/>
                <w:szCs w:val="18"/>
                <w:color w:val="auto"/>
                <w:w w:val="88"/>
              </w:rPr>
              <w:t>Indenture dated as of June 9, 2003, by and between Schlumberger Limited and Citibank, N.A., as Trustee (incorporated by reference to Exhibit 4.3</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Schlumberger’s Registration Statement on Form S-3 filed on September 12, 2003)</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First Supplemental Indenture dated as of June 9, 2003, by and between Schlumberger Limited and Citibank, N.A., as Trustee (incorporated by</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Exhibit 4.4 to Schlumberger’s Registration Statement on Form S-3 filed on September 12, 2003)</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5.1*</w:t>
            </w:r>
          </w:p>
        </w:tc>
        <w:tc>
          <w:tcPr>
            <w:tcW w:w="10580" w:type="dxa"/>
            <w:vAlign w:val="bottom"/>
          </w:tcPr>
          <w:p>
            <w:pPr>
              <w:ind w:left="280"/>
              <w:spacing w:after="0"/>
              <w:rPr>
                <w:sz w:val="20"/>
                <w:szCs w:val="20"/>
                <w:color w:val="auto"/>
              </w:rPr>
            </w:pPr>
            <w:r>
              <w:rPr>
                <w:rFonts w:ascii="Arial" w:cs="Arial" w:eastAsia="Arial" w:hAnsi="Arial"/>
                <w:sz w:val="18"/>
                <w:szCs w:val="18"/>
                <w:color w:val="auto"/>
              </w:rPr>
              <w:t>Opinion of Alexander C. Juden.</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8.1*</w:t>
            </w:r>
          </w:p>
        </w:tc>
        <w:tc>
          <w:tcPr>
            <w:tcW w:w="10580" w:type="dxa"/>
            <w:vAlign w:val="bottom"/>
          </w:tcPr>
          <w:p>
            <w:pPr>
              <w:ind w:left="280"/>
              <w:spacing w:after="0"/>
              <w:rPr>
                <w:sz w:val="20"/>
                <w:szCs w:val="20"/>
                <w:color w:val="auto"/>
              </w:rPr>
            </w:pPr>
            <w:r>
              <w:rPr>
                <w:rFonts w:ascii="Arial" w:cs="Arial" w:eastAsia="Arial" w:hAnsi="Arial"/>
                <w:sz w:val="18"/>
                <w:szCs w:val="18"/>
                <w:color w:val="auto"/>
              </w:rPr>
              <w:t>Form of Opinion of Baker Botts L.L.P. regarding certain federal income tax matters.</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8.2*</w:t>
            </w:r>
          </w:p>
        </w:tc>
        <w:tc>
          <w:tcPr>
            <w:tcW w:w="10580" w:type="dxa"/>
            <w:vAlign w:val="bottom"/>
          </w:tcPr>
          <w:p>
            <w:pPr>
              <w:ind w:left="280"/>
              <w:spacing w:after="0"/>
              <w:rPr>
                <w:sz w:val="20"/>
                <w:szCs w:val="20"/>
                <w:color w:val="auto"/>
              </w:rPr>
            </w:pPr>
            <w:r>
              <w:rPr>
                <w:rFonts w:ascii="Arial" w:cs="Arial" w:eastAsia="Arial" w:hAnsi="Arial"/>
                <w:sz w:val="18"/>
                <w:szCs w:val="18"/>
                <w:color w:val="auto"/>
              </w:rPr>
              <w:t>Form of Opinion of Wachtell, Lipton, Rosen &amp; Katz regarding certain federal income tax matters.</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23.1*</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Alexander C. Juden (included in the opinion filed as Exhibit 5.1).</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23.2*</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Baker Botts L.L.P. (included in the opinion filed as Exhibit 8.1).</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23.3*</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Wachtell, Lipton, Rosen &amp; Katz (included in the opinion filed as Exhibit 8.2).</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23.4*</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PricewaterhouseCoopers LLP, independent registered public accounting firm for Schlumberger Limited.</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23.5*</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Deloitte &amp; Touche LLP, independent registered public accounting firm for Smith International, Inc.</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24.1*</w:t>
            </w:r>
          </w:p>
        </w:tc>
        <w:tc>
          <w:tcPr>
            <w:tcW w:w="10580" w:type="dxa"/>
            <w:vAlign w:val="bottom"/>
          </w:tcPr>
          <w:p>
            <w:pPr>
              <w:ind w:left="280"/>
              <w:spacing w:after="0"/>
              <w:rPr>
                <w:sz w:val="20"/>
                <w:szCs w:val="20"/>
                <w:color w:val="auto"/>
              </w:rPr>
            </w:pPr>
            <w:r>
              <w:rPr>
                <w:rFonts w:ascii="Arial" w:cs="Arial" w:eastAsia="Arial" w:hAnsi="Arial"/>
                <w:sz w:val="18"/>
                <w:szCs w:val="18"/>
                <w:color w:val="auto"/>
              </w:rPr>
              <w:t>Powers of Attorney.</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w w:val="97"/>
              </w:rPr>
              <w:t>99.1**</w:t>
            </w:r>
          </w:p>
        </w:tc>
        <w:tc>
          <w:tcPr>
            <w:tcW w:w="10580" w:type="dxa"/>
            <w:vAlign w:val="bottom"/>
          </w:tcPr>
          <w:p>
            <w:pPr>
              <w:ind w:left="280"/>
              <w:spacing w:after="0"/>
              <w:rPr>
                <w:sz w:val="20"/>
                <w:szCs w:val="20"/>
                <w:color w:val="auto"/>
              </w:rPr>
            </w:pPr>
            <w:r>
              <w:rPr>
                <w:rFonts w:ascii="Arial" w:cs="Arial" w:eastAsia="Arial" w:hAnsi="Arial"/>
                <w:sz w:val="18"/>
                <w:szCs w:val="18"/>
                <w:color w:val="auto"/>
              </w:rPr>
              <w:t>Form of Proxy Card of Smith International, Inc.</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99.2*</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UBS Securities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To be filed by amendment.</w:t>
      </w:r>
    </w:p>
    <w:p>
      <w:pPr>
        <w:sectPr>
          <w:pgSz w:w="11900" w:h="16838" w:orient="portrait"/>
          <w:cols w:equalWidth="0" w:num="1">
            <w:col w:w="11340"/>
          </w:cols>
          <w:pgMar w:left="240" w:top="460" w:right="31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17,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the Registration Statement on Form S-4 (the “Registration Statement”) being filed by Schlumberger N.V. (Schlumberger Limited), a corporation organized under the laws of the Netherlands Antilles (“Schlumberger”), with the Securities and Exchange Commission under the Securities Act of 1933, as amended (the “Securities Act”), relating to the registration of shares of common stock, par value $0.01 per share (“Common Stock”), of Schlumberger (the “Shares”) to be issued in connection with the merger of Turnberry Merger Sub Inc., a wholly owned subsidiary of Schlumberger, with and into Smith International, Inc. (“Smith”), pursuant to the Agreement and Plan of Merger dated as of February 21, 2010 among Schlumberger, Turnberry Merger Sub Inc., and Smith (the “Merger Agreement”), certain legal matters in connection with the Shares are being passed on for you by me. At your request, this opinion is being furnished for filing as Exhibit 5 to the Registration Statement.</w:t>
      </w:r>
    </w:p>
    <w:p>
      <w:pPr>
        <w:spacing w:after="0" w:line="118"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 am a member of the bar of the State of Texas, and not of any other jurisdiction. I am not admitted to practice in, nor do I hold myself out as an expert on the laws of, the Netherlands Antilles. I have, however, consulted with the law firm of STvB, counsel qualified to practice in the Netherlands Antilles. Insofar as the opinions expressed below involve conclusions as to matters governed by the laws of the Netherlands Antilles, I am relying on the opinion of such counsel.</w:t>
      </w:r>
    </w:p>
    <w:p>
      <w:pPr>
        <w:spacing w:after="0" w:line="8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my capacity as General Counsel and Secretary of Schlumberger, I am familiar with the Articles of Incorporation and Amended and Restated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 I have assumed that all signatures on all documents examined by me are genuine, that all documents submitted to me as originals are accurate and complete, that all documents submitted to me as copies are true and correct copies of the originals thereof and that all information submitted to me was accurate and complete.</w:t>
      </w:r>
    </w:p>
    <w:p>
      <w:pPr>
        <w:spacing w:after="0" w:line="10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In rendering this opinion, I have assumed that prior to the issuance of any of the Shares (i) the Registration Statement, as then amended, will have become effective under the Securities Act and such effectiveness shall not have been terminated or rescinded, (ii) the stockholders of Smith will have adopted the Merger Agreement, and (iii) the other conditions to consummating the transactions contemplated by the Merger Agreement will have been satisfied and such transactions are consummated.</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my examination as aforesaid, I am of the opinion that the Shares have been duly authorized by all necessary corporate action on the part of Schlumberger. Upon issuance and delivery in accordance with the terms and conditions of the Merger Agreement, such Shares will be validly issued, fully paid and nonassessable.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 consent to the filing of this opinion as an exhibit to the Registration Statement. In addition, I consent to the reference to me under the caption “Legal Matters” in the proxy statement/prospectus constituting a part of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Alexander C. Juden, Esq.</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Alexander C. Juden, Esq.</w:t>
      </w:r>
    </w:p>
    <w:p>
      <w:pPr>
        <w:sectPr>
          <w:pgSz w:w="11900" w:h="16838" w:orient="portrait"/>
          <w:cols w:equalWidth="0" w:num="1">
            <w:col w:w="11420"/>
          </w:cols>
          <w:pgMar w:left="240" w:top="125" w:right="239" w:bottom="1440" w:gutter="0" w:footer="0" w:header="0"/>
        </w:sectPr>
      </w:pPr>
    </w:p>
    <w:bookmarkStart w:id="261" w:name="page262"/>
    <w:bookmarkEnd w:id="261"/>
    <w:tbl>
      <w:tblPr>
        <w:tblLayout w:type="fixed"/>
        <w:tblInd w:w="844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ind w:left="420"/>
              <w:spacing w:after="0"/>
              <w:rPr>
                <w:sz w:val="20"/>
                <w:szCs w:val="20"/>
                <w:color w:val="auto"/>
              </w:rPr>
            </w:pPr>
            <w:r>
              <w:rPr>
                <w:rFonts w:ascii="Arial" w:cs="Arial" w:eastAsia="Arial" w:hAnsi="Arial"/>
                <w:sz w:val="18"/>
                <w:szCs w:val="18"/>
                <w:b w:val="1"/>
                <w:bCs w:val="1"/>
                <w:color w:val="auto"/>
                <w:w w:val="88"/>
              </w:rPr>
              <w:t>Exhibit 8.1</w:t>
            </w:r>
          </w:p>
        </w:tc>
        <w:tc>
          <w:tcPr>
            <w:tcW w:w="0" w:type="dxa"/>
            <w:vAlign w:val="bottom"/>
          </w:tcPr>
          <w:p>
            <w:pPr>
              <w:spacing w:after="0"/>
              <w:rPr>
                <w:sz w:val="1"/>
                <w:szCs w:val="1"/>
                <w:color w:val="auto"/>
              </w:rPr>
            </w:pPr>
          </w:p>
        </w:tc>
      </w:tr>
      <w:tr>
        <w:trPr>
          <w:trHeight w:val="352"/>
        </w:trPr>
        <w:tc>
          <w:tcPr>
            <w:tcW w:w="1740" w:type="dxa"/>
            <w:vAlign w:val="bottom"/>
            <w:gridSpan w:val="2"/>
          </w:tcPr>
          <w:p>
            <w:pPr>
              <w:spacing w:after="0"/>
              <w:rPr>
                <w:sz w:val="20"/>
                <w:szCs w:val="20"/>
                <w:color w:val="auto"/>
              </w:rPr>
            </w:pPr>
            <w:r>
              <w:rPr>
                <w:rFonts w:ascii="Arial" w:cs="Arial" w:eastAsia="Arial" w:hAnsi="Arial"/>
                <w:sz w:val="14"/>
                <w:szCs w:val="14"/>
                <w:color w:val="auto"/>
              </w:rPr>
              <w:t>ONE SHELL PLAZA</w:t>
            </w:r>
          </w:p>
        </w:tc>
        <w:tc>
          <w:tcPr>
            <w:tcW w:w="1240" w:type="dxa"/>
            <w:vAlign w:val="bottom"/>
          </w:tcPr>
          <w:p>
            <w:pPr>
              <w:ind w:left="300"/>
              <w:spacing w:after="0"/>
              <w:rPr>
                <w:sz w:val="20"/>
                <w:szCs w:val="20"/>
                <w:color w:val="auto"/>
              </w:rPr>
            </w:pPr>
            <w:r>
              <w:rPr>
                <w:rFonts w:ascii="Arial" w:cs="Arial" w:eastAsia="Arial" w:hAnsi="Arial"/>
                <w:sz w:val="14"/>
                <w:szCs w:val="14"/>
                <w:color w:val="auto"/>
              </w:rPr>
              <w:t>ABU DHABI</w:t>
            </w:r>
          </w:p>
        </w:tc>
        <w:tc>
          <w:tcPr>
            <w:tcW w:w="0" w:type="dxa"/>
            <w:vAlign w:val="bottom"/>
          </w:tcPr>
          <w:p>
            <w:pPr>
              <w:spacing w:after="0"/>
              <w:rPr>
                <w:sz w:val="1"/>
                <w:szCs w:val="1"/>
                <w:color w:val="auto"/>
              </w:rPr>
            </w:pP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910 LOUISIANA</w:t>
            </w:r>
          </w:p>
        </w:tc>
        <w:tc>
          <w:tcPr>
            <w:tcW w:w="1240" w:type="dxa"/>
            <w:vAlign w:val="bottom"/>
          </w:tcPr>
          <w:p>
            <w:pPr>
              <w:ind w:left="300"/>
              <w:spacing w:after="0" w:line="149" w:lineRule="exact"/>
              <w:rPr>
                <w:sz w:val="20"/>
                <w:szCs w:val="20"/>
                <w:color w:val="auto"/>
              </w:rPr>
            </w:pPr>
            <w:r>
              <w:rPr>
                <w:rFonts w:ascii="Arial" w:cs="Arial" w:eastAsia="Arial" w:hAnsi="Arial"/>
                <w:sz w:val="14"/>
                <w:szCs w:val="14"/>
                <w:color w:val="auto"/>
              </w:rPr>
              <w:t>AUSTIN</w:t>
            </w:r>
          </w:p>
        </w:tc>
        <w:tc>
          <w:tcPr>
            <w:tcW w:w="0" w:type="dxa"/>
            <w:vAlign w:val="bottom"/>
          </w:tcPr>
          <w:p>
            <w:pPr>
              <w:spacing w:after="0"/>
              <w:rPr>
                <w:sz w:val="1"/>
                <w:szCs w:val="1"/>
                <w:color w:val="auto"/>
              </w:rPr>
            </w:pP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HOUSTON, TEXAS</w:t>
            </w:r>
          </w:p>
        </w:tc>
        <w:tc>
          <w:tcPr>
            <w:tcW w:w="1240" w:type="dxa"/>
            <w:vAlign w:val="bottom"/>
          </w:tcPr>
          <w:p>
            <w:pPr>
              <w:ind w:left="300"/>
              <w:spacing w:after="0" w:line="149" w:lineRule="exact"/>
              <w:rPr>
                <w:sz w:val="20"/>
                <w:szCs w:val="20"/>
                <w:color w:val="auto"/>
              </w:rPr>
            </w:pPr>
            <w:r>
              <w:rPr>
                <w:rFonts w:ascii="Arial" w:cs="Arial" w:eastAsia="Arial" w:hAnsi="Arial"/>
                <w:sz w:val="14"/>
                <w:szCs w:val="14"/>
                <w:color w:val="auto"/>
              </w:rPr>
              <w:t>BEIJING</w:t>
            </w:r>
          </w:p>
        </w:tc>
        <w:tc>
          <w:tcPr>
            <w:tcW w:w="0" w:type="dxa"/>
            <w:vAlign w:val="bottom"/>
          </w:tcPr>
          <w:p>
            <w:pPr>
              <w:spacing w:after="0"/>
              <w:rPr>
                <w:sz w:val="1"/>
                <w:szCs w:val="1"/>
                <w:color w:val="auto"/>
              </w:rPr>
            </w:pP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77002-4995</w:t>
            </w:r>
          </w:p>
        </w:tc>
        <w:tc>
          <w:tcPr>
            <w:tcW w:w="1240" w:type="dxa"/>
            <w:vAlign w:val="bottom"/>
          </w:tcPr>
          <w:p>
            <w:pPr>
              <w:ind w:left="300"/>
              <w:spacing w:after="0" w:line="149" w:lineRule="exact"/>
              <w:rPr>
                <w:sz w:val="20"/>
                <w:szCs w:val="20"/>
                <w:color w:val="auto"/>
              </w:rPr>
            </w:pPr>
            <w:r>
              <w:rPr>
                <w:rFonts w:ascii="Arial" w:cs="Arial" w:eastAsia="Arial" w:hAnsi="Arial"/>
                <w:sz w:val="14"/>
                <w:szCs w:val="14"/>
                <w:color w:val="auto"/>
              </w:rPr>
              <w:t>DALLAS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40" w:type="dxa"/>
            <w:vAlign w:val="bottom"/>
          </w:tcPr>
          <w:p>
            <w:pPr>
              <w:ind w:left="300"/>
              <w:spacing w:after="0" w:line="149" w:lineRule="exact"/>
              <w:rPr>
                <w:sz w:val="20"/>
                <w:szCs w:val="20"/>
                <w:color w:val="auto"/>
              </w:rPr>
            </w:pPr>
            <w:r>
              <w:rPr>
                <w:rFonts w:ascii="Arial" w:cs="Arial" w:eastAsia="Arial" w:hAnsi="Arial"/>
                <w:sz w:val="14"/>
                <w:szCs w:val="14"/>
                <w:color w:val="auto"/>
              </w:rPr>
              <w:t>DUBAI</w:t>
            </w: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20"/>
                <w:szCs w:val="20"/>
                <w:color w:val="auto"/>
              </w:rPr>
            </w:pPr>
            <w:r>
              <w:rPr>
                <w:rFonts w:ascii="Arial" w:cs="Arial" w:eastAsia="Arial" w:hAnsi="Arial"/>
                <w:sz w:val="14"/>
                <w:szCs w:val="14"/>
                <w:color w:val="auto"/>
              </w:rPr>
              <w:t>TEL</w:t>
            </w:r>
          </w:p>
        </w:tc>
        <w:tc>
          <w:tcPr>
            <w:tcW w:w="1400" w:type="dxa"/>
            <w:vAlign w:val="bottom"/>
            <w:vMerge w:val="restart"/>
          </w:tcPr>
          <w:p>
            <w:pPr>
              <w:jc w:val="right"/>
              <w:ind w:right="252"/>
              <w:spacing w:after="0"/>
              <w:rPr>
                <w:sz w:val="20"/>
                <w:szCs w:val="20"/>
                <w:color w:val="auto"/>
              </w:rPr>
            </w:pPr>
            <w:r>
              <w:rPr>
                <w:rFonts w:ascii="Arial" w:cs="Arial" w:eastAsia="Arial" w:hAnsi="Arial"/>
                <w:sz w:val="14"/>
                <w:szCs w:val="14"/>
                <w:color w:val="auto"/>
              </w:rPr>
              <w:t>+1 713.229.1234</w:t>
            </w:r>
          </w:p>
        </w:tc>
        <w:tc>
          <w:tcPr>
            <w:tcW w:w="1240" w:type="dxa"/>
            <w:vAlign w:val="bottom"/>
          </w:tcPr>
          <w:p>
            <w:pPr>
              <w:ind w:left="300"/>
              <w:spacing w:after="0" w:line="149"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54"/>
        </w:trPr>
        <w:tc>
          <w:tcPr>
            <w:tcW w:w="3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40" w:type="dxa"/>
            <w:vAlign w:val="bottom"/>
            <w:vMerge w:val="restart"/>
          </w:tcPr>
          <w:p>
            <w:pPr>
              <w:ind w:left="300"/>
              <w:spacing w:after="0"/>
              <w:rPr>
                <w:sz w:val="20"/>
                <w:szCs w:val="20"/>
                <w:color w:val="auto"/>
              </w:rPr>
            </w:pPr>
            <w:r>
              <w:rPr>
                <w:rFonts w:ascii="Arial" w:cs="Arial" w:eastAsia="Arial" w:hAnsi="Arial"/>
                <w:sz w:val="14"/>
                <w:szCs w:val="14"/>
                <w:color w:val="auto"/>
              </w:rPr>
              <w:t>HOUSTON</w:t>
            </w:r>
          </w:p>
        </w:tc>
        <w:tc>
          <w:tcPr>
            <w:tcW w:w="0" w:type="dxa"/>
            <w:vAlign w:val="bottom"/>
          </w:tcPr>
          <w:p>
            <w:pPr>
              <w:spacing w:after="0"/>
              <w:rPr>
                <w:sz w:val="1"/>
                <w:szCs w:val="1"/>
                <w:color w:val="auto"/>
              </w:rPr>
            </w:pPr>
          </w:p>
        </w:tc>
      </w:tr>
      <w:tr>
        <w:trPr>
          <w:trHeight w:val="108"/>
        </w:trPr>
        <w:tc>
          <w:tcPr>
            <w:tcW w:w="340" w:type="dxa"/>
            <w:vAlign w:val="bottom"/>
            <w:vMerge w:val="restart"/>
          </w:tcPr>
          <w:p>
            <w:pPr>
              <w:spacing w:after="0"/>
              <w:rPr>
                <w:sz w:val="20"/>
                <w:szCs w:val="20"/>
                <w:color w:val="auto"/>
              </w:rPr>
            </w:pPr>
            <w:r>
              <w:rPr>
                <w:rFonts w:ascii="Arial" w:cs="Arial" w:eastAsia="Arial" w:hAnsi="Arial"/>
                <w:sz w:val="14"/>
                <w:szCs w:val="14"/>
                <w:color w:val="auto"/>
              </w:rPr>
              <w:t>FAX</w:t>
            </w:r>
          </w:p>
        </w:tc>
        <w:tc>
          <w:tcPr>
            <w:tcW w:w="1400" w:type="dxa"/>
            <w:vAlign w:val="bottom"/>
            <w:vMerge w:val="restart"/>
          </w:tcPr>
          <w:p>
            <w:pPr>
              <w:jc w:val="right"/>
              <w:ind w:right="232"/>
              <w:spacing w:after="0"/>
              <w:rPr>
                <w:sz w:val="20"/>
                <w:szCs w:val="20"/>
                <w:color w:val="auto"/>
              </w:rPr>
            </w:pPr>
            <w:r>
              <w:rPr>
                <w:rFonts w:ascii="Arial" w:cs="Arial" w:eastAsia="Arial" w:hAnsi="Arial"/>
                <w:sz w:val="14"/>
                <w:szCs w:val="14"/>
                <w:color w:val="auto"/>
              </w:rPr>
              <w:t>+1 713.229.1522</w:t>
            </w: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1912620" cy="2660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912620" cy="26606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ind w:left="10480"/>
        <w:spacing w:after="0" w:line="197" w:lineRule="auto"/>
        <w:rPr>
          <w:sz w:val="20"/>
          <w:szCs w:val="20"/>
          <w:color w:val="auto"/>
        </w:rPr>
      </w:pPr>
      <w:r>
        <w:rPr>
          <w:rFonts w:ascii="Arial" w:cs="Arial" w:eastAsia="Arial" w:hAnsi="Arial"/>
          <w:sz w:val="10"/>
          <w:szCs w:val="10"/>
          <w:color w:val="auto"/>
        </w:rPr>
        <w:t>LONDON</w:t>
      </w:r>
    </w:p>
    <w:p>
      <w:pPr>
        <w:sectPr>
          <w:pgSz w:w="11900" w:h="16838" w:orient="portrait"/>
          <w:cols w:equalWidth="0" w:num="1">
            <w:col w:w="11420"/>
          </w:cols>
          <w:pgMar w:left="240" w:top="125" w:right="239" w:bottom="1440" w:gutter="0" w:footer="0" w:header="0"/>
          <w:type w:val="continuous"/>
        </w:sectPr>
      </w:pPr>
    </w:p>
    <w:p>
      <w:pPr>
        <w:spacing w:after="0" w:line="123" w:lineRule="exact"/>
        <w:rPr>
          <w:sz w:val="20"/>
          <w:szCs w:val="20"/>
          <w:color w:val="auto"/>
        </w:rPr>
      </w:pPr>
    </w:p>
    <w:p>
      <w:pPr>
        <w:ind w:left="10480"/>
        <w:spacing w:after="0"/>
        <w:rPr>
          <w:sz w:val="20"/>
          <w:szCs w:val="20"/>
          <w:color w:val="auto"/>
        </w:rPr>
      </w:pPr>
      <w:r>
        <w:rPr>
          <w:rFonts w:ascii="Arial" w:cs="Arial" w:eastAsia="Arial" w:hAnsi="Arial"/>
          <w:sz w:val="14"/>
          <w:szCs w:val="14"/>
          <w:color w:val="auto"/>
        </w:rPr>
        <w:t>NEW YORK</w:t>
      </w:r>
    </w:p>
    <w:p>
      <w:pPr>
        <w:ind w:left="10480"/>
        <w:spacing w:after="0" w:line="221" w:lineRule="auto"/>
        <w:rPr>
          <w:sz w:val="20"/>
          <w:szCs w:val="20"/>
          <w:color w:val="auto"/>
        </w:rPr>
      </w:pPr>
      <w:r>
        <w:rPr>
          <w:rFonts w:ascii="Arial" w:cs="Arial" w:eastAsia="Arial" w:hAnsi="Arial"/>
          <w:sz w:val="14"/>
          <w:szCs w:val="14"/>
          <w:color w:val="auto"/>
        </w:rPr>
        <w:t>PALO ALTO</w:t>
      </w:r>
    </w:p>
    <w:p>
      <w:pPr>
        <w:ind w:left="10480"/>
        <w:spacing w:after="0" w:line="221" w:lineRule="auto"/>
        <w:rPr>
          <w:sz w:val="20"/>
          <w:szCs w:val="20"/>
          <w:color w:val="auto"/>
        </w:rPr>
      </w:pPr>
      <w:r>
        <w:rPr>
          <w:rFonts w:ascii="Arial" w:cs="Arial" w:eastAsia="Arial" w:hAnsi="Arial"/>
          <w:sz w:val="14"/>
          <w:szCs w:val="14"/>
          <w:color w:val="auto"/>
        </w:rPr>
        <w:t>RIYADH</w:t>
      </w:r>
    </w:p>
    <w:p>
      <w:pPr>
        <w:spacing w:after="0" w:line="1" w:lineRule="exact"/>
        <w:rPr>
          <w:sz w:val="20"/>
          <w:szCs w:val="20"/>
          <w:color w:val="auto"/>
        </w:rPr>
      </w:pPr>
    </w:p>
    <w:p>
      <w:pPr>
        <w:ind w:left="10480"/>
        <w:spacing w:after="0"/>
        <w:rPr>
          <w:sz w:val="20"/>
          <w:szCs w:val="20"/>
          <w:color w:val="auto"/>
        </w:rPr>
      </w:pPr>
      <w:r>
        <w:rPr>
          <w:rFonts w:ascii="Arial" w:cs="Arial" w:eastAsia="Arial" w:hAnsi="Arial"/>
          <w:sz w:val="12"/>
          <w:szCs w:val="12"/>
          <w:color w:val="auto"/>
        </w:rPr>
        <w:t>WASHINGTON</w:t>
      </w:r>
    </w:p>
    <w:p>
      <w:pPr>
        <w:spacing w:after="0" w:line="178" w:lineRule="exact"/>
        <w:rPr>
          <w:sz w:val="20"/>
          <w:szCs w:val="20"/>
          <w:color w:val="auto"/>
        </w:rPr>
      </w:pPr>
    </w:p>
    <w:p>
      <w:pPr>
        <w:ind w:left="600" w:hanging="592"/>
        <w:spacing w:after="0"/>
        <w:tabs>
          <w:tab w:leader="none" w:pos="6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acted as counsel to Schlumberger Limited, a company organized under the laws of the Netherlands Antilles (“</w:t>
      </w:r>
      <w:r>
        <w:rPr>
          <w:rFonts w:ascii="Arial" w:cs="Arial" w:eastAsia="Arial" w:hAnsi="Arial"/>
          <w:sz w:val="18"/>
          <w:szCs w:val="18"/>
          <w:u w:val="single" w:color="auto"/>
          <w:color w:val="auto"/>
        </w:rPr>
        <w:t>Schlumberger</w:t>
      </w:r>
      <w:r>
        <w:rPr>
          <w:rFonts w:ascii="Arial" w:cs="Arial" w:eastAsia="Arial" w:hAnsi="Arial"/>
          <w:sz w:val="18"/>
          <w:szCs w:val="18"/>
          <w:color w:val="auto"/>
        </w:rPr>
        <w:t>”), in connection with the preparation of the Registration Statement on Form S-4, as amended through the date hereof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relating to the proposed merger of Turnberry Merger Sub Inc., a Delaware corporation and a direct, wholly owned subsidiary of Schlumberger (“</w:t>
      </w:r>
      <w:r>
        <w:rPr>
          <w:rFonts w:ascii="Arial" w:cs="Arial" w:eastAsia="Arial" w:hAnsi="Arial"/>
          <w:sz w:val="18"/>
          <w:szCs w:val="18"/>
          <w:u w:val="single" w:color="auto"/>
          <w:color w:val="auto"/>
        </w:rPr>
        <w:t>Merger Sub</w:t>
      </w:r>
      <w:r>
        <w:rPr>
          <w:rFonts w:ascii="Arial" w:cs="Arial" w:eastAsia="Arial" w:hAnsi="Arial"/>
          <w:sz w:val="18"/>
          <w:szCs w:val="18"/>
          <w:color w:val="auto"/>
        </w:rPr>
        <w:t>”), with and into Smith International, Inc., a Delaware corporation (“</w:t>
      </w:r>
      <w:r>
        <w:rPr>
          <w:rFonts w:ascii="Arial" w:cs="Arial" w:eastAsia="Arial" w:hAnsi="Arial"/>
          <w:sz w:val="18"/>
          <w:szCs w:val="18"/>
          <w:u w:val="single" w:color="auto"/>
          <w:color w:val="auto"/>
        </w:rPr>
        <w:t>Smith</w:t>
      </w:r>
      <w:r>
        <w:rPr>
          <w:rFonts w:ascii="Arial" w:cs="Arial" w:eastAsia="Arial" w:hAnsi="Arial"/>
          <w:sz w:val="18"/>
          <w:szCs w:val="18"/>
          <w:color w:val="auto"/>
        </w:rPr>
        <w:t>”), pursuant to the Agreement and Plan of Merger, dated February 21, 2010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among Schlumberger, Merger Sub, and Smith.</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your request, this opinion of counsel is being furnished to you for filing as an exhibit to the Registration Statement. In arriving at the opinion expressed below, we have examined and relied upon the Merger Agreement and the Proxy Statement/Prospectus which is included in the Registration Statement (the “</w:t>
      </w:r>
      <w:r>
        <w:rPr>
          <w:rFonts w:ascii="Arial" w:cs="Arial" w:eastAsia="Arial" w:hAnsi="Arial"/>
          <w:sz w:val="18"/>
          <w:szCs w:val="18"/>
          <w:u w:val="single" w:color="auto"/>
          <w:color w:val="auto"/>
        </w:rPr>
        <w:t>Proxy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Statement/Prospectus</w:t>
      </w:r>
      <w:r>
        <w:rPr>
          <w:rFonts w:ascii="Arial" w:cs="Arial" w:eastAsia="Arial" w:hAnsi="Arial"/>
          <w:sz w:val="18"/>
          <w:szCs w:val="18"/>
          <w:color w:val="auto"/>
        </w:rPr>
        <w:t>”).</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 our opinion, the discussion appearing under the heading “THE MERGER—Material U.S. Federal Income Tax Consequences—The Merger” in the Proxy Statement/Prospectus, insofar as it summarizes United States federal income tax law, is accurate in all material respects.</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hereby consent to the filing of this opinion with the Securities and Exchange Commission as an exhibit to the Registration Statement and to the references to our Firm therein. In giving this consent, however, we do not hereby admit that we are within the category of persons whose consent is required under section 7 of the Securities Act of 1933, as amended, or the rules and regulations issued thereunder.</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420"/>
          </w:cols>
          <w:pgMar w:left="240" w:top="125" w:right="239" w:bottom="1440" w:gutter="0" w:footer="0" w:header="0"/>
          <w:type w:val="continuous"/>
        </w:sectPr>
      </w:pPr>
    </w:p>
    <w:bookmarkStart w:id="262" w:name="page263"/>
    <w:bookmarkEnd w:id="262"/>
    <w:p>
      <w:pPr>
        <w:jc w:val="center"/>
        <w:spacing w:after="0"/>
        <w:rPr>
          <w:sz w:val="20"/>
          <w:szCs w:val="20"/>
          <w:color w:val="auto"/>
        </w:rPr>
      </w:pPr>
      <w:r>
        <w:rPr>
          <w:rFonts w:ascii="Arial" w:cs="Arial" w:eastAsia="Arial" w:hAnsi="Arial"/>
          <w:sz w:val="18"/>
          <w:szCs w:val="18"/>
          <w:color w:val="auto"/>
        </w:rPr>
        <w:t>[Letterhead of Wachtell, Lipton, Rosen &amp; Katz]</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8.2</w:t>
      </w:r>
    </w:p>
    <w:p>
      <w:pPr>
        <w:spacing w:after="0" w:line="177" w:lineRule="exact"/>
        <w:rPr>
          <w:sz w:val="20"/>
          <w:szCs w:val="20"/>
          <w:color w:val="auto"/>
        </w:rPr>
      </w:pPr>
    </w:p>
    <w:p>
      <w:pPr>
        <w:ind w:left="5760" w:hanging="587"/>
        <w:spacing w:after="0"/>
        <w:tabs>
          <w:tab w:leader="none" w:pos="57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Smith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1310 Rankin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77073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Reference is made to the Registration Statement on Form S-4 (as amended through the date hereof,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of Schlumberger N.V. (Schlumberger Limited), a company organized under the laws of the Netherlands Antilles (“</w:t>
      </w:r>
      <w:r>
        <w:rPr>
          <w:rFonts w:ascii="Arial" w:cs="Arial" w:eastAsia="Arial" w:hAnsi="Arial"/>
          <w:sz w:val="18"/>
          <w:szCs w:val="18"/>
          <w:u w:val="single" w:color="auto"/>
          <w:color w:val="auto"/>
        </w:rPr>
        <w:t>Schlumberger</w:t>
      </w:r>
      <w:r>
        <w:rPr>
          <w:rFonts w:ascii="Arial" w:cs="Arial" w:eastAsia="Arial" w:hAnsi="Arial"/>
          <w:sz w:val="18"/>
          <w:szCs w:val="18"/>
          <w:color w:val="auto"/>
        </w:rPr>
        <w:t>”), including the proxy statement of Smith International, Inc., a Delaware corporation (“</w:t>
      </w:r>
      <w:r>
        <w:rPr>
          <w:rFonts w:ascii="Arial" w:cs="Arial" w:eastAsia="Arial" w:hAnsi="Arial"/>
          <w:sz w:val="18"/>
          <w:szCs w:val="18"/>
          <w:u w:val="single" w:color="auto"/>
          <w:color w:val="auto"/>
        </w:rPr>
        <w:t>Smith</w:t>
      </w:r>
      <w:r>
        <w:rPr>
          <w:rFonts w:ascii="Arial" w:cs="Arial" w:eastAsia="Arial" w:hAnsi="Arial"/>
          <w:sz w:val="18"/>
          <w:szCs w:val="18"/>
          <w:color w:val="auto"/>
        </w:rPr>
        <w:t>”), forming a part thereof, relating to the proposed merger of Turnberry Merger Sub Inc., a Delaware corporation and a direct wholly owned subsidiary of Schlumberger, with and into Smith.</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participated in the preparation of the discussion set forth in the section entitled “THE MERGER—Material U.S. Federal Income Tax Consequences—The Merger” in the Registration Statement. In our opinion, such discussion of those consequences, insofar as it summarizes United States federal income tax law, is accurate in all material respects.</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131"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23.4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S-4 of our report dated February 5, 2010 relating to the consolidated financial statements and the effectiveness of internal control over financial reporting, which appears in Schlumberger Limited’s Annual Report on Form 10-K for the year ended December 31, 2009. We also consent to the reference to us under the heading “Experts” in such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2010</w:t>
      </w:r>
    </w:p>
    <w:p>
      <w:pPr>
        <w:sectPr>
          <w:pgSz w:w="11900" w:h="16838" w:orient="portrait"/>
          <w:cols w:equalWidth="0" w:num="1">
            <w:col w:w="11420"/>
          </w:cols>
          <w:pgMar w:left="240" w:top="125"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23.5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consent to the incorporation by reference in this Amendment 1 to this Registration Statement on Form S-4 of our reports dated March 1, 2010, relating to the consolidated financial statements and financial statement schedule of Smith International, Inc. and subsidiaries (the “Company”), and the effectiveness of the Company’s internal control over financial reporting appearing in the Annual Report on Form 10-K of Smith International, Inc. and subsidiaries for the year ended December 31, 2009, and to the reference to us under the heading “Experts” in the proxy statement/prospectus which is part of this Registration Statement.</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2010</w:t>
      </w:r>
    </w:p>
    <w:p>
      <w:pPr>
        <w:sectPr>
          <w:pgSz w:w="11900" w:h="16838" w:orient="portrait"/>
          <w:cols w:equalWidth="0" w:num="1">
            <w:col w:w="11420"/>
          </w:cols>
          <w:pgMar w:left="240" w:top="125"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OWER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TTORNEY</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Netherlands Antilles corporation (the “Corporation”), hereby constitutes and appoints Simon Ayat, Howard Guild and Alexander C. Juden, and each of them, the true and lawful attorneys-in-fact and agents of the undersigned, each of whom shall be authorized to act with or without the others, with full power of substitution and resubstitution, for and in the name, place and stead of the undersigned to execute one or more registration statements (whether on Form S-4 or such other form as may be required) relating to the issuance of the Corporation’s common stock in connection with the merger of a wholly owned subsidiary of the Corporation with and into Smith International, Inc. and any and all amendments (including post-effective amendments) thereto, and any and all other instruments and documents as may be necessary, advisable or appropriate to enable the Corporation to comply with the Securities Act of 1933, as amended, and all other federal and state securities laws, and to file the same or cause the same to be filed, with all exhibits thereto, with the Securities and Exchange Commission. Said attorneys shall have full power and authority to do and perform in the name and on behalf of the undersigned in any and all capacities every act whatsoever necessary or desirable to be done, as fully and for all intents and purposes as the undersigned might or could do in person, the undersigned hereby ratifying and approving the acts of said attorneys.</w:t>
      </w:r>
    </w:p>
    <w:p>
      <w:pPr>
        <w:sectPr>
          <w:pgSz w:w="11900" w:h="16838" w:orient="portrait"/>
          <w:cols w:equalWidth="0" w:num="1">
            <w:col w:w="11420"/>
          </w:cols>
          <w:pgMar w:left="240" w:top="125" w:right="239" w:bottom="1440" w:gutter="0" w:footer="0" w:header="0"/>
        </w:sectPr>
      </w:pPr>
    </w:p>
    <w:p>
      <w:pPr>
        <w:spacing w:after="0" w:line="384" w:lineRule="exact"/>
        <w:rPr>
          <w:sz w:val="20"/>
          <w:szCs w:val="20"/>
          <w:color w:val="auto"/>
        </w:rPr>
      </w:pPr>
    </w:p>
    <w:p>
      <w:pPr>
        <w:ind w:left="1820"/>
        <w:spacing w:after="0"/>
        <w:tabs>
          <w:tab w:leader="none" w:pos="2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Andrew Gould</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line="222" w:lineRule="auto"/>
        <w:rPr>
          <w:sz w:val="20"/>
          <w:szCs w:val="20"/>
          <w:color w:val="auto"/>
        </w:rPr>
      </w:pPr>
      <w:r>
        <w:rPr>
          <w:rFonts w:ascii="Arial" w:cs="Arial" w:eastAsia="Arial" w:hAnsi="Arial"/>
          <w:sz w:val="14"/>
          <w:szCs w:val="14"/>
          <w:b w:val="1"/>
          <w:bCs w:val="1"/>
          <w:color w:val="auto"/>
        </w:rPr>
        <w:t>Chairman and Chief Executive Officer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820"/>
        <w:spacing w:after="0"/>
        <w:tabs>
          <w:tab w:leader="none" w:pos="2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HILIPPE</w:t>
      </w:r>
      <w:r>
        <w:rPr>
          <w:rFonts w:ascii="Arial" w:cs="Arial" w:eastAsia="Arial" w:hAnsi="Arial"/>
          <w:sz w:val="16"/>
          <w:szCs w:val="16"/>
          <w:color w:val="auto"/>
        </w:rPr>
        <w:t xml:space="preserve"> C</w:t>
      </w:r>
      <w:r>
        <w:rPr>
          <w:rFonts w:ascii="Arial" w:cs="Arial" w:eastAsia="Arial" w:hAnsi="Arial"/>
          <w:sz w:val="13"/>
          <w:szCs w:val="13"/>
          <w:color w:val="auto"/>
        </w:rPr>
        <w:t>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Philippe Camus</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720"/>
        <w:spacing w:after="0"/>
        <w:tabs>
          <w:tab w:leader="none" w:pos="20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L.S. C</w:t>
      </w:r>
      <w:r>
        <w:rPr>
          <w:rFonts w:ascii="Arial" w:cs="Arial" w:eastAsia="Arial" w:hAnsi="Arial"/>
          <w:sz w:val="13"/>
          <w:szCs w:val="13"/>
          <w:color w:val="auto"/>
        </w:rPr>
        <w:t>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Peter L.S. Currie</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720"/>
        <w:spacing w:after="0"/>
        <w:tabs>
          <w:tab w:leader="none" w:pos="20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AMIE</w:t>
      </w:r>
      <w:r>
        <w:rPr>
          <w:rFonts w:ascii="Arial" w:cs="Arial" w:eastAsia="Arial" w:hAnsi="Arial"/>
          <w:sz w:val="16"/>
          <w:szCs w:val="16"/>
          <w:color w:val="auto"/>
        </w:rPr>
        <w:t xml:space="preserve"> S. G</w:t>
      </w:r>
      <w:r>
        <w:rPr>
          <w:rFonts w:ascii="Arial" w:cs="Arial" w:eastAsia="Arial" w:hAnsi="Arial"/>
          <w:sz w:val="13"/>
          <w:szCs w:val="13"/>
          <w:color w:val="auto"/>
        </w:rPr>
        <w:t>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Jamie S. Gorelick</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T</w:t>
      </w:r>
      <w:r>
        <w:rPr>
          <w:rFonts w:ascii="Arial" w:cs="Arial" w:eastAsia="Arial" w:hAnsi="Arial"/>
          <w:sz w:val="14"/>
          <w:szCs w:val="14"/>
          <w:color w:val="auto"/>
        </w:rPr>
        <w:t>ONY</w:t>
      </w:r>
      <w:r>
        <w:rPr>
          <w:rFonts w:ascii="Arial" w:cs="Arial" w:eastAsia="Arial" w:hAnsi="Arial"/>
          <w:sz w:val="18"/>
          <w:szCs w:val="18"/>
          <w:color w:val="auto"/>
        </w:rPr>
        <w:t xml:space="preserve"> I</w:t>
      </w:r>
      <w:r>
        <w:rPr>
          <w:rFonts w:ascii="Arial" w:cs="Arial" w:eastAsia="Arial" w:hAnsi="Arial"/>
          <w:sz w:val="14"/>
          <w:szCs w:val="14"/>
          <w:color w:val="auto"/>
        </w:rPr>
        <w:t>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Tony Isaac</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680"/>
        <w:spacing w:after="0"/>
        <w:tabs>
          <w:tab w:leader="none" w:pos="20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 V</w:t>
      </w:r>
      <w:r>
        <w:rPr>
          <w:rFonts w:ascii="Arial" w:cs="Arial" w:eastAsia="Arial" w:hAnsi="Arial"/>
          <w:sz w:val="14"/>
          <w:szCs w:val="14"/>
          <w:color w:val="auto"/>
        </w:rPr>
        <w:t>AMAN</w:t>
      </w:r>
      <w:r>
        <w:rPr>
          <w:rFonts w:ascii="Arial" w:cs="Arial" w:eastAsia="Arial" w:hAnsi="Arial"/>
          <w:sz w:val="18"/>
          <w:szCs w:val="18"/>
          <w:color w:val="auto"/>
        </w:rPr>
        <w:t xml:space="preserve"> K</w:t>
      </w:r>
      <w:r>
        <w:rPr>
          <w:rFonts w:ascii="Arial" w:cs="Arial" w:eastAsia="Arial" w:hAnsi="Arial"/>
          <w:sz w:val="14"/>
          <w:szCs w:val="14"/>
          <w:color w:val="auto"/>
        </w:rPr>
        <w:t>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K. Vaman Kamath</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Simon Ayat</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0"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N</w:t>
      </w:r>
      <w:r>
        <w:rPr>
          <w:rFonts w:ascii="Arial" w:cs="Arial" w:eastAsia="Arial" w:hAnsi="Arial"/>
          <w:sz w:val="14"/>
          <w:szCs w:val="14"/>
          <w:color w:val="auto"/>
        </w:rPr>
        <w:t>IKOLAY</w:t>
      </w:r>
      <w:r>
        <w:rPr>
          <w:rFonts w:ascii="Arial" w:cs="Arial" w:eastAsia="Arial" w:hAnsi="Arial"/>
          <w:sz w:val="18"/>
          <w:szCs w:val="18"/>
          <w:color w:val="auto"/>
        </w:rPr>
        <w:t xml:space="preserve"> K</w:t>
      </w:r>
      <w:r>
        <w:rPr>
          <w:rFonts w:ascii="Arial" w:cs="Arial" w:eastAsia="Arial" w:hAnsi="Arial"/>
          <w:sz w:val="14"/>
          <w:szCs w:val="14"/>
          <w:color w:val="auto"/>
        </w:rPr>
        <w:t>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Nikolay Kudryavtsev</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22, 2010</w:t>
      </w:r>
    </w:p>
    <w:p>
      <w:pPr>
        <w:spacing w:after="0" w:line="357" w:lineRule="exact"/>
        <w:rPr>
          <w:sz w:val="20"/>
          <w:szCs w:val="20"/>
          <w:color w:val="auto"/>
        </w:rPr>
      </w:pPr>
    </w:p>
    <w:p>
      <w:pPr>
        <w:ind w:left="300"/>
        <w:spacing w:after="0"/>
        <w:tabs>
          <w:tab w:leader="none" w:pos="6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DRIAN</w:t>
      </w:r>
      <w:r>
        <w:rPr>
          <w:rFonts w:ascii="Arial" w:cs="Arial" w:eastAsia="Arial" w:hAnsi="Arial"/>
          <w:sz w:val="18"/>
          <w:szCs w:val="18"/>
          <w:color w:val="auto"/>
        </w:rPr>
        <w:t xml:space="preserve"> L</w:t>
      </w:r>
      <w:r>
        <w:rPr>
          <w:rFonts w:ascii="Arial" w:cs="Arial" w:eastAsia="Arial" w:hAnsi="Arial"/>
          <w:sz w:val="14"/>
          <w:szCs w:val="14"/>
          <w:color w:val="auto"/>
        </w:rPr>
        <w:t>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Adrian Lajous</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E. M</w:t>
      </w:r>
      <w:r>
        <w:rPr>
          <w:rFonts w:ascii="Arial" w:cs="Arial" w:eastAsia="Arial" w:hAnsi="Arial"/>
          <w:sz w:val="14"/>
          <w:szCs w:val="14"/>
          <w:color w:val="auto"/>
        </w:rPr>
        <w:t>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Michael E. Marks</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EO</w:t>
      </w:r>
      <w:r>
        <w:rPr>
          <w:rFonts w:ascii="Arial" w:cs="Arial" w:eastAsia="Arial" w:hAnsi="Arial"/>
          <w:sz w:val="16"/>
          <w:szCs w:val="16"/>
          <w:color w:val="auto"/>
        </w:rPr>
        <w:t xml:space="preserve"> R</w:t>
      </w:r>
      <w:r>
        <w:rPr>
          <w:rFonts w:ascii="Arial" w:cs="Arial" w:eastAsia="Arial" w:hAnsi="Arial"/>
          <w:sz w:val="13"/>
          <w:szCs w:val="13"/>
          <w:color w:val="auto"/>
        </w:rPr>
        <w:t>AFAEL</w:t>
      </w:r>
      <w:r>
        <w:rPr>
          <w:rFonts w:ascii="Arial" w:cs="Arial" w:eastAsia="Arial" w:hAnsi="Arial"/>
          <w:sz w:val="16"/>
          <w:szCs w:val="16"/>
          <w:color w:val="auto"/>
        </w:rPr>
        <w:t xml:space="preserve"> R</w:t>
      </w:r>
      <w:r>
        <w:rPr>
          <w:rFonts w:ascii="Arial" w:cs="Arial" w:eastAsia="Arial" w:hAnsi="Arial"/>
          <w:sz w:val="13"/>
          <w:szCs w:val="13"/>
          <w:color w:val="auto"/>
        </w:rPr>
        <w:t>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Leo Rafael Reif</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200"/>
        <w:spacing w:after="0"/>
        <w:tabs>
          <w:tab w:leader="none" w:pos="5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T</w:t>
      </w:r>
      <w:r>
        <w:rPr>
          <w:rFonts w:ascii="Arial" w:cs="Arial" w:eastAsia="Arial" w:hAnsi="Arial"/>
          <w:sz w:val="14"/>
          <w:szCs w:val="14"/>
          <w:color w:val="auto"/>
        </w:rPr>
        <w:t>ORE</w:t>
      </w:r>
      <w:r>
        <w:rPr>
          <w:rFonts w:ascii="Arial" w:cs="Arial" w:eastAsia="Arial" w:hAnsi="Arial"/>
          <w:sz w:val="18"/>
          <w:szCs w:val="18"/>
          <w:color w:val="auto"/>
        </w:rPr>
        <w:t xml:space="preserve"> I. S</w:t>
      </w:r>
      <w:r>
        <w:rPr>
          <w:rFonts w:ascii="Arial" w:cs="Arial" w:eastAsia="Arial" w:hAnsi="Arial"/>
          <w:sz w:val="14"/>
          <w:szCs w:val="14"/>
          <w:color w:val="auto"/>
        </w:rPr>
        <w:t>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Tore I. Sandvold</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29, 2010</w:t>
      </w:r>
    </w:p>
    <w:p>
      <w:pPr>
        <w:spacing w:after="0" w:line="208"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w:t>
      </w:r>
      <w:r>
        <w:rPr>
          <w:rFonts w:ascii="Arial" w:cs="Arial" w:eastAsia="Arial" w:hAnsi="Arial"/>
          <w:sz w:val="13"/>
          <w:szCs w:val="13"/>
          <w:color w:val="auto"/>
        </w:rPr>
        <w:t>ENRI</w:t>
      </w:r>
      <w:r>
        <w:rPr>
          <w:rFonts w:ascii="Arial" w:cs="Arial" w:eastAsia="Arial" w:hAnsi="Arial"/>
          <w:sz w:val="16"/>
          <w:szCs w:val="16"/>
          <w:color w:val="auto"/>
        </w:rPr>
        <w:t xml:space="preserve"> S</w:t>
      </w:r>
      <w:r>
        <w:rPr>
          <w:rFonts w:ascii="Arial" w:cs="Arial" w:eastAsia="Arial" w:hAnsi="Arial"/>
          <w:sz w:val="13"/>
          <w:szCs w:val="13"/>
          <w:color w:val="auto"/>
        </w:rPr>
        <w:t>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Henri Seydoux</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22, 2010</w:t>
      </w:r>
    </w:p>
    <w:p>
      <w:pPr>
        <w:sectPr>
          <w:pgSz w:w="11900" w:h="16838" w:orient="portrait"/>
          <w:cols w:equalWidth="0" w:num="2">
            <w:col w:w="6680" w:space="720"/>
            <w:col w:w="4020"/>
          </w:cols>
          <w:pgMar w:left="240" w:top="125" w:right="239" w:bottom="1440" w:gutter="0" w:footer="0" w:header="0"/>
          <w:type w:val="continuous"/>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UBS SECURITIES LLC</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hereby consent to the use of our opinion letter dated February 20, 2010 to the Board of Directors of Smith International, Inc. (“Smith”) included as Appendix B to the Proxy Statement/Prospectus which forms a part of the Registration Statement on Form S-4 relating to the proposed merger of Smith and Schlumberger Limited and references to such opinion in such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UBS SECURITIES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2010</w:t>
      </w:r>
    </w:p>
    <w:p>
      <w:pPr>
        <w:sectPr>
          <w:pgSz w:w="11900" w:h="16838" w:orient="portrait"/>
          <w:cols w:equalWidth="0" w:num="1">
            <w:col w:w="11420"/>
          </w:cols>
          <w:pgMar w:left="240" w:top="125" w:right="239" w:bottom="1440" w:gutter="0" w:footer="0" w:header="0"/>
        </w:sectPr>
      </w:pPr>
    </w:p>
    <w:bookmarkStart w:id="267" w:name="page268"/>
    <w:bookmarkEnd w:id="267"/>
    <w:tbl>
      <w:tblPr>
        <w:tblLayout w:type="fixed"/>
        <w:tblInd w:w="8460" w:type="dxa"/>
        <w:tblCellMar>
          <w:top w:w="0" w:type="dxa"/>
          <w:left w:w="0" w:type="dxa"/>
          <w:bottom w:w="0" w:type="dxa"/>
          <w:right w:w="0" w:type="dxa"/>
        </w:tblCellMar>
      </w:tblPr>
      <w:tr>
        <w:trPr>
          <w:trHeight w:val="161"/>
        </w:trPr>
        <w:tc>
          <w:tcPr>
            <w:tcW w:w="1620" w:type="dxa"/>
            <w:vAlign w:val="bottom"/>
            <w:gridSpan w:val="2"/>
          </w:tcPr>
          <w:p>
            <w:pPr>
              <w:spacing w:after="0"/>
              <w:rPr>
                <w:sz w:val="20"/>
                <w:szCs w:val="20"/>
                <w:color w:val="auto"/>
              </w:rPr>
            </w:pPr>
            <w:r>
              <w:rPr>
                <w:rFonts w:ascii="Arial" w:cs="Arial" w:eastAsia="Arial" w:hAnsi="Arial"/>
                <w:sz w:val="14"/>
                <w:szCs w:val="14"/>
                <w:color w:val="auto"/>
              </w:rPr>
              <w:t>ONE SHELL PLAZA</w:t>
            </w:r>
          </w:p>
        </w:tc>
        <w:tc>
          <w:tcPr>
            <w:tcW w:w="1220" w:type="dxa"/>
            <w:vAlign w:val="bottom"/>
          </w:tcPr>
          <w:p>
            <w:pPr>
              <w:ind w:left="320"/>
              <w:spacing w:after="0"/>
              <w:rPr>
                <w:sz w:val="20"/>
                <w:szCs w:val="20"/>
                <w:color w:val="auto"/>
              </w:rPr>
            </w:pPr>
            <w:r>
              <w:rPr>
                <w:rFonts w:ascii="Arial" w:cs="Arial" w:eastAsia="Arial" w:hAnsi="Arial"/>
                <w:sz w:val="14"/>
                <w:szCs w:val="14"/>
                <w:color w:val="auto"/>
              </w:rPr>
              <w:t>ABU DHABI</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910 LOUISIANA</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AUSTIN</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HOUSTON, TEXAS</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BEIJING</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77002-4995</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DALLAS</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color w:val="auto"/>
              </w:rPr>
              <w:t>TEL</w:t>
            </w:r>
          </w:p>
        </w:tc>
        <w:tc>
          <w:tcPr>
            <w:tcW w:w="1300" w:type="dxa"/>
            <w:vAlign w:val="bottom"/>
            <w:vMerge w:val="restart"/>
          </w:tcPr>
          <w:p>
            <w:pPr>
              <w:jc w:val="right"/>
              <w:ind w:right="252"/>
              <w:spacing w:after="0"/>
              <w:rPr>
                <w:sz w:val="20"/>
                <w:szCs w:val="20"/>
                <w:color w:val="auto"/>
              </w:rPr>
            </w:pPr>
            <w:r>
              <w:rPr>
                <w:rFonts w:ascii="Arial" w:cs="Arial" w:eastAsia="Arial" w:hAnsi="Arial"/>
                <w:sz w:val="14"/>
                <w:szCs w:val="14"/>
                <w:color w:val="auto"/>
                <w:w w:val="90"/>
              </w:rPr>
              <w:t>+1 713.229.1234</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DUBAI</w:t>
            </w: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restart"/>
          </w:tcPr>
          <w:p>
            <w:pPr>
              <w:ind w:left="320"/>
              <w:spacing w:after="0" w:line="149"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68"/>
        </w:trPr>
        <w:tc>
          <w:tcPr>
            <w:tcW w:w="320" w:type="dxa"/>
            <w:vAlign w:val="bottom"/>
            <w:vMerge w:val="restart"/>
          </w:tcPr>
          <w:p>
            <w:pPr>
              <w:spacing w:after="0" w:line="149" w:lineRule="exact"/>
              <w:rPr>
                <w:sz w:val="20"/>
                <w:szCs w:val="20"/>
                <w:color w:val="auto"/>
              </w:rPr>
            </w:pPr>
            <w:r>
              <w:rPr>
                <w:rFonts w:ascii="Arial" w:cs="Arial" w:eastAsia="Arial" w:hAnsi="Arial"/>
                <w:sz w:val="14"/>
                <w:szCs w:val="14"/>
                <w:color w:val="auto"/>
              </w:rPr>
              <w:t>FAX</w:t>
            </w:r>
          </w:p>
        </w:tc>
        <w:tc>
          <w:tcPr>
            <w:tcW w:w="1300" w:type="dxa"/>
            <w:vAlign w:val="bottom"/>
            <w:vMerge w:val="restart"/>
          </w:tcPr>
          <w:p>
            <w:pPr>
              <w:jc w:val="right"/>
              <w:ind w:right="232"/>
              <w:spacing w:after="0" w:line="149" w:lineRule="exact"/>
              <w:rPr>
                <w:sz w:val="20"/>
                <w:szCs w:val="20"/>
                <w:color w:val="auto"/>
              </w:rPr>
            </w:pPr>
            <w:r>
              <w:rPr>
                <w:rFonts w:ascii="Arial" w:cs="Arial" w:eastAsia="Arial" w:hAnsi="Arial"/>
                <w:sz w:val="14"/>
                <w:szCs w:val="14"/>
                <w:color w:val="auto"/>
                <w:w w:val="92"/>
              </w:rPr>
              <w:t>+1 713.229.1522</w:t>
            </w: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restart"/>
          </w:tcPr>
          <w:p>
            <w:pPr>
              <w:ind w:left="320"/>
              <w:spacing w:after="0" w:line="149" w:lineRule="exact"/>
              <w:rPr>
                <w:sz w:val="20"/>
                <w:szCs w:val="20"/>
                <w:color w:val="auto"/>
              </w:rPr>
            </w:pPr>
            <w:r>
              <w:rPr>
                <w:rFonts w:ascii="Arial" w:cs="Arial" w:eastAsia="Arial" w:hAnsi="Arial"/>
                <w:sz w:val="14"/>
                <w:szCs w:val="14"/>
                <w:color w:val="auto"/>
              </w:rPr>
              <w:t>HOUSTON</w:t>
            </w:r>
          </w:p>
        </w:tc>
        <w:tc>
          <w:tcPr>
            <w:tcW w:w="0" w:type="dxa"/>
            <w:vAlign w:val="bottom"/>
          </w:tcPr>
          <w:p>
            <w:pPr>
              <w:spacing w:after="0"/>
              <w:rPr>
                <w:sz w:val="1"/>
                <w:szCs w:val="1"/>
                <w:color w:val="auto"/>
              </w:rPr>
            </w:pPr>
          </w:p>
        </w:tc>
      </w:tr>
      <w:tr>
        <w:trPr>
          <w:trHeight w:val="68"/>
        </w:trPr>
        <w:tc>
          <w:tcPr>
            <w:tcW w:w="1620" w:type="dxa"/>
            <w:vAlign w:val="bottom"/>
            <w:gridSpan w:val="2"/>
            <w:vMerge w:val="restart"/>
          </w:tcPr>
          <w:p>
            <w:pPr>
              <w:spacing w:after="0"/>
              <w:rPr>
                <w:sz w:val="20"/>
                <w:szCs w:val="20"/>
                <w:color w:val="auto"/>
              </w:rPr>
            </w:pPr>
            <w:r>
              <w:rPr>
                <w:rFonts w:ascii="Arial" w:cs="Arial" w:eastAsia="Arial" w:hAnsi="Arial"/>
                <w:sz w:val="14"/>
                <w:szCs w:val="14"/>
                <w:color w:val="auto"/>
              </w:rPr>
              <w:t>www.bakerbotts.com</w:t>
            </w: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620" w:type="dxa"/>
            <w:vAlign w:val="bottom"/>
            <w:gridSpan w:val="2"/>
            <w:vMerge w:val="continue"/>
          </w:tcPr>
          <w:p>
            <w:pPr>
              <w:spacing w:after="0"/>
              <w:rPr>
                <w:sz w:val="9"/>
                <w:szCs w:val="9"/>
                <w:color w:val="auto"/>
              </w:rPr>
            </w:pPr>
          </w:p>
        </w:tc>
        <w:tc>
          <w:tcPr>
            <w:tcW w:w="1220" w:type="dxa"/>
            <w:vAlign w:val="bottom"/>
            <w:vMerge w:val="restart"/>
          </w:tcPr>
          <w:p>
            <w:pPr>
              <w:ind w:left="320"/>
              <w:spacing w:after="0" w:line="149" w:lineRule="exact"/>
              <w:rPr>
                <w:sz w:val="20"/>
                <w:szCs w:val="20"/>
                <w:color w:val="auto"/>
              </w:rPr>
            </w:pPr>
            <w:r>
              <w:rPr>
                <w:rFonts w:ascii="Arial" w:cs="Arial" w:eastAsia="Arial" w:hAnsi="Arial"/>
                <w:sz w:val="14"/>
                <w:szCs w:val="14"/>
                <w:color w:val="auto"/>
              </w:rPr>
              <w:t>LONDON</w:t>
            </w:r>
          </w:p>
        </w:tc>
        <w:tc>
          <w:tcPr>
            <w:tcW w:w="0" w:type="dxa"/>
            <w:vAlign w:val="bottom"/>
          </w:tcPr>
          <w:p>
            <w:pPr>
              <w:spacing w:after="0"/>
              <w:rPr>
                <w:sz w:val="1"/>
                <w:szCs w:val="1"/>
                <w:color w:val="auto"/>
              </w:rPr>
            </w:pPr>
          </w:p>
        </w:tc>
      </w:tr>
      <w:tr>
        <w:trPr>
          <w:trHeight w:val="44"/>
        </w:trPr>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MOSCOW</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NEW YORK</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PALO ALTO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RIYADH</w:t>
            </w:r>
          </w:p>
        </w:tc>
        <w:tc>
          <w:tcPr>
            <w:tcW w:w="0" w:type="dxa"/>
            <w:vAlign w:val="bottom"/>
          </w:tcPr>
          <w:p>
            <w:pPr>
              <w:spacing w:after="0"/>
              <w:rPr>
                <w:sz w:val="1"/>
                <w:szCs w:val="1"/>
                <w:color w:val="auto"/>
              </w:rPr>
            </w:pPr>
          </w:p>
        </w:tc>
      </w:tr>
      <w:tr>
        <w:trPr>
          <w:trHeight w:val="172"/>
        </w:trPr>
        <w:tc>
          <w:tcPr>
            <w:tcW w:w="1620" w:type="dxa"/>
            <w:vAlign w:val="bottom"/>
            <w:gridSpan w:val="2"/>
            <w:vMerge w:val="restart"/>
          </w:tcPr>
          <w:p>
            <w:pPr>
              <w:spacing w:after="0"/>
              <w:rPr>
                <w:sz w:val="20"/>
                <w:szCs w:val="20"/>
                <w:color w:val="auto"/>
              </w:rPr>
            </w:pPr>
            <w:r>
              <w:rPr>
                <w:rFonts w:ascii="Arial" w:cs="Arial" w:eastAsia="Arial" w:hAnsi="Arial"/>
                <w:sz w:val="14"/>
                <w:szCs w:val="14"/>
                <w:color w:val="auto"/>
              </w:rPr>
              <w:t>Andrew J. Ericksen</w:t>
            </w:r>
          </w:p>
        </w:tc>
        <w:tc>
          <w:tcPr>
            <w:tcW w:w="1220" w:type="dxa"/>
            <w:vAlign w:val="bottom"/>
          </w:tcPr>
          <w:p>
            <w:pPr>
              <w:ind w:left="320"/>
              <w:spacing w:after="0"/>
              <w:rPr>
                <w:sz w:val="20"/>
                <w:szCs w:val="20"/>
                <w:color w:val="auto"/>
              </w:rPr>
            </w:pPr>
            <w:r>
              <w:rPr>
                <w:rFonts w:ascii="Arial" w:cs="Arial" w:eastAsia="Arial" w:hAnsi="Arial"/>
                <w:sz w:val="14"/>
                <w:szCs w:val="14"/>
                <w:color w:val="auto"/>
                <w:w w:val="91"/>
              </w:rPr>
              <w:t>WASHINGTON</w:t>
            </w:r>
          </w:p>
        </w:tc>
        <w:tc>
          <w:tcPr>
            <w:tcW w:w="0" w:type="dxa"/>
            <w:vAlign w:val="bottom"/>
          </w:tcPr>
          <w:p>
            <w:pPr>
              <w:spacing w:after="0"/>
              <w:rPr>
                <w:sz w:val="1"/>
                <w:szCs w:val="1"/>
                <w:color w:val="auto"/>
              </w:rPr>
            </w:pPr>
          </w:p>
        </w:tc>
      </w:tr>
      <w:tr>
        <w:trPr>
          <w:trHeight w:val="138"/>
        </w:trPr>
        <w:tc>
          <w:tcPr>
            <w:tcW w:w="16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rPr>
              <w:t>TEL</w:t>
            </w:r>
          </w:p>
        </w:tc>
        <w:tc>
          <w:tcPr>
            <w:tcW w:w="130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0"/>
              </w:rPr>
              <w:t>+1 713.229.1393</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4"/>
                <w:szCs w:val="14"/>
                <w:color w:val="auto"/>
              </w:rPr>
              <w:t>FAX</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w w:val="92"/>
              </w:rPr>
              <w:t>+1 713.229.2793</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-1518285</wp:posOffset>
            </wp:positionV>
            <wp:extent cx="1741170" cy="1803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41170" cy="180340"/>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4"/>
          <w:szCs w:val="14"/>
          <w:color w:val="auto"/>
        </w:rPr>
        <w:t>aj.ericksen@bakerbotts.com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June 17,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Schlumberger Limited (Schlumberger N.V.)</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Amendment No. 1 to Registration Statement on Form S-4 (File No. 333-166326)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On behalf of our client, Schlumberger Limited (Schlumberger N.V.) (“Schlumberger”), we hereby submit for filing with the Securities and Exchange Commission (the “Commission”) Amendment No. 1 to Schlumberger’s Registration Statement on Form S-4 (File No. 333-166326) relating to the merger of Smith International, Inc. (“Smith”) with and into a subsidiary of Schlumberger.</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Please call J. David Kirkland, Jr. (713.229.1101) or M. Breen Haire (713.229.1648) of this Firm, or Daniel A. Neff (212.403.1218) or David E. Shapiro (212.403.1314) of Wachtell, Lipton, Rosen &amp; Katz, counsel to Smith, with any questions or comments regarding this filing. In addition, please send copies of all correspondence with Schlumberger or Smith related to the filing directly to J. David Kirkland, Jr., Baker Botts L.L.P., One Shell Plaza, 910 Louisiana, Houston, Texas 77002-4995 (facsimile: 713.229.7701) and Daniel A. Neff, Wachtell, Lipton, Rosen &amp; Katz, 51 West 52nd Street, New York, New York 10019 (facsimile: 212.403.2218).</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BAKER BOTTS L.L.P.</w:t>
      </w:r>
    </w:p>
    <w:p>
      <w:pPr>
        <w:spacing w:after="0" w:line="239"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J. E</w:t>
            </w:r>
            <w:r>
              <w:rPr>
                <w:rFonts w:ascii="Arial" w:cs="Arial" w:eastAsia="Arial" w:hAnsi="Arial"/>
                <w:sz w:val="14"/>
                <w:szCs w:val="14"/>
                <w:color w:val="auto"/>
              </w:rPr>
              <w:t>RICKSEN</w:t>
            </w:r>
          </w:p>
        </w:tc>
      </w:tr>
      <w:tr>
        <w:trPr>
          <w:trHeight w:val="217"/>
        </w:trPr>
        <w:tc>
          <w:tcPr>
            <w:tcW w:w="280" w:type="dxa"/>
            <w:vAlign w:val="bottom"/>
          </w:tcPr>
          <w:p>
            <w:pPr>
              <w:spacing w:after="0"/>
              <w:rPr>
                <w:sz w:val="18"/>
                <w:szCs w:val="18"/>
                <w:color w:val="auto"/>
              </w:rPr>
            </w:pPr>
          </w:p>
        </w:tc>
        <w:tc>
          <w:tcPr>
            <w:tcW w:w="4280" w:type="dxa"/>
            <w:vAlign w:val="bottom"/>
          </w:tcPr>
          <w:p>
            <w:pPr>
              <w:ind w:left="1500"/>
              <w:spacing w:after="0"/>
              <w:rPr>
                <w:sz w:val="20"/>
                <w:szCs w:val="20"/>
                <w:color w:val="auto"/>
              </w:rPr>
            </w:pPr>
            <w:r>
              <w:rPr>
                <w:rFonts w:ascii="Arial" w:cs="Arial" w:eastAsia="Arial" w:hAnsi="Arial"/>
                <w:sz w:val="18"/>
                <w:szCs w:val="18"/>
                <w:color w:val="auto"/>
              </w:rPr>
              <w:t>Andrew J. Ericksen</w:t>
            </w:r>
          </w:p>
        </w:tc>
      </w:tr>
    </w:tbl>
    <w:p>
      <w:pPr>
        <w:spacing w:after="0" w:line="1" w:lineRule="exact"/>
        <w:rPr>
          <w:sz w:val="20"/>
          <w:szCs w:val="20"/>
          <w:color w:val="auto"/>
        </w:rPr>
      </w:pP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8A6394"/>
    <w:multiLevelType w:val="hybridMultilevel"/>
    <w:lvl w:ilvl="0">
      <w:lvlJc w:val="left"/>
      <w:lvlText w:val="(%1)"/>
      <w:numFmt w:val="decimal"/>
      <w:start w:val="1"/>
    </w:lvl>
  </w:abstractNum>
  <w:abstractNum w:abstractNumId="1">
    <w:nsid w:val="24E60401"/>
    <w:multiLevelType w:val="hybridMultilevel"/>
    <w:lvl w:ilvl="0">
      <w:lvlJc w:val="left"/>
      <w:lvlText w:val="(%1)"/>
      <w:numFmt w:val="decimal"/>
      <w:start w:val="2"/>
    </w:lvl>
  </w:abstractNum>
  <w:abstractNum w:abstractNumId="2">
    <w:nsid w:val="2A6AD9BE"/>
    <w:multiLevelType w:val="hybridMultilevel"/>
    <w:lvl w:ilvl="0">
      <w:lvlJc w:val="left"/>
      <w:lvlText w:val="%1."/>
      <w:numFmt w:val="decimal"/>
      <w:start w:val="1"/>
    </w:lvl>
  </w:abstractNum>
  <w:abstractNum w:abstractNumId="3">
    <w:nsid w:val="BAAC1B4"/>
    <w:multiLevelType w:val="hybridMultilevel"/>
    <w:lvl w:ilvl="0">
      <w:lvlJc w:val="left"/>
      <w:lvlText w:val="%1:"/>
      <w:numFmt w:val="upperLetter"/>
      <w:start w:val="17"/>
    </w:lvl>
  </w:abstractNum>
  <w:abstractNum w:abstractNumId="4">
    <w:nsid w:val="36B2ACBC"/>
    <w:multiLevelType w:val="hybridMultilevel"/>
    <w:lvl w:ilvl="0">
      <w:lvlJc w:val="left"/>
      <w:lvlText w:val="%1:"/>
      <w:numFmt w:val="upperLetter"/>
      <w:start w:val="1"/>
    </w:lvl>
  </w:abstractNum>
  <w:abstractNum w:abstractNumId="5">
    <w:nsid w:val="779D8544"/>
    <w:multiLevelType w:val="hybridMultilevel"/>
    <w:lvl w:ilvl="0">
      <w:lvlJc w:val="left"/>
      <w:lvlText w:val="%1:"/>
      <w:numFmt w:val="upperLetter"/>
      <w:start w:val="17"/>
    </w:lvl>
  </w:abstractNum>
  <w:abstractNum w:abstractNumId="6">
    <w:nsid w:val="4AB26E78"/>
    <w:multiLevelType w:val="hybridMultilevel"/>
    <w:lvl w:ilvl="0">
      <w:lvlJc w:val="left"/>
      <w:lvlText w:val="%1:"/>
      <w:numFmt w:val="upperLetter"/>
      <w:start w:val="1"/>
    </w:lvl>
  </w:abstractNum>
  <w:abstractNum w:abstractNumId="7">
    <w:nsid w:val="21FAA2FA"/>
    <w:multiLevelType w:val="hybridMultilevel"/>
    <w:lvl w:ilvl="0">
      <w:lvlJc w:val="left"/>
      <w:lvlText w:val="%1:"/>
      <w:numFmt w:val="upperLetter"/>
      <w:start w:val="17"/>
    </w:lvl>
  </w:abstractNum>
  <w:abstractNum w:abstractNumId="8">
    <w:nsid w:val="5451CF49"/>
    <w:multiLevelType w:val="hybridMultilevel"/>
    <w:lvl w:ilvl="0">
      <w:lvlJc w:val="left"/>
      <w:lvlText w:val="%1:"/>
      <w:numFmt w:val="upperLetter"/>
      <w:start w:val="1"/>
    </w:lvl>
  </w:abstractNum>
  <w:abstractNum w:abstractNumId="9">
    <w:nsid w:val="6181EF69"/>
    <w:multiLevelType w:val="hybridMultilevel"/>
    <w:lvl w:ilvl="0">
      <w:lvlJc w:val="left"/>
      <w:lvlText w:val="%1:"/>
      <w:numFmt w:val="upperLetter"/>
      <w:start w:val="17"/>
    </w:lvl>
  </w:abstractNum>
  <w:abstractNum w:abstractNumId="10">
    <w:nsid w:val="3E6400E6"/>
    <w:multiLevelType w:val="hybridMultilevel"/>
    <w:lvl w:ilvl="0">
      <w:lvlJc w:val="left"/>
      <w:lvlText w:val="%1:"/>
      <w:numFmt w:val="upperLetter"/>
      <w:start w:val="1"/>
    </w:lvl>
  </w:abstractNum>
  <w:abstractNum w:abstractNumId="11">
    <w:nsid w:val="14217E23"/>
    <w:multiLevelType w:val="hybridMultilevel"/>
    <w:lvl w:ilvl="0">
      <w:lvlJc w:val="left"/>
      <w:lvlText w:val="%1:"/>
      <w:numFmt w:val="upperLetter"/>
      <w:start w:val="17"/>
    </w:lvl>
  </w:abstractNum>
  <w:abstractNum w:abstractNumId="12">
    <w:nsid w:val="710757D0"/>
    <w:multiLevelType w:val="hybridMultilevel"/>
    <w:lvl w:ilvl="0">
      <w:lvlJc w:val="left"/>
      <w:lvlText w:val="%1:"/>
      <w:numFmt w:val="upperLetter"/>
      <w:start w:val="1"/>
    </w:lvl>
  </w:abstractNum>
  <w:abstractNum w:abstractNumId="13">
    <w:nsid w:val="5015CD1A"/>
    <w:multiLevelType w:val="hybridMultilevel"/>
    <w:lvl w:ilvl="0">
      <w:lvlJc w:val="left"/>
      <w:lvlText w:val="%1:"/>
      <w:numFmt w:val="upperLetter"/>
      <w:start w:val="17"/>
    </w:lvl>
  </w:abstractNum>
  <w:abstractNum w:abstractNumId="14">
    <w:nsid w:val="424479DA"/>
    <w:multiLevelType w:val="hybridMultilevel"/>
    <w:lvl w:ilvl="0">
      <w:lvlJc w:val="left"/>
      <w:lvlText w:val="%1:"/>
      <w:numFmt w:val="upperLetter"/>
      <w:start w:val="1"/>
    </w:lvl>
  </w:abstractNum>
  <w:abstractNum w:abstractNumId="15">
    <w:nsid w:val="1A9A9E69"/>
    <w:multiLevelType w:val="hybridMultilevel"/>
    <w:lvl w:ilvl="0">
      <w:lvlJc w:val="left"/>
      <w:lvlText w:val="%1:"/>
      <w:numFmt w:val="upperLetter"/>
      <w:start w:val="17"/>
    </w:lvl>
  </w:abstractNum>
  <w:abstractNum w:abstractNumId="16">
    <w:nsid w:val="475E256A"/>
    <w:multiLevelType w:val="hybridMultilevel"/>
    <w:lvl w:ilvl="0">
      <w:lvlJc w:val="left"/>
      <w:lvlText w:val="%1:"/>
      <w:numFmt w:val="upperLetter"/>
      <w:start w:val="1"/>
    </w:lvl>
  </w:abstractNum>
  <w:abstractNum w:abstractNumId="17">
    <w:nsid w:val="368DB37E"/>
    <w:multiLevelType w:val="hybridMultilevel"/>
    <w:lvl w:ilvl="0">
      <w:lvlJc w:val="left"/>
      <w:lvlText w:val="%1:"/>
      <w:numFmt w:val="upperLetter"/>
      <w:start w:val="17"/>
    </w:lvl>
  </w:abstractNum>
  <w:abstractNum w:abstractNumId="18">
    <w:nsid w:val="6A3B714C"/>
    <w:multiLevelType w:val="hybridMultilevel"/>
    <w:lvl w:ilvl="0">
      <w:lvlJc w:val="left"/>
      <w:lvlText w:val="%1:"/>
      <w:numFmt w:val="upperLetter"/>
      <w:start w:val="1"/>
    </w:lvl>
  </w:abstractNum>
  <w:abstractNum w:abstractNumId="19">
    <w:nsid w:val="327B517E"/>
    <w:multiLevelType w:val="hybridMultilevel"/>
    <w:lvl w:ilvl="0">
      <w:lvlJc w:val="left"/>
      <w:lvlText w:val="%1:"/>
      <w:numFmt w:val="upperLetter"/>
      <w:start w:val="17"/>
    </w:lvl>
  </w:abstractNum>
  <w:abstractNum w:abstractNumId="20">
    <w:nsid w:val="1F461B51"/>
    <w:multiLevelType w:val="hybridMultilevel"/>
    <w:lvl w:ilvl="0">
      <w:lvlJc w:val="left"/>
      <w:lvlText w:val="%1:"/>
      <w:numFmt w:val="upperLetter"/>
      <w:start w:val="1"/>
    </w:lvl>
  </w:abstractNum>
  <w:abstractNum w:abstractNumId="21">
    <w:nsid w:val="29BACF25"/>
    <w:multiLevelType w:val="hybridMultilevel"/>
    <w:lvl w:ilvl="0">
      <w:lvlJc w:val="left"/>
      <w:lvlText w:val="%1:"/>
      <w:numFmt w:val="upperLetter"/>
      <w:start w:val="17"/>
    </w:lvl>
  </w:abstractNum>
  <w:abstractNum w:abstractNumId="22">
    <w:nsid w:val="5D5BABB3"/>
    <w:multiLevelType w:val="hybridMultilevel"/>
    <w:lvl w:ilvl="0">
      <w:lvlJc w:val="left"/>
      <w:lvlText w:val="%1:"/>
      <w:numFmt w:val="upperLetter"/>
      <w:start w:val="1"/>
    </w:lvl>
  </w:abstractNum>
  <w:abstractNum w:abstractNumId="23">
    <w:nsid w:val="51BF6B48"/>
    <w:multiLevelType w:val="hybridMultilevel"/>
    <w:lvl w:ilvl="0">
      <w:lvlJc w:val="left"/>
      <w:lvlText w:val="Q"/>
      <w:numFmt w:val="bullet"/>
      <w:start w:val="1"/>
    </w:lvl>
  </w:abstractNum>
  <w:abstractNum w:abstractNumId="24">
    <w:nsid w:val="7E0F6384"/>
    <w:multiLevelType w:val="hybridMultilevel"/>
    <w:lvl w:ilvl="0">
      <w:lvlJc w:val="left"/>
      <w:lvlText w:val="%1:"/>
      <w:numFmt w:val="upperLetter"/>
      <w:start w:val="1"/>
    </w:lvl>
  </w:abstractNum>
  <w:abstractNum w:abstractNumId="25">
    <w:nsid w:val="2B4B8B53"/>
    <w:multiLevelType w:val="hybridMultilevel"/>
    <w:lvl w:ilvl="0">
      <w:lvlJc w:val="left"/>
      <w:lvlText w:val="%1:"/>
      <w:numFmt w:val="upperLetter"/>
      <w:start w:val="17"/>
    </w:lvl>
  </w:abstractNum>
  <w:abstractNum w:abstractNumId="26">
    <w:nsid w:val="72E3413A"/>
    <w:multiLevelType w:val="hybridMultilevel"/>
    <w:lvl w:ilvl="0">
      <w:lvlJc w:val="left"/>
      <w:lvlText w:val="%1:"/>
      <w:numFmt w:val="upperLetter"/>
      <w:start w:val="1"/>
    </w:lvl>
  </w:abstractNum>
  <w:abstractNum w:abstractNumId="27">
    <w:nsid w:val="116AE494"/>
    <w:multiLevelType w:val="hybridMultilevel"/>
    <w:lvl w:ilvl="0">
      <w:lvlJc w:val="left"/>
      <w:lvlText w:val="%1:"/>
      <w:numFmt w:val="upperLetter"/>
      <w:start w:val="17"/>
    </w:lvl>
  </w:abstractNum>
  <w:abstractNum w:abstractNumId="28">
    <w:nsid w:val="3494B2FB"/>
    <w:multiLevelType w:val="hybridMultilevel"/>
    <w:lvl w:ilvl="0">
      <w:lvlJc w:val="left"/>
      <w:lvlText w:val="%1:"/>
      <w:numFmt w:val="upperLetter"/>
      <w:start w:val="1"/>
    </w:lvl>
  </w:abstractNum>
  <w:abstractNum w:abstractNumId="29">
    <w:nsid w:val="B13A31"/>
    <w:multiLevelType w:val="hybridMultilevel"/>
    <w:lvl w:ilvl="0">
      <w:lvlJc w:val="left"/>
      <w:lvlText w:val="%1:"/>
      <w:numFmt w:val="upperLetter"/>
      <w:start w:val="17"/>
    </w:lvl>
  </w:abstractNum>
  <w:abstractNum w:abstractNumId="30">
    <w:nsid w:val="64429599"/>
    <w:multiLevelType w:val="hybridMultilevel"/>
    <w:lvl w:ilvl="0">
      <w:lvlJc w:val="left"/>
      <w:lvlText w:val="%1:"/>
      <w:numFmt w:val="upperLetter"/>
      <w:start w:val="1"/>
    </w:lvl>
  </w:abstractNum>
  <w:abstractNum w:abstractNumId="31">
    <w:nsid w:val="631F1690"/>
    <w:multiLevelType w:val="hybridMultilevel"/>
    <w:lvl w:ilvl="0">
      <w:lvlJc w:val="left"/>
      <w:lvlText w:val="%1:"/>
      <w:numFmt w:val="upperLetter"/>
      <w:start w:val="17"/>
    </w:lvl>
  </w:abstractNum>
  <w:abstractNum w:abstractNumId="32">
    <w:nsid w:val="25973E32"/>
    <w:multiLevelType w:val="hybridMultilevel"/>
    <w:lvl w:ilvl="0">
      <w:lvlJc w:val="left"/>
      <w:lvlText w:val="%1:"/>
      <w:numFmt w:val="upperLetter"/>
      <w:start w:val="1"/>
    </w:lvl>
  </w:abstractNum>
  <w:abstractNum w:abstractNumId="33">
    <w:nsid w:val="EAD6F57"/>
    <w:multiLevelType w:val="hybridMultilevel"/>
    <w:lvl w:ilvl="0">
      <w:lvlJc w:val="left"/>
      <w:lvlText w:val="%1:"/>
      <w:numFmt w:val="upperLetter"/>
      <w:start w:val="17"/>
    </w:lvl>
  </w:abstractNum>
  <w:abstractNum w:abstractNumId="34">
    <w:nsid w:val="6EC9D844"/>
    <w:multiLevelType w:val="hybridMultilevel"/>
    <w:lvl w:ilvl="0">
      <w:lvlJc w:val="left"/>
      <w:lvlText w:val="%1:"/>
      <w:numFmt w:val="upperLetter"/>
      <w:start w:val="1"/>
    </w:lvl>
  </w:abstractNum>
  <w:abstractNum w:abstractNumId="35">
    <w:nsid w:val="5C49EAEE"/>
    <w:multiLevelType w:val="hybridMultilevel"/>
    <w:lvl w:ilvl="0">
      <w:lvlJc w:val="left"/>
      <w:lvlText w:val="%1:"/>
      <w:numFmt w:val="upperLetter"/>
      <w:start w:val="17"/>
    </w:lvl>
  </w:abstractNum>
  <w:abstractNum w:abstractNumId="36">
    <w:nsid w:val="64AF49B"/>
    <w:multiLevelType w:val="hybridMultilevel"/>
    <w:lvl w:ilvl="0">
      <w:lvlJc w:val="left"/>
      <w:lvlText w:val="%1:"/>
      <w:numFmt w:val="upperLetter"/>
      <w:start w:val="1"/>
    </w:lvl>
  </w:abstractNum>
  <w:abstractNum w:abstractNumId="37">
    <w:nsid w:val="397C46BC"/>
    <w:multiLevelType w:val="hybridMultilevel"/>
    <w:lvl w:ilvl="0">
      <w:lvlJc w:val="left"/>
      <w:lvlText w:val="%1:"/>
      <w:numFmt w:val="upperLetter"/>
      <w:start w:val="17"/>
    </w:lvl>
  </w:abstractNum>
  <w:abstractNum w:abstractNumId="38">
    <w:nsid w:val="7E448DE9"/>
    <w:multiLevelType w:val="hybridMultilevel"/>
    <w:lvl w:ilvl="0">
      <w:lvlJc w:val="left"/>
      <w:lvlText w:val="%1:"/>
      <w:numFmt w:val="upperLetter"/>
      <w:start w:val="1"/>
    </w:lvl>
  </w:abstractNum>
  <w:abstractNum w:abstractNumId="39">
    <w:nsid w:val="5A9CC3E5"/>
    <w:multiLevelType w:val="hybridMultilevel"/>
    <w:lvl w:ilvl="0">
      <w:lvlJc w:val="left"/>
      <w:lvlText w:val="%1:"/>
      <w:numFmt w:val="upperLetter"/>
      <w:start w:val="17"/>
    </w:lvl>
  </w:abstractNum>
  <w:abstractNum w:abstractNumId="40">
    <w:nsid w:val="1AFE3625"/>
    <w:multiLevelType w:val="hybridMultilevel"/>
    <w:lvl w:ilvl="0">
      <w:lvlJc w:val="left"/>
      <w:lvlText w:val="%1:"/>
      <w:numFmt w:val="upperLetter"/>
      <w:start w:val="1"/>
    </w:lvl>
  </w:abstractNum>
  <w:abstractNum w:abstractNumId="41">
    <w:nsid w:val="3CA88ECF"/>
    <w:multiLevelType w:val="hybridMultilevel"/>
    <w:lvl w:ilvl="0">
      <w:lvlJc w:val="left"/>
      <w:lvlText w:val="%1:"/>
      <w:numFmt w:val="upperLetter"/>
      <w:start w:val="17"/>
    </w:lvl>
  </w:abstractNum>
  <w:abstractNum w:abstractNumId="42">
    <w:nsid w:val="6EBE4208"/>
    <w:multiLevelType w:val="hybridMultilevel"/>
    <w:lvl w:ilvl="0">
      <w:lvlJc w:val="left"/>
      <w:lvlText w:val="%1:"/>
      <w:numFmt w:val="upperLetter"/>
      <w:start w:val="1"/>
    </w:lvl>
  </w:abstractNum>
  <w:abstractNum w:abstractNumId="43">
    <w:nsid w:val="C058DF5"/>
    <w:multiLevelType w:val="hybridMultilevel"/>
    <w:lvl w:ilvl="0">
      <w:lvlJc w:val="left"/>
      <w:lvlText w:val="%1:"/>
      <w:numFmt w:val="upperLetter"/>
      <w:start w:val="17"/>
    </w:lvl>
  </w:abstractNum>
  <w:abstractNum w:abstractNumId="44">
    <w:nsid w:val="CBE5BE9"/>
    <w:multiLevelType w:val="hybridMultilevel"/>
    <w:lvl w:ilvl="0">
      <w:lvlJc w:val="left"/>
      <w:lvlText w:val="%1:"/>
      <w:numFmt w:val="upperLetter"/>
      <w:start w:val="1"/>
    </w:lvl>
    <w:lvl w:ilvl="1">
      <w:lvlJc w:val="left"/>
      <w:lvlText w:val="•"/>
      <w:numFmt w:val="bullet"/>
      <w:start w:val="1"/>
    </w:lvl>
  </w:abstractNum>
  <w:abstractNum w:abstractNumId="45">
    <w:nsid w:val="3102BBE2"/>
    <w:multiLevelType w:val="hybridMultilevel"/>
    <w:lvl w:ilvl="0">
      <w:lvlJc w:val="left"/>
      <w:lvlText w:val="%1:"/>
      <w:numFmt w:val="upperLetter"/>
      <w:start w:val="16"/>
    </w:lvl>
    <w:lvl w:ilvl="1">
      <w:lvlJc w:val="left"/>
      <w:lvlText w:val="•"/>
      <w:numFmt w:val="bullet"/>
      <w:start w:val="1"/>
    </w:lvl>
  </w:abstractNum>
  <w:abstractNum w:abstractNumId="46">
    <w:nsid w:val="26A02C5E"/>
    <w:multiLevelType w:val="hybridMultilevel"/>
    <w:lvl w:ilvl="0">
      <w:lvlJc w:val="left"/>
      <w:lvlText w:val="%1:"/>
      <w:numFmt w:val="upperLetter"/>
      <w:start w:val="1"/>
    </w:lvl>
  </w:abstractNum>
  <w:abstractNum w:abstractNumId="47">
    <w:nsid w:val="541C8153"/>
    <w:multiLevelType w:val="hybridMultilevel"/>
    <w:lvl w:ilvl="0">
      <w:lvlJc w:val="left"/>
      <w:lvlText w:val="%1:"/>
      <w:numFmt w:val="upperLetter"/>
      <w:start w:val="17"/>
    </w:lvl>
  </w:abstractNum>
  <w:abstractNum w:abstractNumId="48">
    <w:nsid w:val="67906F60"/>
    <w:multiLevelType w:val="hybridMultilevel"/>
    <w:lvl w:ilvl="0">
      <w:lvlJc w:val="left"/>
      <w:lvlText w:val="%1:"/>
      <w:numFmt w:val="upperLetter"/>
      <w:start w:val="1"/>
    </w:lvl>
  </w:abstractNum>
  <w:abstractNum w:abstractNumId="49">
    <w:nsid w:val="10DB9DAA"/>
    <w:multiLevelType w:val="hybridMultilevel"/>
    <w:lvl w:ilvl="0">
      <w:lvlJc w:val="left"/>
      <w:lvlText w:val="%1:"/>
      <w:numFmt w:val="upperLetter"/>
      <w:start w:val="17"/>
    </w:lvl>
  </w:abstractNum>
  <w:abstractNum w:abstractNumId="50">
    <w:nsid w:val="697D2D2"/>
    <w:multiLevelType w:val="hybridMultilevel"/>
    <w:lvl w:ilvl="0">
      <w:lvlJc w:val="left"/>
      <w:lvlText w:val="%1:"/>
      <w:numFmt w:val="upperLetter"/>
      <w:start w:val="1"/>
    </w:lvl>
  </w:abstractNum>
  <w:abstractNum w:abstractNumId="51">
    <w:nsid w:val="6D68AB2"/>
    <w:multiLevelType w:val="hybridMultilevel"/>
    <w:lvl w:ilvl="0">
      <w:lvlJc w:val="left"/>
      <w:lvlText w:val="%1:"/>
      <w:numFmt w:val="upperLetter"/>
      <w:start w:val="17"/>
    </w:lvl>
  </w:abstractNum>
  <w:abstractNum w:abstractNumId="52">
    <w:nsid w:val="3A966CD0"/>
    <w:multiLevelType w:val="hybridMultilevel"/>
    <w:lvl w:ilvl="0">
      <w:lvlJc w:val="left"/>
      <w:lvlText w:val="%1:"/>
      <w:numFmt w:val="upperLetter"/>
      <w:start w:val="17"/>
    </w:lvl>
  </w:abstractNum>
  <w:abstractNum w:abstractNumId="53">
    <w:nsid w:val="63F37E85"/>
    <w:multiLevelType w:val="hybridMultilevel"/>
    <w:lvl w:ilvl="0">
      <w:lvlJc w:val="left"/>
      <w:lvlText w:val="%1:"/>
      <w:numFmt w:val="upperLetter"/>
      <w:start w:val="1"/>
    </w:lvl>
  </w:abstractNum>
  <w:abstractNum w:abstractNumId="54">
    <w:nsid w:val="5895F5FA"/>
    <w:multiLevelType w:val="hybridMultilevel"/>
    <w:lvl w:ilvl="0">
      <w:lvlJc w:val="left"/>
      <w:lvlText w:val="%1:"/>
      <w:numFmt w:val="upperLetter"/>
      <w:start w:val="17"/>
    </w:lvl>
  </w:abstractNum>
  <w:abstractNum w:abstractNumId="55">
    <w:nsid w:val="38A5D054"/>
    <w:multiLevelType w:val="hybridMultilevel"/>
    <w:lvl w:ilvl="0">
      <w:lvlJc w:val="left"/>
      <w:lvlText w:val="%1:"/>
      <w:numFmt w:val="upperLetter"/>
      <w:start w:val="1"/>
    </w:lvl>
  </w:abstractNum>
  <w:abstractNum w:abstractNumId="56">
    <w:nsid w:val="F3F09D8"/>
    <w:multiLevelType w:val="hybridMultilevel"/>
    <w:lvl w:ilvl="0">
      <w:lvlJc w:val="left"/>
      <w:lvlText w:val="%1:"/>
      <w:numFmt w:val="upperLetter"/>
      <w:start w:val="17"/>
    </w:lvl>
  </w:abstractNum>
  <w:abstractNum w:abstractNumId="57">
    <w:nsid w:val="4B793735"/>
    <w:multiLevelType w:val="hybridMultilevel"/>
    <w:lvl w:ilvl="0">
      <w:lvlJc w:val="left"/>
      <w:lvlText w:val="%1:"/>
      <w:numFmt w:val="upperLetter"/>
      <w:start w:val="1"/>
    </w:lvl>
    <w:lvl w:ilvl="1">
      <w:lvlJc w:val="left"/>
      <w:lvlText w:val="•"/>
      <w:numFmt w:val="bullet"/>
      <w:start w:val="1"/>
    </w:lvl>
  </w:abstractNum>
  <w:abstractNum w:abstractNumId="58">
    <w:nsid w:val="4A10B4E8"/>
    <w:multiLevelType w:val="hybridMultilevel"/>
    <w:lvl w:ilvl="0">
      <w:lvlJc w:val="left"/>
      <w:lvlText w:val="%1:"/>
      <w:numFmt w:val="upperLetter"/>
      <w:start w:val="17"/>
    </w:lvl>
  </w:abstractNum>
  <w:abstractNum w:abstractNumId="59">
    <w:nsid w:val="43D3BCD4"/>
    <w:multiLevelType w:val="hybridMultilevel"/>
    <w:lvl w:ilvl="0">
      <w:lvlJc w:val="left"/>
      <w:lvlText w:val="%1:"/>
      <w:numFmt w:val="upperLetter"/>
      <w:start w:val="1"/>
    </w:lvl>
  </w:abstractNum>
  <w:abstractNum w:abstractNumId="60">
    <w:nsid w:val="4C2A7166"/>
    <w:multiLevelType w:val="hybridMultilevel"/>
    <w:lvl w:ilvl="0">
      <w:lvlJc w:val="left"/>
      <w:lvlText w:val="•"/>
      <w:numFmt w:val="bullet"/>
      <w:start w:val="1"/>
    </w:lvl>
  </w:abstractNum>
  <w:abstractNum w:abstractNumId="61">
    <w:nsid w:val="2E534A82"/>
    <w:multiLevelType w:val="hybridMultilevel"/>
    <w:lvl w:ilvl="0">
      <w:lvlJc w:val="left"/>
      <w:lvlText w:val="•"/>
      <w:numFmt w:val="bullet"/>
      <w:start w:val="1"/>
    </w:lvl>
  </w:abstractNum>
  <w:abstractNum w:abstractNumId="62">
    <w:nsid w:val="26F2D364"/>
    <w:multiLevelType w:val="hybridMultilevel"/>
    <w:lvl w:ilvl="0">
      <w:lvlJc w:val="left"/>
      <w:lvlText w:val="•"/>
      <w:numFmt w:val="bullet"/>
      <w:start w:val="1"/>
    </w:lvl>
  </w:abstractNum>
  <w:abstractNum w:abstractNumId="63">
    <w:nsid w:val="71C1AF98"/>
    <w:multiLevelType w:val="hybridMultilevel"/>
    <w:lvl w:ilvl="0">
      <w:lvlJc w:val="left"/>
      <w:lvlText w:val="•"/>
      <w:numFmt w:val="bullet"/>
      <w:start w:val="1"/>
    </w:lvl>
    <w:lvl w:ilvl="1">
      <w:lvlJc w:val="left"/>
      <w:lvlText w:val="•"/>
      <w:numFmt w:val="bullet"/>
      <w:start w:val="1"/>
    </w:lvl>
  </w:abstractNum>
  <w:abstractNum w:abstractNumId="64">
    <w:nsid w:val="3D00B9D9"/>
    <w:multiLevelType w:val="hybridMultilevel"/>
    <w:lvl w:ilvl="0">
      <w:lvlJc w:val="left"/>
      <w:lvlText w:val="•"/>
      <w:numFmt w:val="bullet"/>
      <w:start w:val="1"/>
    </w:lvl>
    <w:lvl w:ilvl="1">
      <w:lvlJc w:val="left"/>
      <w:lvlText w:val="•"/>
      <w:numFmt w:val="bullet"/>
      <w:start w:val="1"/>
    </w:lvl>
  </w:abstractNum>
  <w:abstractNum w:abstractNumId="65">
    <w:nsid w:val="15BCABA8"/>
    <w:multiLevelType w:val="hybridMultilevel"/>
    <w:lvl w:ilvl="0">
      <w:lvlJc w:val="left"/>
      <w:lvlText w:val="•"/>
      <w:numFmt w:val="bullet"/>
      <w:start w:val="1"/>
    </w:lvl>
    <w:lvl w:ilvl="1">
      <w:lvlJc w:val="left"/>
      <w:lvlText w:val="•"/>
      <w:numFmt w:val="bullet"/>
      <w:start w:val="1"/>
    </w:lvl>
  </w:abstractNum>
  <w:abstractNum w:abstractNumId="66">
    <w:nsid w:val="4E0B9A87"/>
    <w:multiLevelType w:val="hybridMultilevel"/>
    <w:lvl w:ilvl="0">
      <w:lvlJc w:val="left"/>
      <w:lvlText w:val="(%1)"/>
      <w:numFmt w:val="decimal"/>
      <w:start w:val="1"/>
    </w:lvl>
  </w:abstractNum>
  <w:abstractNum w:abstractNumId="67">
    <w:nsid w:val="434BAE75"/>
    <w:multiLevelType w:val="hybridMultilevel"/>
    <w:lvl w:ilvl="0">
      <w:lvlJc w:val="left"/>
      <w:lvlText w:val="•"/>
      <w:numFmt w:val="bullet"/>
      <w:start w:val="1"/>
    </w:lvl>
  </w:abstractNum>
  <w:abstractNum w:abstractNumId="68">
    <w:nsid w:val="4F38F265"/>
    <w:multiLevelType w:val="hybridMultilevel"/>
    <w:lvl w:ilvl="0">
      <w:lvlJc w:val="left"/>
      <w:lvlText w:val="•"/>
      <w:numFmt w:val="bullet"/>
      <w:start w:val="1"/>
    </w:lvl>
  </w:abstractNum>
  <w:abstractNum w:abstractNumId="69">
    <w:nsid w:val="4C502870"/>
    <w:multiLevelType w:val="hybridMultilevel"/>
    <w:lvl w:ilvl="0">
      <w:lvlJc w:val="left"/>
      <w:lvlText w:val="•"/>
      <w:numFmt w:val="bullet"/>
      <w:start w:val="1"/>
    </w:lvl>
  </w:abstractNum>
  <w:abstractNum w:abstractNumId="70">
    <w:nsid w:val="1DE8725A"/>
    <w:multiLevelType w:val="hybridMultilevel"/>
    <w:lvl w:ilvl="0">
      <w:lvlJc w:val="left"/>
      <w:lvlText w:val="•"/>
      <w:numFmt w:val="bullet"/>
      <w:start w:val="1"/>
    </w:lvl>
  </w:abstractNum>
  <w:abstractNum w:abstractNumId="71">
    <w:nsid w:val="6A37288A"/>
    <w:multiLevelType w:val="hybridMultilevel"/>
    <w:lvl w:ilvl="0">
      <w:lvlJc w:val="left"/>
      <w:lvlText w:val="•"/>
      <w:numFmt w:val="bullet"/>
      <w:start w:val="1"/>
    </w:lvl>
  </w:abstractNum>
  <w:abstractNum w:abstractNumId="72">
    <w:nsid w:val="8F8B73F"/>
    <w:multiLevelType w:val="hybridMultilevel"/>
    <w:lvl w:ilvl="0">
      <w:lvlJc w:val="left"/>
      <w:lvlText w:val="•"/>
      <w:numFmt w:val="bullet"/>
      <w:start w:val="1"/>
    </w:lvl>
  </w:abstractNum>
  <w:abstractNum w:abstractNumId="73">
    <w:nsid w:val="CA6B462"/>
    <w:multiLevelType w:val="hybridMultilevel"/>
    <w:lvl w:ilvl="0">
      <w:lvlJc w:val="left"/>
      <w:lvlText w:val="%1."/>
      <w:numFmt w:val="decimal"/>
      <w:start w:val="1"/>
    </w:lvl>
  </w:abstractNum>
  <w:abstractNum w:abstractNumId="74">
    <w:nsid w:val="763CB680"/>
    <w:multiLevelType w:val="hybridMultilevel"/>
    <w:lvl w:ilvl="0">
      <w:lvlJc w:val="left"/>
      <w:lvlText w:val="•"/>
      <w:numFmt w:val="bullet"/>
      <w:start w:val="1"/>
    </w:lvl>
  </w:abstractNum>
  <w:abstractNum w:abstractNumId="75">
    <w:nsid w:val="15B71329"/>
    <w:multiLevelType w:val="hybridMultilevel"/>
    <w:lvl w:ilvl="0">
      <w:lvlJc w:val="left"/>
      <w:lvlText w:val="•"/>
      <w:numFmt w:val="bullet"/>
      <w:start w:val="1"/>
    </w:lvl>
  </w:abstractNum>
  <w:abstractNum w:abstractNumId="76">
    <w:nsid w:val="3DA97044"/>
    <w:multiLevelType w:val="hybridMultilevel"/>
    <w:lvl w:ilvl="0">
      <w:lvlJc w:val="left"/>
      <w:lvlText w:val="•"/>
      <w:numFmt w:val="bullet"/>
      <w:start w:val="1"/>
    </w:lvl>
  </w:abstractNum>
  <w:abstractNum w:abstractNumId="77">
    <w:nsid w:val="1CDCE2DE"/>
    <w:multiLevelType w:val="hybridMultilevel"/>
    <w:lvl w:ilvl="0">
      <w:lvlJc w:val="left"/>
      <w:lvlText w:val="•"/>
      <w:numFmt w:val="bullet"/>
      <w:start w:val="1"/>
    </w:lvl>
  </w:abstractNum>
  <w:abstractNum w:abstractNumId="78">
    <w:nsid w:val="69D3947C"/>
    <w:multiLevelType w:val="hybridMultilevel"/>
    <w:lvl w:ilvl="0">
      <w:lvlJc w:val="left"/>
      <w:lvlText w:val="•"/>
      <w:numFmt w:val="bullet"/>
      <w:start w:val="1"/>
    </w:lvl>
  </w:abstractNum>
  <w:abstractNum w:abstractNumId="79">
    <w:nsid w:val="2539DFA5"/>
    <w:multiLevelType w:val="hybridMultilevel"/>
    <w:lvl w:ilvl="0">
      <w:lvlJc w:val="left"/>
      <w:lvlText w:val="•"/>
      <w:numFmt w:val="bullet"/>
      <w:start w:val="1"/>
    </w:lvl>
  </w:abstractNum>
  <w:abstractNum w:abstractNumId="80">
    <w:nsid w:val="2DB88089"/>
    <w:multiLevelType w:val="hybridMultilevel"/>
    <w:lvl w:ilvl="0">
      <w:lvlJc w:val="left"/>
      <w:lvlText w:val="•"/>
      <w:numFmt w:val="bullet"/>
      <w:start w:val="1"/>
    </w:lvl>
  </w:abstractNum>
  <w:abstractNum w:abstractNumId="81">
    <w:nsid w:val="706B674E"/>
    <w:multiLevelType w:val="hybridMultilevel"/>
    <w:lvl w:ilvl="0">
      <w:lvlJc w:val="left"/>
      <w:lvlText w:val="•"/>
      <w:numFmt w:val="bullet"/>
      <w:start w:val="1"/>
    </w:lvl>
  </w:abstractNum>
  <w:abstractNum w:abstractNumId="82">
    <w:nsid w:val="2C106A57"/>
    <w:multiLevelType w:val="hybridMultilevel"/>
    <w:lvl w:ilvl="0">
      <w:lvlJc w:val="left"/>
      <w:lvlText w:val="•"/>
      <w:numFmt w:val="bullet"/>
      <w:start w:val="1"/>
    </w:lvl>
  </w:abstractNum>
  <w:abstractNum w:abstractNumId="83">
    <w:nsid w:val="684EED59"/>
    <w:multiLevelType w:val="hybridMultilevel"/>
    <w:lvl w:ilvl="0">
      <w:lvlJc w:val="left"/>
      <w:lvlText w:val="•"/>
      <w:numFmt w:val="bullet"/>
      <w:start w:val="1"/>
    </w:lvl>
  </w:abstractNum>
  <w:abstractNum w:abstractNumId="84">
    <w:nsid w:val="545EE5D3"/>
    <w:multiLevelType w:val="hybridMultilevel"/>
    <w:lvl w:ilvl="0">
      <w:lvlJc w:val="left"/>
      <w:lvlText w:val="•"/>
      <w:numFmt w:val="bullet"/>
      <w:start w:val="1"/>
    </w:lvl>
  </w:abstractNum>
  <w:abstractNum w:abstractNumId="85">
    <w:nsid w:val="4A66051"/>
    <w:multiLevelType w:val="hybridMultilevel"/>
    <w:lvl w:ilvl="0">
      <w:lvlJc w:val="left"/>
      <w:lvlText w:val="•"/>
      <w:numFmt w:val="bullet"/>
      <w:start w:val="1"/>
    </w:lvl>
  </w:abstractNum>
  <w:abstractNum w:abstractNumId="86">
    <w:nsid w:val="20F4BDAD"/>
    <w:multiLevelType w:val="hybridMultilevel"/>
    <w:lvl w:ilvl="0">
      <w:lvlJc w:val="left"/>
      <w:lvlText w:val="(%1)"/>
      <w:numFmt w:val="lowerRoman"/>
      <w:start w:val="2"/>
    </w:lvl>
  </w:abstractNum>
  <w:abstractNum w:abstractNumId="87">
    <w:nsid w:val="639DEFAC"/>
    <w:multiLevelType w:val="hybridMultilevel"/>
    <w:lvl w:ilvl="0">
      <w:lvlJc w:val="left"/>
      <w:lvlText w:val="•"/>
      <w:numFmt w:val="bullet"/>
      <w:start w:val="1"/>
    </w:lvl>
  </w:abstractNum>
  <w:abstractNum w:abstractNumId="88">
    <w:nsid w:val="501F9786"/>
    <w:multiLevelType w:val="hybridMultilevel"/>
    <w:lvl w:ilvl="0">
      <w:lvlJc w:val="left"/>
      <w:lvlText w:val="(%1)"/>
      <w:numFmt w:val="decimal"/>
      <w:start w:val="1"/>
    </w:lvl>
  </w:abstractNum>
  <w:abstractNum w:abstractNumId="89">
    <w:nsid w:val="6B057295"/>
    <w:multiLevelType w:val="hybridMultilevel"/>
    <w:lvl w:ilvl="0">
      <w:lvlJc w:val="left"/>
      <w:lvlText w:val="•"/>
      <w:numFmt w:val="bullet"/>
      <w:start w:val="1"/>
    </w:lvl>
    <w:lvl w:ilvl="1">
      <w:lvlJc w:val="left"/>
      <w:lvlText w:val="•"/>
      <w:numFmt w:val="bullet"/>
      <w:start w:val="1"/>
    </w:lvl>
  </w:abstractNum>
  <w:abstractNum w:abstractNumId="90">
    <w:nsid w:val="2771AC80"/>
    <w:multiLevelType w:val="hybridMultilevel"/>
    <w:lvl w:ilvl="0">
      <w:lvlJc w:val="left"/>
      <w:lvlText w:val="(%1)"/>
      <w:numFmt w:val="decimal"/>
      <w:start w:val="1"/>
    </w:lvl>
  </w:abstractNum>
  <w:abstractNum w:abstractNumId="91">
    <w:nsid w:val="1C4A08EC"/>
    <w:multiLevelType w:val="hybridMultilevel"/>
    <w:lvl w:ilvl="0">
      <w:lvlJc w:val="left"/>
      <w:lvlText w:val="•"/>
      <w:numFmt w:val="bullet"/>
      <w:start w:val="1"/>
    </w:lvl>
  </w:abstractNum>
  <w:abstractNum w:abstractNumId="92">
    <w:nsid w:val="1958BD17"/>
    <w:multiLevelType w:val="hybridMultilevel"/>
    <w:lvl w:ilvl="0">
      <w:lvlJc w:val="left"/>
      <w:lvlText w:val="•"/>
      <w:numFmt w:val="bullet"/>
      <w:start w:val="1"/>
    </w:lvl>
  </w:abstractNum>
  <w:abstractNum w:abstractNumId="93">
    <w:nsid w:val="4E647FE4"/>
    <w:multiLevelType w:val="hybridMultilevel"/>
    <w:lvl w:ilvl="0">
      <w:lvlJc w:val="left"/>
      <w:lvlText w:val="•"/>
      <w:numFmt w:val="bullet"/>
      <w:start w:val="1"/>
    </w:lvl>
  </w:abstractNum>
  <w:abstractNum w:abstractNumId="94">
    <w:nsid w:val="E0BB885"/>
    <w:multiLevelType w:val="hybridMultilevel"/>
    <w:lvl w:ilvl="0">
      <w:lvlJc w:val="left"/>
      <w:lvlText w:val="•"/>
      <w:numFmt w:val="bullet"/>
      <w:start w:val="1"/>
    </w:lvl>
  </w:abstractNum>
  <w:abstractNum w:abstractNumId="95">
    <w:nsid w:val="565976F1"/>
    <w:multiLevelType w:val="hybridMultilevel"/>
    <w:lvl w:ilvl="0">
      <w:lvlJc w:val="left"/>
      <w:lvlText w:val="•"/>
      <w:numFmt w:val="bullet"/>
      <w:start w:val="1"/>
    </w:lvl>
  </w:abstractNum>
  <w:abstractNum w:abstractNumId="96">
    <w:nsid w:val="64212B8C"/>
    <w:multiLevelType w:val="hybridMultilevel"/>
    <w:lvl w:ilvl="0">
      <w:lvlJc w:val="left"/>
      <w:lvlText w:val="•"/>
      <w:numFmt w:val="bullet"/>
      <w:start w:val="1"/>
    </w:lvl>
  </w:abstractNum>
  <w:abstractNum w:abstractNumId="97">
    <w:nsid w:val="5C17530C"/>
    <w:multiLevelType w:val="hybridMultilevel"/>
    <w:lvl w:ilvl="0">
      <w:lvlJc w:val="left"/>
      <w:lvlText w:val="•"/>
      <w:numFmt w:val="bullet"/>
      <w:start w:val="1"/>
    </w:lvl>
  </w:abstractNum>
  <w:abstractNum w:abstractNumId="98">
    <w:nsid w:val="19A52566"/>
    <w:multiLevelType w:val="hybridMultilevel"/>
    <w:lvl w:ilvl="0">
      <w:lvlJc w:val="left"/>
      <w:lvlText w:val="•"/>
      <w:numFmt w:val="bullet"/>
      <w:start w:val="1"/>
    </w:lvl>
  </w:abstractNum>
  <w:abstractNum w:abstractNumId="99">
    <w:nsid w:val="335A1DF1"/>
    <w:multiLevelType w:val="hybridMultilevel"/>
    <w:lvl w:ilvl="0">
      <w:lvlJc w:val="left"/>
      <w:lvlText w:val="•"/>
      <w:numFmt w:val="bullet"/>
      <w:start w:val="1"/>
    </w:lvl>
  </w:abstractNum>
  <w:abstractNum w:abstractNumId="100">
    <w:nsid w:val="28677B7C"/>
    <w:multiLevelType w:val="hybridMultilevel"/>
    <w:lvl w:ilvl="0">
      <w:lvlJc w:val="left"/>
      <w:lvlText w:val="•"/>
      <w:numFmt w:val="bullet"/>
      <w:start w:val="1"/>
    </w:lvl>
    <w:lvl w:ilvl="1">
      <w:lvlJc w:val="left"/>
      <w:lvlText w:val="•"/>
      <w:numFmt w:val="bullet"/>
      <w:start w:val="1"/>
    </w:lvl>
  </w:abstractNum>
  <w:abstractNum w:abstractNumId="101">
    <w:nsid w:val="378D97C0"/>
    <w:multiLevelType w:val="hybridMultilevel"/>
    <w:lvl w:ilvl="0">
      <w:lvlJc w:val="left"/>
      <w:lvlText w:val="•"/>
      <w:numFmt w:val="bullet"/>
      <w:start w:val="1"/>
    </w:lvl>
  </w:abstractNum>
  <w:abstractNum w:abstractNumId="102">
    <w:nsid w:val="1D91467C"/>
    <w:multiLevelType w:val="hybridMultilevel"/>
    <w:lvl w:ilvl="0">
      <w:lvlJc w:val="left"/>
      <w:lvlText w:val="•"/>
      <w:numFmt w:val="bullet"/>
      <w:start w:val="1"/>
    </w:lvl>
  </w:abstractNum>
  <w:abstractNum w:abstractNumId="103">
    <w:nsid w:val="316032BB"/>
    <w:multiLevelType w:val="hybridMultilevel"/>
    <w:lvl w:ilvl="0">
      <w:lvlJc w:val="left"/>
      <w:lvlText w:val="•"/>
      <w:numFmt w:val="bullet"/>
      <w:start w:val="1"/>
    </w:lvl>
  </w:abstractNum>
  <w:abstractNum w:abstractNumId="104">
    <w:nsid w:val="44344C22"/>
    <w:multiLevelType w:val="hybridMultilevel"/>
    <w:lvl w:ilvl="0">
      <w:lvlJc w:val="left"/>
      <w:lvlText w:val="•"/>
      <w:numFmt w:val="bullet"/>
      <w:start w:val="1"/>
    </w:lvl>
  </w:abstractNum>
  <w:abstractNum w:abstractNumId="105">
    <w:nsid w:val="13CDFCFC"/>
    <w:multiLevelType w:val="hybridMultilevel"/>
    <w:lvl w:ilvl="0">
      <w:lvlJc w:val="left"/>
      <w:lvlText w:val="•"/>
      <w:numFmt w:val="bullet"/>
      <w:start w:val="1"/>
    </w:lvl>
  </w:abstractNum>
  <w:abstractNum w:abstractNumId="106">
    <w:nsid w:val="471745E4"/>
    <w:multiLevelType w:val="hybridMultilevel"/>
    <w:lvl w:ilvl="0">
      <w:lvlJc w:val="left"/>
      <w:lvlText w:val="•"/>
      <w:numFmt w:val="bullet"/>
      <w:start w:val="1"/>
    </w:lvl>
  </w:abstractNum>
  <w:abstractNum w:abstractNumId="107">
    <w:nsid w:val="1DDBC66"/>
    <w:multiLevelType w:val="hybridMultilevel"/>
    <w:lvl w:ilvl="0">
      <w:lvlJc w:val="left"/>
      <w:lvlText w:val="•"/>
      <w:numFmt w:val="bullet"/>
      <w:start w:val="1"/>
    </w:lvl>
  </w:abstractNum>
  <w:abstractNum w:abstractNumId="108">
    <w:nsid w:val="30AADFDA"/>
    <w:multiLevelType w:val="hybridMultilevel"/>
    <w:lvl w:ilvl="0">
      <w:lvlJc w:val="left"/>
      <w:lvlText w:val="•"/>
      <w:numFmt w:val="bullet"/>
      <w:start w:val="1"/>
    </w:lvl>
  </w:abstractNum>
  <w:abstractNum w:abstractNumId="109">
    <w:nsid w:val="30EADA61"/>
    <w:multiLevelType w:val="hybridMultilevel"/>
    <w:lvl w:ilvl="0">
      <w:lvlJc w:val="left"/>
      <w:lvlText w:val="•"/>
      <w:numFmt w:val="bullet"/>
      <w:start w:val="1"/>
    </w:lvl>
  </w:abstractNum>
  <w:abstractNum w:abstractNumId="110">
    <w:nsid w:val="27179C0B"/>
    <w:multiLevelType w:val="hybridMultilevel"/>
    <w:lvl w:ilvl="0">
      <w:lvlJc w:val="left"/>
      <w:lvlText w:val="•"/>
      <w:numFmt w:val="bullet"/>
      <w:start w:val="1"/>
    </w:lvl>
  </w:abstractNum>
  <w:abstractNum w:abstractNumId="111">
    <w:nsid w:val="5E636063"/>
    <w:multiLevelType w:val="hybridMultilevel"/>
    <w:lvl w:ilvl="0">
      <w:lvlJc w:val="left"/>
      <w:lvlText w:val="•"/>
      <w:numFmt w:val="bullet"/>
      <w:start w:val="1"/>
    </w:lvl>
  </w:abstractNum>
  <w:abstractNum w:abstractNumId="112">
    <w:nsid w:val="215641AF"/>
    <w:multiLevelType w:val="hybridMultilevel"/>
    <w:lvl w:ilvl="0">
      <w:lvlJc w:val="left"/>
      <w:lvlText w:val="•"/>
      <w:numFmt w:val="bullet"/>
      <w:start w:val="1"/>
    </w:lvl>
    <w:lvl w:ilvl="1">
      <w:lvlJc w:val="left"/>
      <w:lvlText w:val="•"/>
      <w:numFmt w:val="bullet"/>
      <w:start w:val="1"/>
    </w:lvl>
  </w:abstractNum>
  <w:abstractNum w:abstractNumId="113">
    <w:nsid w:val="53280662"/>
    <w:multiLevelType w:val="hybridMultilevel"/>
    <w:lvl w:ilvl="0">
      <w:lvlJc w:val="left"/>
      <w:lvlText w:val="•"/>
      <w:numFmt w:val="bullet"/>
      <w:start w:val="1"/>
    </w:lvl>
    <w:lvl w:ilvl="1">
      <w:lvlJc w:val="left"/>
      <w:lvlText w:val="•"/>
      <w:numFmt w:val="bullet"/>
      <w:start w:val="1"/>
    </w:lvl>
  </w:abstractNum>
  <w:abstractNum w:abstractNumId="114">
    <w:nsid w:val="46B24DBC"/>
    <w:multiLevelType w:val="hybridMultilevel"/>
    <w:lvl w:ilvl="0">
      <w:lvlJc w:val="left"/>
      <w:lvlText w:val="•"/>
      <w:numFmt w:val="bullet"/>
      <w:start w:val="1"/>
    </w:lvl>
  </w:abstractNum>
  <w:abstractNum w:abstractNumId="115">
    <w:nsid w:val="75B52783"/>
    <w:multiLevelType w:val="hybridMultilevel"/>
    <w:lvl w:ilvl="0">
      <w:lvlJc w:val="left"/>
      <w:lvlText w:val="•"/>
      <w:numFmt w:val="bullet"/>
      <w:start w:val="1"/>
    </w:lvl>
  </w:abstractNum>
  <w:abstractNum w:abstractNumId="116">
    <w:nsid w:val="57CE66B4"/>
    <w:multiLevelType w:val="hybridMultilevel"/>
    <w:lvl w:ilvl="0">
      <w:lvlJc w:val="left"/>
      <w:lvlText w:val="•"/>
      <w:numFmt w:val="bullet"/>
      <w:start w:val="1"/>
    </w:lvl>
  </w:abstractNum>
  <w:abstractNum w:abstractNumId="117">
    <w:nsid w:val="67A70B69"/>
    <w:multiLevelType w:val="hybridMultilevel"/>
    <w:lvl w:ilvl="0">
      <w:lvlJc w:val="left"/>
      <w:lvlText w:val="(%1)"/>
      <w:numFmt w:val="lowerLetter"/>
      <w:start w:val="1"/>
    </w:lvl>
  </w:abstractNum>
  <w:abstractNum w:abstractNumId="118">
    <w:nsid w:val="5953172F"/>
    <w:multiLevelType w:val="hybridMultilevel"/>
    <w:lvl w:ilvl="0">
      <w:lvlJc w:val="left"/>
      <w:lvlText w:val="(%1)"/>
      <w:numFmt w:val="lowerLetter"/>
      <w:start w:val="2"/>
    </w:lvl>
  </w:abstractNum>
  <w:abstractNum w:abstractNumId="119">
    <w:nsid w:val="27EDFE3A"/>
    <w:multiLevelType w:val="hybridMultilevel"/>
    <w:lvl w:ilvl="0">
      <w:lvlJc w:val="left"/>
      <w:lvlText w:val="(%1)"/>
      <w:numFmt w:val="upperLetter"/>
      <w:start w:val="1"/>
    </w:lvl>
  </w:abstractNum>
  <w:abstractNum w:abstractNumId="120">
    <w:nsid w:val="52AC7DFF"/>
    <w:multiLevelType w:val="hybridMultilevel"/>
    <w:lvl w:ilvl="0">
      <w:lvlJc w:val="left"/>
      <w:lvlText w:val="(%1)"/>
      <w:numFmt w:val="upperLetter"/>
      <w:start w:val="12"/>
    </w:lvl>
  </w:abstractNum>
  <w:abstractNum w:abstractNumId="121">
    <w:nsid w:val="C4C3AF"/>
    <w:multiLevelType w:val="hybridMultilevel"/>
    <w:lvl w:ilvl="0">
      <w:lvlJc w:val="left"/>
      <w:lvlText w:val="(%1)"/>
      <w:numFmt w:val="upperLetter"/>
      <w:start w:val="13"/>
    </w:lvl>
  </w:abstractNum>
  <w:abstractNum w:abstractNumId="122">
    <w:nsid w:val="44380727"/>
    <w:multiLevelType w:val="hybridMultilevel"/>
    <w:lvl w:ilvl="0">
      <w:lvlJc w:val="left"/>
      <w:lvlText w:val="(%1)"/>
      <w:numFmt w:val="upperLetter"/>
      <w:start w:val="27"/>
    </w:lvl>
  </w:abstractNum>
  <w:abstractNum w:abstractNumId="123">
    <w:nsid w:val="6C053B16"/>
    <w:multiLevelType w:val="hybridMultilevel"/>
    <w:lvl w:ilvl="0">
      <w:lvlJc w:val="left"/>
      <w:lvlText w:val="(%1)"/>
      <w:numFmt w:val="upperLetter"/>
      <w:start w:val="34"/>
    </w:lvl>
  </w:abstractNum>
  <w:abstractNum w:abstractNumId="124">
    <w:nsid w:val="4F294393"/>
    <w:multiLevelType w:val="hybridMultilevel"/>
    <w:lvl w:ilvl="0">
      <w:lvlJc w:val="left"/>
      <w:lvlText w:val="(%1)"/>
      <w:numFmt w:val="upperLetter"/>
      <w:start w:val="36"/>
    </w:lvl>
  </w:abstractNum>
  <w:abstractNum w:abstractNumId="125">
    <w:nsid w:val="5243BFAC"/>
    <w:multiLevelType w:val="hybridMultilevel"/>
    <w:lvl w:ilvl="0">
      <w:lvlJc w:val="left"/>
      <w:lvlText w:val="(%1)"/>
      <w:numFmt w:val="lowerLetter"/>
      <w:start w:val="1"/>
    </w:lvl>
  </w:abstractNum>
  <w:abstractNum w:abstractNumId="126">
    <w:nsid w:val="425EB207"/>
    <w:multiLevelType w:val="hybridMultilevel"/>
    <w:lvl w:ilvl="0">
      <w:lvlJc w:val="left"/>
      <w:lvlText w:val="(%1)"/>
      <w:numFmt w:val="lowerLetter"/>
      <w:start w:val="1"/>
    </w:lvl>
  </w:abstractNum>
  <w:abstractNum w:abstractNumId="127">
    <w:nsid w:val="334A6F1F"/>
    <w:multiLevelType w:val="hybridMultilevel"/>
    <w:lvl w:ilvl="0">
      <w:lvlJc w:val="left"/>
      <w:lvlText w:val="(%1)"/>
      <w:numFmt w:val="lowerLetter"/>
      <w:start w:val="1"/>
    </w:lvl>
  </w:abstractNum>
  <w:abstractNum w:abstractNumId="128">
    <w:nsid w:val="2E5B12B8"/>
    <w:multiLevelType w:val="hybridMultilevel"/>
    <w:lvl w:ilvl="0">
      <w:lvlJc w:val="left"/>
      <w:lvlText w:val="•"/>
      <w:numFmt w:val="bullet"/>
      <w:start w:val="1"/>
    </w:lvl>
  </w:abstractNum>
  <w:abstractNum w:abstractNumId="129">
    <w:nsid w:val="5C03D76D"/>
    <w:multiLevelType w:val="hybridMultilevel"/>
    <w:lvl w:ilvl="0">
      <w:lvlJc w:val="left"/>
      <w:lvlText w:val="•"/>
      <w:numFmt w:val="bullet"/>
      <w:start w:val="1"/>
    </w:lvl>
  </w:abstractNum>
  <w:abstractNum w:abstractNumId="130">
    <w:nsid w:val="66A48D11"/>
    <w:multiLevelType w:val="hybridMultilevel"/>
    <w:lvl w:ilvl="0">
      <w:lvlJc w:val="left"/>
      <w:lvlText w:val="•"/>
      <w:numFmt w:val="bullet"/>
      <w:start w:val="1"/>
    </w:lvl>
  </w:abstractNum>
  <w:abstractNum w:abstractNumId="131">
    <w:nsid w:val="56C28E34"/>
    <w:multiLevelType w:val="hybridMultilevel"/>
    <w:lvl w:ilvl="0">
      <w:lvlJc w:val="left"/>
      <w:lvlText w:val="(%1)"/>
      <w:numFmt w:val="decimal"/>
      <w:start w:val="1"/>
    </w:lvl>
  </w:abstractNum>
  <w:abstractNum w:abstractNumId="132">
    <w:nsid w:val="13916F2D"/>
    <w:multiLevelType w:val="hybridMultilevel"/>
    <w:lvl w:ilvl="0">
      <w:lvlJc w:val="left"/>
      <w:lvlText w:val="*"/>
      <w:numFmt w:val="bullet"/>
      <w:start w:val="1"/>
    </w:lvl>
  </w:abstractNum>
  <w:abstractNum w:abstractNumId="133">
    <w:nsid w:val="435D38D"/>
    <w:multiLevelType w:val="hybridMultilevel"/>
    <w:lvl w:ilvl="0">
      <w:lvlJc w:val="left"/>
      <w:lvlText w:val="(%1)"/>
      <w:numFmt w:val="decimal"/>
      <w:start w:val="1"/>
    </w:lvl>
  </w:abstractNum>
  <w:abstractNum w:abstractNumId="134">
    <w:nsid w:val="822C0EF"/>
    <w:multiLevelType w:val="hybridMultilevel"/>
    <w:lvl w:ilvl="0">
      <w:lvlJc w:val="left"/>
      <w:lvlText w:val="•"/>
      <w:numFmt w:val="bullet"/>
      <w:start w:val="1"/>
    </w:lvl>
  </w:abstractNum>
  <w:abstractNum w:abstractNumId="135">
    <w:nsid w:val="57C5BB4F"/>
    <w:multiLevelType w:val="hybridMultilevel"/>
    <w:lvl w:ilvl="0">
      <w:lvlJc w:val="left"/>
      <w:lvlText w:val="(%1)"/>
      <w:numFmt w:val="decimal"/>
      <w:start w:val="1"/>
    </w:lvl>
  </w:abstractNum>
  <w:abstractNum w:abstractNumId="136">
    <w:nsid w:val="1803D089"/>
    <w:multiLevelType w:val="hybridMultilevel"/>
    <w:lvl w:ilvl="0">
      <w:lvlJc w:val="left"/>
      <w:lvlText w:val="•"/>
      <w:numFmt w:val="bullet"/>
      <w:start w:val="1"/>
    </w:lvl>
  </w:abstractNum>
  <w:abstractNum w:abstractNumId="137">
    <w:nsid w:val="4F3A06D4"/>
    <w:multiLevelType w:val="hybridMultilevel"/>
    <w:lvl w:ilvl="0">
      <w:lvlJc w:val="left"/>
      <w:lvlText w:val="•"/>
      <w:numFmt w:val="bullet"/>
      <w:start w:val="1"/>
    </w:lvl>
  </w:abstractNum>
  <w:abstractNum w:abstractNumId="138">
    <w:nsid w:val="59A377B6"/>
    <w:multiLevelType w:val="hybridMultilevel"/>
    <w:lvl w:ilvl="0">
      <w:lvlJc w:val="left"/>
      <w:lvlText w:val="•"/>
      <w:numFmt w:val="bullet"/>
      <w:start w:val="1"/>
    </w:lvl>
  </w:abstractNum>
  <w:abstractNum w:abstractNumId="139">
    <w:nsid w:val="48AEB063"/>
    <w:multiLevelType w:val="hybridMultilevel"/>
    <w:lvl w:ilvl="0">
      <w:lvlJc w:val="left"/>
      <w:lvlText w:val="•"/>
      <w:numFmt w:val="bullet"/>
      <w:start w:val="1"/>
    </w:lvl>
  </w:abstractNum>
  <w:abstractNum w:abstractNumId="140">
    <w:nsid w:val="24E135"/>
    <w:multiLevelType w:val="hybridMultilevel"/>
    <w:lvl w:ilvl="0">
      <w:lvlJc w:val="left"/>
      <w:lvlText w:val="(%1)"/>
      <w:numFmt w:val="decimal"/>
      <w:start w:val="1"/>
    </w:lvl>
  </w:abstractNum>
  <w:abstractNum w:abstractNumId="141">
    <w:nsid w:val="BB13C1"/>
    <w:multiLevelType w:val="hybridMultilevel"/>
    <w:lvl w:ilvl="0">
      <w:lvlJc w:val="left"/>
      <w:lvlText w:val="•"/>
      <w:numFmt w:val="bullet"/>
      <w:start w:val="1"/>
    </w:lvl>
  </w:abstractNum>
  <w:abstractNum w:abstractNumId="142">
    <w:nsid w:val="271210C7"/>
    <w:multiLevelType w:val="hybridMultilevel"/>
    <w:lvl w:ilvl="0">
      <w:lvlJc w:val="left"/>
      <w:lvlText w:val="•"/>
      <w:numFmt w:val="bullet"/>
      <w:start w:val="1"/>
    </w:lvl>
  </w:abstractNum>
  <w:abstractNum w:abstractNumId="143">
    <w:nsid w:val="217B22E4"/>
    <w:multiLevelType w:val="hybridMultilevel"/>
    <w:lvl w:ilvl="0">
      <w:lvlJc w:val="left"/>
      <w:lvlText w:val="•"/>
      <w:numFmt w:val="bullet"/>
      <w:start w:val="1"/>
    </w:lvl>
  </w:abstractNum>
  <w:abstractNum w:abstractNumId="144">
    <w:nsid w:val="53E31A24"/>
    <w:multiLevelType w:val="hybridMultilevel"/>
    <w:lvl w:ilvl="0">
      <w:lvlJc w:val="left"/>
      <w:lvlText w:val="*"/>
      <w:numFmt w:val="bullet"/>
      <w:start w:val="1"/>
    </w:lvl>
  </w:abstractNum>
  <w:abstractNum w:abstractNumId="145">
    <w:nsid w:val="6DC45E83"/>
    <w:multiLevelType w:val="hybridMultilevel"/>
    <w:lvl w:ilvl="0">
      <w:lvlJc w:val="left"/>
      <w:lvlText w:val="**"/>
      <w:numFmt w:val="bullet"/>
      <w:start w:val="1"/>
    </w:lvl>
  </w:abstractNum>
  <w:abstractNum w:abstractNumId="146">
    <w:nsid w:val="17304A67"/>
    <w:multiLevelType w:val="hybridMultilevel"/>
    <w:lvl w:ilvl="0">
      <w:lvlJc w:val="left"/>
      <w:lvlText w:val="(%1)"/>
      <w:numFmt w:val="decimal"/>
      <w:start w:val="1"/>
    </w:lvl>
  </w:abstractNum>
  <w:abstractNum w:abstractNumId="147">
    <w:nsid w:val="2BB180D8"/>
    <w:multiLevelType w:val="hybridMultilevel"/>
    <w:lvl w:ilvl="0">
      <w:lvlJc w:val="left"/>
      <w:lvlText w:val="(%1)"/>
      <w:numFmt w:val="decimal"/>
      <w:start w:val="4"/>
    </w:lvl>
  </w:abstractNum>
  <w:abstractNum w:abstractNumId="148">
    <w:nsid w:val="556B69ED"/>
    <w:multiLevelType w:val="hybridMultilevel"/>
    <w:lvl w:ilvl="0">
      <w:lvlJc w:val="left"/>
      <w:lvlText w:val="%1"/>
      <w:numFmt w:val="decimal"/>
      <w:start w:val="1"/>
    </w:lvl>
    <w:lvl w:ilvl="1">
      <w:lvlJc w:val="left"/>
      <w:lvlText w:val="(%2)"/>
      <w:numFmt w:val="lowerLetter"/>
      <w:start w:val="1"/>
    </w:lvl>
  </w:abstractNum>
  <w:abstractNum w:abstractNumId="149">
    <w:nsid w:val="70836196"/>
    <w:multiLevelType w:val="hybridMultilevel"/>
    <w:lvl w:ilvl="0">
      <w:lvlJc w:val="left"/>
      <w:lvlText w:val="(%1)"/>
      <w:numFmt w:val="decimal"/>
      <w:start w:val="5"/>
    </w:lvl>
    <w:lvl w:ilvl="1">
      <w:lvlJc w:val="left"/>
      <w:lvlText w:val="%2"/>
      <w:numFmt w:val="lowerLetter"/>
      <w:start w:val="1"/>
    </w:lvl>
  </w:abstractNum>
  <w:abstractNum w:abstractNumId="150">
    <w:nsid w:val="539F7F12"/>
    <w:multiLevelType w:val="hybridMultilevel"/>
    <w:lvl w:ilvl="0">
      <w:lvlJc w:val="left"/>
      <w:lvlText w:val="(%1)"/>
      <w:numFmt w:val="decimal"/>
      <w:start w:val="1"/>
    </w:lvl>
  </w:abstractNum>
  <w:abstractNum w:abstractNumId="151">
    <w:nsid w:val="2817E7EC"/>
    <w:multiLevelType w:val="hybridMultilevel"/>
    <w:lvl w:ilvl="0">
      <w:lvlJc w:val="left"/>
      <w:lvlText w:val="(%1)"/>
      <w:numFmt w:val="decimal"/>
      <w:start w:val="1"/>
    </w:lvl>
  </w:abstractNum>
  <w:abstractNum w:abstractNumId="152">
    <w:nsid w:val="71482545"/>
    <w:multiLevelType w:val="hybridMultilevel"/>
    <w:lvl w:ilvl="0">
      <w:lvlJc w:val="left"/>
      <w:lvlText w:val="(%1)"/>
      <w:numFmt w:val="decimal"/>
      <w:start w:val="5"/>
    </w:lvl>
  </w:abstractNum>
  <w:abstractNum w:abstractNumId="153">
    <w:nsid w:val="17D78639"/>
    <w:multiLevelType w:val="hybridMultilevel"/>
    <w:lvl w:ilvl="0">
      <w:lvlJc w:val="left"/>
      <w:lvlText w:val="(%1)"/>
      <w:numFmt w:val="decimal"/>
      <w:start w:val="1"/>
    </w:lvl>
  </w:abstractNum>
  <w:abstractNum w:abstractNumId="154">
    <w:nsid w:val="141D2302"/>
    <w:multiLevelType w:val="hybridMultilevel"/>
    <w:lvl w:ilvl="0">
      <w:lvlJc w:val="left"/>
      <w:lvlText w:val="(%1)"/>
      <w:numFmt w:val="decimal"/>
      <w:start w:val="1"/>
    </w:lvl>
  </w:abstractNum>
  <w:abstractNum w:abstractNumId="155">
    <w:nsid w:val="407168D8"/>
    <w:multiLevelType w:val="hybridMultilevel"/>
    <w:lvl w:ilvl="0">
      <w:lvlJc w:val="left"/>
      <w:lvlText w:val="(%1)"/>
      <w:numFmt w:val="lowerRoman"/>
      <w:start w:val="1"/>
    </w:lvl>
  </w:abstractNum>
  <w:abstractNum w:abstractNumId="156">
    <w:nsid w:val="6A1B45E5"/>
    <w:multiLevelType w:val="hybridMultilevel"/>
    <w:lvl w:ilvl="0">
      <w:lvlJc w:val="left"/>
      <w:lvlText w:val="•"/>
      <w:numFmt w:val="bullet"/>
      <w:start w:val="1"/>
    </w:lvl>
  </w:abstractNum>
  <w:abstractNum w:abstractNumId="157">
    <w:nsid w:val="567BD50A"/>
    <w:multiLevelType w:val="hybridMultilevel"/>
    <w:lvl w:ilvl="0">
      <w:lvlJc w:val="left"/>
      <w:lvlText w:val="(%1)"/>
      <w:numFmt w:val="decimal"/>
      <w:start w:val="1"/>
    </w:lvl>
  </w:abstractNum>
  <w:abstractNum w:abstractNumId="158">
    <w:nsid w:val="73BBD7F8"/>
    <w:multiLevelType w:val="hybridMultilevel"/>
    <w:lvl w:ilvl="0">
      <w:lvlJc w:val="left"/>
      <w:lvlText w:val="(%1)"/>
      <w:numFmt w:val="decimal"/>
      <w:start w:val="9"/>
    </w:lvl>
  </w:abstractNum>
  <w:abstractNum w:abstractNumId="159">
    <w:nsid w:val="1876589D"/>
    <w:multiLevelType w:val="hybridMultilevel"/>
    <w:lvl w:ilvl="0">
      <w:lvlJc w:val="left"/>
      <w:lvlText w:val="(%1)"/>
      <w:numFmt w:val="decimal"/>
      <w:start w:val="10"/>
    </w:lvl>
  </w:abstractNum>
  <w:abstractNum w:abstractNumId="160">
    <w:nsid w:val="327FAC77"/>
    <w:multiLevelType w:val="hybridMultilevel"/>
    <w:lvl w:ilvl="0">
      <w:lvlJc w:val="left"/>
      <w:lvlText w:val="(%1)"/>
      <w:numFmt w:val="decimal"/>
      <w:start w:val="1"/>
    </w:lvl>
  </w:abstractNum>
  <w:abstractNum w:abstractNumId="161">
    <w:nsid w:val="5A606509"/>
    <w:multiLevelType w:val="hybridMultilevel"/>
    <w:lvl w:ilvl="0">
      <w:lvlJc w:val="left"/>
      <w:lvlText w:val="(%1)"/>
      <w:numFmt w:val="decimal"/>
      <w:start w:val="1"/>
    </w:lvl>
  </w:abstractNum>
  <w:abstractNum w:abstractNumId="162">
    <w:nsid w:val="6F38E6D1"/>
    <w:multiLevelType w:val="hybridMultilevel"/>
    <w:lvl w:ilvl="0">
      <w:lvlJc w:val="left"/>
      <w:lvlText w:val="•"/>
      <w:numFmt w:val="bullet"/>
      <w:start w:val="1"/>
    </w:lvl>
  </w:abstractNum>
  <w:abstractNum w:abstractNumId="163">
    <w:nsid w:val="46111BA5"/>
    <w:multiLevelType w:val="hybridMultilevel"/>
    <w:lvl w:ilvl="0">
      <w:lvlJc w:val="left"/>
      <w:lvlText w:val="(%1)"/>
      <w:numFmt w:val="lowerLetter"/>
      <w:start w:val="7"/>
    </w:lvl>
  </w:abstractNum>
  <w:abstractNum w:abstractNumId="164">
    <w:nsid w:val="5E963896"/>
    <w:multiLevelType w:val="hybridMultilevel"/>
    <w:lvl w:ilvl="0">
      <w:lvlJc w:val="left"/>
      <w:lvlText w:val="•"/>
      <w:numFmt w:val="bullet"/>
      <w:start w:val="1"/>
    </w:lvl>
  </w:abstractNum>
  <w:abstractNum w:abstractNumId="165">
    <w:nsid w:val="775BA7C1"/>
    <w:multiLevelType w:val="hybridMultilevel"/>
    <w:lvl w:ilvl="0">
      <w:lvlJc w:val="left"/>
      <w:lvlText w:val="•"/>
      <w:numFmt w:val="bullet"/>
      <w:start w:val="1"/>
    </w:lvl>
  </w:abstractNum>
  <w:abstractNum w:abstractNumId="166">
    <w:nsid w:val="1DD6D6F4"/>
    <w:multiLevelType w:val="hybridMultilevel"/>
    <w:lvl w:ilvl="0">
      <w:lvlJc w:val="left"/>
      <w:lvlText w:val="(%1)"/>
      <w:numFmt w:val="lowerLetter"/>
      <w:start w:val="1"/>
    </w:lvl>
  </w:abstractNum>
  <w:abstractNum w:abstractNumId="167">
    <w:nsid w:val="769A091F"/>
    <w:multiLevelType w:val="hybridMultilevel"/>
    <w:lvl w:ilvl="0">
      <w:lvlJc w:val="left"/>
      <w:lvlText w:val="(%1)"/>
      <w:numFmt w:val="lowerLetter"/>
      <w:start w:val="3"/>
    </w:lvl>
  </w:abstractNum>
  <w:abstractNum w:abstractNumId="168">
    <w:nsid w:val="4695AE95"/>
    <w:multiLevelType w:val="hybridMultilevel"/>
    <w:lvl w:ilvl="0">
      <w:lvlJc w:val="left"/>
      <w:lvlText w:val="(%1)"/>
      <w:numFmt w:val="lowerLetter"/>
      <w:start w:val="1"/>
    </w:lvl>
  </w:abstractNum>
  <w:abstractNum w:abstractNumId="169">
    <w:nsid w:val="777A4EAA"/>
    <w:multiLevelType w:val="hybridMultilevel"/>
    <w:lvl w:ilvl="0">
      <w:lvlJc w:val="left"/>
      <w:lvlText w:val="%1"/>
      <w:numFmt w:val="decimal"/>
      <w:start w:val="1"/>
    </w:lvl>
    <w:lvl w:ilvl="1">
      <w:lvlJc w:val="left"/>
      <w:lvlText w:val="(%2)"/>
      <w:numFmt w:val="lowerLetter"/>
      <w:start w:val="3"/>
    </w:lvl>
  </w:abstractNum>
  <w:abstractNum w:abstractNumId="170">
    <w:nsid w:val="3F48B982"/>
    <w:multiLevelType w:val="hybridMultilevel"/>
    <w:lvl w:ilvl="0">
      <w:lvlJc w:val="left"/>
      <w:lvlText w:val="%1."/>
      <w:numFmt w:val="decimal"/>
      <w:start w:val="4"/>
    </w:lvl>
    <w:lvl w:ilvl="1">
      <w:lvlJc w:val="left"/>
      <w:lvlText w:val="(%2)"/>
      <w:numFmt w:val="lowerLetter"/>
      <w:start w:val="4"/>
    </w:lvl>
  </w:abstractNum>
  <w:abstractNum w:abstractNumId="171">
    <w:nsid w:val="46BA8FCA"/>
    <w:multiLevelType w:val="hybridMultilevel"/>
    <w:lvl w:ilvl="0">
      <w:lvlJc w:val="left"/>
      <w:lvlText w:val="(%1)"/>
      <w:numFmt w:val="lowerRoman"/>
      <w:start w:val="1"/>
    </w:lvl>
  </w:abstractNum>
  <w:abstractNum w:abstractNumId="172">
    <w:nsid w:val="7835626C"/>
    <w:multiLevelType w:val="hybridMultilevel"/>
    <w:lvl w:ilvl="0">
      <w:lvlJc w:val="left"/>
      <w:lvlText w:val="(%1)"/>
      <w:numFmt w:val="lowerLetter"/>
      <w:start w:val="6"/>
    </w:lvl>
  </w:abstractNum>
  <w:abstractNum w:abstractNumId="173">
    <w:nsid w:val="665ACA49"/>
    <w:multiLevelType w:val="hybridMultilevel"/>
    <w:lvl w:ilvl="0">
      <w:lvlJc w:val="left"/>
      <w:lvlText w:val="(%1)"/>
      <w:numFmt w:val="lowerLetter"/>
      <w:start w:val="7"/>
    </w:lvl>
  </w:abstractNum>
  <w:abstractNum w:abstractNumId="174">
    <w:nsid w:val="6835B2AE"/>
    <w:multiLevelType w:val="hybridMultilevel"/>
    <w:lvl w:ilvl="0">
      <w:lvlJc w:val="left"/>
      <w:lvlText w:val="(%1)"/>
      <w:numFmt w:val="lowerLetter"/>
      <w:start w:val="12"/>
    </w:lvl>
  </w:abstractNum>
  <w:abstractNum w:abstractNumId="175">
    <w:nsid w:val="4C187C90"/>
    <w:multiLevelType w:val="hybridMultilevel"/>
    <w:lvl w:ilvl="0">
      <w:lvlJc w:val="left"/>
      <w:lvlText w:val="(%1)"/>
      <w:numFmt w:val="lowerLetter"/>
      <w:start w:val="1"/>
    </w:lvl>
  </w:abstractNum>
  <w:abstractNum w:abstractNumId="176">
    <w:nsid w:val="541F28CD"/>
    <w:multiLevelType w:val="hybridMultilevel"/>
    <w:lvl w:ilvl="0">
      <w:lvlJc w:val="left"/>
      <w:lvlText w:val="(%1)"/>
      <w:numFmt w:val="lowerLetter"/>
      <w:start w:val="1"/>
    </w:lvl>
  </w:abstractNum>
  <w:abstractNum w:abstractNumId="177">
    <w:nsid w:val="7F65FD16"/>
    <w:multiLevelType w:val="hybridMultilevel"/>
    <w:lvl w:ilvl="0">
      <w:lvlJc w:val="left"/>
      <w:lvlText w:val="(%1)"/>
      <w:numFmt w:val="lowerLetter"/>
      <w:start w:val="2"/>
    </w:lvl>
  </w:abstractNum>
  <w:abstractNum w:abstractNumId="178">
    <w:nsid w:val="77C9FD68"/>
    <w:multiLevelType w:val="hybridMultilevel"/>
    <w:lvl w:ilvl="0">
      <w:lvlJc w:val="left"/>
      <w:lvlText w:val="(%1)"/>
      <w:numFmt w:val="lowerLetter"/>
      <w:start w:val="1"/>
    </w:lvl>
  </w:abstractNum>
  <w:abstractNum w:abstractNumId="179">
    <w:nsid w:val="298A92BA"/>
    <w:multiLevelType w:val="hybridMultilevel"/>
    <w:lvl w:ilvl="0">
      <w:lvlJc w:val="left"/>
      <w:lvlText w:val="%1"/>
      <w:numFmt w:val="lowerLetter"/>
      <w:start w:val="1"/>
    </w:lvl>
    <w:lvl w:ilvl="1">
      <w:lvlJc w:val="left"/>
      <w:lvlText w:val="(%2)"/>
      <w:numFmt w:val="lowerLetter"/>
      <w:start w:val="1"/>
    </w:lvl>
  </w:abstractNum>
  <w:abstractNum w:abstractNumId="180">
    <w:nsid w:val="6FE95EAC"/>
    <w:multiLevelType w:val="hybridMultilevel"/>
    <w:lvl w:ilvl="0">
      <w:lvlJc w:val="left"/>
      <w:lvlText w:val="(%1)"/>
      <w:numFmt w:val="lowerLetter"/>
      <w:start w:val="22"/>
    </w:lvl>
    <w:lvl w:ilvl="1">
      <w:lvlJc w:val="left"/>
      <w:lvlText w:val="%2"/>
      <w:numFmt w:val="lowerLetter"/>
      <w:start w:val="1"/>
    </w:lvl>
  </w:abstractNum>
  <w:abstractNum w:abstractNumId="181">
    <w:nsid w:val="4B697C7A"/>
    <w:multiLevelType w:val="hybridMultilevel"/>
    <w:lvl w:ilvl="0">
      <w:lvlJc w:val="left"/>
      <w:lvlText w:val="(%1)"/>
      <w:numFmt w:val="lowerLetter"/>
      <w:start w:val="1"/>
    </w:lvl>
  </w:abstractNum>
  <w:abstractNum w:abstractNumId="182">
    <w:nsid w:val="51A27AA6"/>
    <w:multiLevelType w:val="hybridMultilevel"/>
    <w:lvl w:ilvl="0">
      <w:lvlJc w:val="left"/>
      <w:lvlText w:val="%1"/>
      <w:numFmt w:val="upperLetter"/>
      <w:start w:val="1"/>
    </w:lvl>
    <w:lvl w:ilvl="1">
      <w:lvlJc w:val="left"/>
      <w:lvlText w:val="(%2)"/>
      <w:numFmt w:val="lowerLetter"/>
      <w:start w:val="2"/>
    </w:lvl>
  </w:abstractNum>
  <w:abstractNum w:abstractNumId="183">
    <w:nsid w:val="613183F2"/>
    <w:multiLevelType w:val="hybridMultilevel"/>
    <w:lvl w:ilvl="0">
      <w:lvlJc w:val="left"/>
      <w:lvlText w:val="(%1)"/>
      <w:numFmt w:val="upperLetter"/>
      <w:start w:val="2"/>
    </w:lvl>
    <w:lvl w:ilvl="1">
      <w:lvlJc w:val="left"/>
      <w:lvlText w:val="(%2)"/>
      <w:numFmt w:val="lowerLetter"/>
      <w:start w:val="4"/>
    </w:lvl>
  </w:abstractNum>
  <w:abstractNum w:abstractNumId="184">
    <w:nsid w:val="634102B4"/>
    <w:multiLevelType w:val="hybridMultilevel"/>
    <w:lvl w:ilvl="0">
      <w:lvlJc w:val="left"/>
      <w:lvlText w:val="(%1)"/>
      <w:numFmt w:val="lowerLetter"/>
      <w:start w:val="1"/>
    </w:lvl>
  </w:abstractNum>
  <w:abstractNum w:abstractNumId="185">
    <w:nsid w:val="65BF9DA8"/>
    <w:multiLevelType w:val="hybridMultilevel"/>
    <w:lvl w:ilvl="0">
      <w:lvlJc w:val="left"/>
      <w:lvlText w:val="(%1)"/>
      <w:numFmt w:val="lowerLetter"/>
      <w:start w:val="4"/>
    </w:lvl>
  </w:abstractNum>
  <w:abstractNum w:abstractNumId="186">
    <w:nsid w:val="21A2ECCA"/>
    <w:multiLevelType w:val="hybridMultilevel"/>
    <w:lvl w:ilvl="0">
      <w:lvlJc w:val="left"/>
      <w:lvlText w:val="(%1)"/>
      <w:numFmt w:val="lowerLetter"/>
      <w:start w:val="1"/>
    </w:lvl>
  </w:abstractNum>
  <w:abstractNum w:abstractNumId="187">
    <w:nsid w:val="4D5C4899"/>
    <w:multiLevelType w:val="hybridMultilevel"/>
    <w:lvl w:ilvl="0">
      <w:lvlJc w:val="left"/>
      <w:lvlText w:val="%1"/>
      <w:numFmt w:val="lowerLetter"/>
      <w:start w:val="1"/>
    </w:lvl>
    <w:lvl w:ilvl="1">
      <w:lvlJc w:val="left"/>
      <w:lvlText w:val="(%2)"/>
      <w:numFmt w:val="lowerLetter"/>
      <w:start w:val="4"/>
    </w:lvl>
  </w:abstractNum>
  <w:abstractNum w:abstractNumId="188">
    <w:nsid w:val="3C3B72B2"/>
    <w:multiLevelType w:val="hybridMultilevel"/>
    <w:lvl w:ilvl="0">
      <w:lvlJc w:val="left"/>
      <w:lvlText w:val="(%1)"/>
      <w:numFmt w:val="lowerLetter"/>
      <w:start w:val="9"/>
    </w:lvl>
    <w:lvl w:ilvl="1">
      <w:lvlJc w:val="left"/>
      <w:lvlText w:val="(%2)"/>
      <w:numFmt w:val="lowerLetter"/>
      <w:start w:val="10"/>
    </w:lvl>
  </w:abstractNum>
  <w:abstractNum w:abstractNumId="189">
    <w:nsid w:val="155EC4C2"/>
    <w:multiLevelType w:val="hybridMultilevel"/>
    <w:lvl w:ilvl="0">
      <w:lvlJc w:val="left"/>
      <w:lvlText w:val="(%1)"/>
      <w:numFmt w:val="lowerRoman"/>
      <w:start w:val="1"/>
    </w:lvl>
  </w:abstractNum>
  <w:abstractNum w:abstractNumId="190">
    <w:nsid w:val="65D2A137"/>
    <w:multiLevelType w:val="hybridMultilevel"/>
    <w:lvl w:ilvl="0">
      <w:lvlJc w:val="left"/>
      <w:lvlText w:val="(%1)"/>
      <w:numFmt w:val="lowerRoman"/>
      <w:start w:val="3"/>
    </w:lvl>
  </w:abstractNum>
  <w:abstractNum w:abstractNumId="191">
    <w:nsid w:val="6EBB1F2A"/>
    <w:multiLevelType w:val="hybridMultilevel"/>
    <w:lvl w:ilvl="0">
      <w:lvlJc w:val="left"/>
      <w:lvlText w:val="(%1)"/>
      <w:numFmt w:val="lowerLetter"/>
      <w:start w:val="2"/>
    </w:lvl>
  </w:abstractNum>
  <w:abstractNum w:abstractNumId="192">
    <w:nsid w:val="6FBF29CB"/>
    <w:multiLevelType w:val="hybridMultilevel"/>
    <w:lvl w:ilvl="0">
      <w:lvlJc w:val="left"/>
      <w:lvlText w:val="(%1)"/>
      <w:numFmt w:val="lowerLetter"/>
      <w:start w:val="1"/>
    </w:lvl>
  </w:abstractNum>
  <w:abstractNum w:abstractNumId="193">
    <w:nsid w:val="550B8808"/>
    <w:multiLevelType w:val="hybridMultilevel"/>
    <w:lvl w:ilvl="0">
      <w:lvlJc w:val="left"/>
      <w:lvlText w:val="(%1)"/>
      <w:numFmt w:val="lowerLetter"/>
      <w:start w:val="2"/>
    </w:lvl>
  </w:abstractNum>
  <w:abstractNum w:abstractNumId="194">
    <w:nsid w:val="34CC3ACF"/>
    <w:multiLevelType w:val="hybridMultilevel"/>
    <w:lvl w:ilvl="0">
      <w:lvlJc w:val="left"/>
      <w:lvlText w:val="(%1)"/>
      <w:numFmt w:val="lowerRoman"/>
      <w:start w:val="1"/>
    </w:lvl>
  </w:abstractNum>
  <w:abstractNum w:abstractNumId="195">
    <w:nsid w:val="4E556261"/>
    <w:multiLevelType w:val="hybridMultilevel"/>
    <w:lvl w:ilvl="0">
      <w:lvlJc w:val="left"/>
      <w:lvlText w:val="(%1)"/>
      <w:numFmt w:val="upperLetter"/>
      <w:start w:val="3"/>
    </w:lvl>
    <w:lvl w:ilvl="1">
      <w:lvlJc w:val="left"/>
      <w:lvlText w:val="(%2)"/>
      <w:numFmt w:val="lowerRoman"/>
      <w:start w:val="11"/>
    </w:lvl>
  </w:abstractNum>
  <w:abstractNum w:abstractNumId="196">
    <w:nsid w:val="4C672FC9"/>
    <w:multiLevelType w:val="hybridMultilevel"/>
    <w:lvl w:ilvl="0">
      <w:lvlJc w:val="left"/>
      <w:lvlText w:val="%1"/>
      <w:numFmt w:val="lowerLetter"/>
      <w:start w:val="1"/>
    </w:lvl>
    <w:lvl w:ilvl="1">
      <w:lvlJc w:val="left"/>
      <w:lvlText w:val="(%2)"/>
      <w:numFmt w:val="lowerLetter"/>
      <w:start w:val="3"/>
    </w:lvl>
  </w:abstractNum>
  <w:abstractNum w:abstractNumId="197">
    <w:nsid w:val="52A311C3"/>
    <w:multiLevelType w:val="hybridMultilevel"/>
    <w:lvl w:ilvl="0">
      <w:lvlJc w:val="left"/>
      <w:lvlText w:val="(%1)"/>
      <w:numFmt w:val="lowerLetter"/>
      <w:start w:val="35"/>
    </w:lvl>
    <w:lvl w:ilvl="1">
      <w:lvlJc w:val="left"/>
      <w:lvlText w:val="%2"/>
      <w:numFmt w:val="lowerLetter"/>
      <w:start w:val="1"/>
    </w:lvl>
  </w:abstractNum>
  <w:abstractNum w:abstractNumId="198">
    <w:nsid w:val="44EF6B80"/>
    <w:multiLevelType w:val="hybridMultilevel"/>
    <w:lvl w:ilvl="0">
      <w:lvlJc w:val="left"/>
      <w:lvlText w:val="%1"/>
      <w:numFmt w:val="lowerLetter"/>
      <w:start w:val="1"/>
    </w:lvl>
    <w:lvl w:ilvl="1">
      <w:lvlJc w:val="left"/>
      <w:lvlText w:val="(%2)"/>
      <w:numFmt w:val="lowerLetter"/>
      <w:start w:val="6"/>
    </w:lvl>
  </w:abstractNum>
  <w:abstractNum w:abstractNumId="199">
    <w:nsid w:val="12FCDE5E"/>
    <w:multiLevelType w:val="hybridMultilevel"/>
    <w:lvl w:ilvl="0">
      <w:lvlJc w:val="left"/>
      <w:lvlText w:val="(%1)"/>
      <w:numFmt w:val="lowerLetter"/>
      <w:start w:val="35"/>
    </w:lvl>
    <w:lvl w:ilvl="1">
      <w:lvlJc w:val="left"/>
      <w:lvlText w:val="%2"/>
      <w:numFmt w:val="lowerLetter"/>
      <w:start w:val="1"/>
    </w:lvl>
  </w:abstractNum>
  <w:abstractNum w:abstractNumId="200">
    <w:nsid w:val="4A1D606E"/>
    <w:multiLevelType w:val="hybridMultilevel"/>
    <w:lvl w:ilvl="0">
      <w:lvlJc w:val="left"/>
      <w:lvlText w:val="(%1)"/>
      <w:numFmt w:val="lowerLetter"/>
      <w:start w:val="1"/>
    </w:lvl>
  </w:abstractNum>
  <w:abstractNum w:abstractNumId="201">
    <w:nsid w:val="4382503"/>
    <w:multiLevelType w:val="hybridMultilevel"/>
    <w:lvl w:ilvl="0">
      <w:lvlJc w:val="left"/>
      <w:lvlText w:val="(%1)"/>
      <w:numFmt w:val="lowerLetter"/>
      <w:start w:val="1"/>
    </w:lvl>
  </w:abstractNum>
  <w:abstractNum w:abstractNumId="202">
    <w:nsid w:val="59B76E28"/>
    <w:multiLevelType w:val="hybridMultilevel"/>
    <w:lvl w:ilvl="0">
      <w:lvlJc w:val="left"/>
      <w:lvlText w:val="(%1)"/>
      <w:numFmt w:val="lowerLetter"/>
      <w:start w:val="3"/>
    </w:lvl>
  </w:abstractNum>
  <w:abstractNum w:abstractNumId="203">
    <w:nsid w:val="4252C2DA"/>
    <w:multiLevelType w:val="hybridMultilevel"/>
    <w:lvl w:ilvl="0">
      <w:lvlJc w:val="left"/>
      <w:lvlText w:val="(%1)"/>
      <w:numFmt w:val="lowerLetter"/>
      <w:start w:val="1"/>
    </w:lvl>
  </w:abstractNum>
  <w:abstractNum w:abstractNumId="204">
    <w:nsid w:val="6A92EF4C"/>
    <w:multiLevelType w:val="hybridMultilevel"/>
    <w:lvl w:ilvl="0">
      <w:lvlJc w:val="left"/>
      <w:lvlText w:val="(%1)"/>
      <w:numFmt w:val="lowerLetter"/>
      <w:start w:val="9"/>
    </w:lvl>
  </w:abstractNum>
  <w:abstractNum w:abstractNumId="205">
    <w:nsid w:val="41ED20D7"/>
    <w:multiLevelType w:val="hybridMultilevel"/>
    <w:lvl w:ilvl="0">
      <w:lvlJc w:val="left"/>
      <w:lvlText w:val="%1"/>
      <w:numFmt w:val="decimal"/>
      <w:start w:val="1"/>
    </w:lvl>
    <w:lvl w:ilvl="1">
      <w:lvlJc w:val="left"/>
      <w:lvlText w:val="(%2)"/>
      <w:numFmt w:val="lowerRoman"/>
      <w:start w:val="2"/>
    </w:lvl>
  </w:abstractNum>
  <w:abstractNum w:abstractNumId="206">
    <w:nsid w:val="E6B3F6A"/>
    <w:multiLevelType w:val="hybridMultilevel"/>
    <w:lvl w:ilvl="0">
      <w:lvlJc w:val="left"/>
      <w:lvlText w:val="(%1)"/>
      <w:numFmt w:val="decimal"/>
      <w:start w:val="10"/>
    </w:lvl>
    <w:lvl w:ilvl="1">
      <w:lvlJc w:val="left"/>
      <w:lvlText w:val="(%2)"/>
      <w:numFmt w:val="lowerRoman"/>
      <w:start w:val="6"/>
    </w:lvl>
  </w:abstractNum>
  <w:abstractNum w:abstractNumId="207">
    <w:nsid w:val="3EB21819"/>
    <w:multiLevelType w:val="hybridMultilevel"/>
    <w:lvl w:ilvl="0">
      <w:lvlJc w:val="left"/>
      <w:lvlText w:val="(%1)"/>
      <w:numFmt w:val="lowerRoman"/>
      <w:start w:val="9"/>
    </w:lvl>
  </w:abstractNum>
  <w:abstractNum w:abstractNumId="208">
    <w:nsid w:val="41531DED"/>
    <w:multiLevelType w:val="hybridMultilevel"/>
    <w:lvl w:ilvl="0">
      <w:lvlJc w:val="left"/>
      <w:lvlText w:val="(%1)"/>
      <w:numFmt w:val="lowerLetter"/>
      <w:start w:val="2"/>
    </w:lvl>
  </w:abstractNum>
  <w:abstractNum w:abstractNumId="209">
    <w:nsid w:val="6353CD2"/>
    <w:multiLevelType w:val="hybridMultilevel"/>
    <w:lvl w:ilvl="0">
      <w:lvlJc w:val="left"/>
      <w:lvlText w:val="(%1)"/>
      <w:numFmt w:val="lowerLetter"/>
      <w:start w:val="1"/>
    </w:lvl>
  </w:abstractNum>
  <w:abstractNum w:abstractNumId="210">
    <w:nsid w:val="683CAAD3"/>
    <w:multiLevelType w:val="hybridMultilevel"/>
    <w:lvl w:ilvl="0">
      <w:lvlJc w:val="left"/>
      <w:lvlText w:val="(%1)"/>
      <w:numFmt w:val="lowerLetter"/>
      <w:start w:val="4"/>
    </w:lvl>
  </w:abstractNum>
  <w:abstractNum w:abstractNumId="211">
    <w:nsid w:val="313C7C99"/>
    <w:multiLevelType w:val="hybridMultilevel"/>
    <w:lvl w:ilvl="0">
      <w:lvlJc w:val="left"/>
      <w:lvlText w:val="%1"/>
      <w:numFmt w:val="upperLetter"/>
      <w:start w:val="1"/>
    </w:lvl>
    <w:lvl w:ilvl="1">
      <w:lvlJc w:val="left"/>
      <w:lvlText w:val="(%2)"/>
      <w:numFmt w:val="lowerLetter"/>
      <w:start w:val="1"/>
    </w:lvl>
  </w:abstractNum>
  <w:abstractNum w:abstractNumId="212">
    <w:nsid w:val="519EB94C"/>
    <w:multiLevelType w:val="hybridMultilevel"/>
    <w:lvl w:ilvl="0">
      <w:lvlJc w:val="left"/>
      <w:lvlText w:val="(%1)"/>
      <w:numFmt w:val="upperLetter"/>
      <w:start w:val="1"/>
    </w:lvl>
    <w:lvl w:ilvl="1">
      <w:lvlJc w:val="left"/>
      <w:lvlText w:val="(%2)"/>
      <w:numFmt w:val="lowerLetter"/>
      <w:start w:val="2"/>
    </w:lvl>
  </w:abstractNum>
  <w:abstractNum w:abstractNumId="213">
    <w:nsid w:val="39DF2579"/>
    <w:multiLevelType w:val="hybridMultilevel"/>
    <w:lvl w:ilvl="0">
      <w:lvlJc w:val="left"/>
      <w:lvlText w:val="(%1)"/>
      <w:numFmt w:val="lowerLetter"/>
      <w:start w:val="5"/>
    </w:lvl>
  </w:abstractNum>
  <w:abstractNum w:abstractNumId="214">
    <w:nsid w:val="126E008B"/>
    <w:multiLevelType w:val="hybridMultilevel"/>
    <w:lvl w:ilvl="0">
      <w:lvlJc w:val="left"/>
      <w:lvlText w:val="(%1)"/>
      <w:numFmt w:val="lowerRoman"/>
      <w:start w:val="1"/>
    </w:lvl>
  </w:abstractNum>
  <w:abstractNum w:abstractNumId="215">
    <w:nsid w:val="34DFBC00"/>
    <w:multiLevelType w:val="hybridMultilevel"/>
    <w:lvl w:ilvl="0">
      <w:lvlJc w:val="left"/>
      <w:lvlText w:val="(%1)"/>
      <w:numFmt w:val="lowerRoman"/>
      <w:start w:val="2"/>
    </w:lvl>
  </w:abstractNum>
  <w:abstractNum w:abstractNumId="216">
    <w:nsid w:val="1F9EC322"/>
    <w:multiLevelType w:val="hybridMultilevel"/>
    <w:lvl w:ilvl="0">
      <w:lvlJc w:val="left"/>
      <w:lvlText w:val="(%1)"/>
      <w:numFmt w:val="lowerLetter"/>
      <w:start w:val="1"/>
    </w:lvl>
  </w:abstractNum>
  <w:abstractNum w:abstractNumId="217">
    <w:nsid w:val="3410ED56"/>
    <w:multiLevelType w:val="hybridMultilevel"/>
    <w:lvl w:ilvl="0">
      <w:lvlJc w:val="left"/>
      <w:lvlText w:val="(%1)"/>
      <w:numFmt w:val="lowerLetter"/>
      <w:start w:val="2"/>
    </w:lvl>
  </w:abstractNum>
  <w:abstractNum w:abstractNumId="218">
    <w:nsid w:val="23C049A"/>
    <w:multiLevelType w:val="hybridMultilevel"/>
    <w:lvl w:ilvl="0">
      <w:lvlJc w:val="left"/>
      <w:lvlText w:val="(%1)"/>
      <w:numFmt w:val="lowerLetter"/>
      <w:start w:val="1"/>
    </w:lvl>
  </w:abstractNum>
  <w:abstractNum w:abstractNumId="219">
    <w:nsid w:val="5BDA35D4"/>
    <w:multiLevelType w:val="hybridMultilevel"/>
    <w:lvl w:ilvl="0">
      <w:lvlJc w:val="left"/>
      <w:lvlText w:val="(%1)"/>
      <w:numFmt w:val="lowerLetter"/>
      <w:start w:val="2"/>
    </w:lvl>
  </w:abstractNum>
  <w:abstractNum w:abstractNumId="220">
    <w:nsid w:val="496FB218"/>
    <w:multiLevelType w:val="hybridMultilevel"/>
    <w:lvl w:ilvl="0">
      <w:lvlJc w:val="left"/>
      <w:lvlText w:val="%1"/>
      <w:numFmt w:val="lowerLetter"/>
      <w:start w:val="1"/>
    </w:lvl>
    <w:lvl w:ilvl="1">
      <w:lvlJc w:val="left"/>
      <w:lvlText w:val="(%2)"/>
      <w:numFmt w:val="lowerLetter"/>
      <w:start w:val="1"/>
    </w:lvl>
  </w:abstractNum>
  <w:abstractNum w:abstractNumId="221">
    <w:nsid w:val="680EA5D1"/>
    <w:multiLevelType w:val="hybridMultilevel"/>
    <w:lvl w:ilvl="0">
      <w:lvlJc w:val="left"/>
      <w:lvlText w:val="(%1)"/>
      <w:numFmt w:val="lowerLetter"/>
      <w:start w:val="9"/>
    </w:lvl>
    <w:lvl w:ilvl="1">
      <w:lvlJc w:val="left"/>
      <w:lvlText w:val="(%2)"/>
      <w:numFmt w:val="lowerLetter"/>
      <w:start w:val="2"/>
    </w:lvl>
  </w:abstractNum>
  <w:abstractNum w:abstractNumId="222">
    <w:nsid w:val="4A9554FE"/>
    <w:multiLevelType w:val="hybridMultilevel"/>
    <w:lvl w:ilvl="0">
      <w:lvlJc w:val="left"/>
      <w:lvlText w:val="(%1)"/>
      <w:numFmt w:val="lowerLetter"/>
      <w:start w:val="1"/>
    </w:lvl>
  </w:abstractNum>
  <w:abstractNum w:abstractNumId="223">
    <w:nsid w:val="392EDBE4"/>
    <w:multiLevelType w:val="hybridMultilevel"/>
    <w:lvl w:ilvl="0">
      <w:lvlJc w:val="left"/>
      <w:lvlText w:val="(%1)"/>
      <w:numFmt w:val="lowerLetter"/>
      <w:start w:val="1"/>
    </w:lvl>
  </w:abstractNum>
  <w:abstractNum w:abstractNumId="224">
    <w:nsid w:val="3D1A2DD9"/>
    <w:multiLevelType w:val="hybridMultilevel"/>
    <w:lvl w:ilvl="0">
      <w:lvlJc w:val="left"/>
      <w:lvlText w:val="(%1)"/>
      <w:numFmt w:val="lowerLetter"/>
      <w:start w:val="1"/>
    </w:lvl>
  </w:abstractNum>
  <w:abstractNum w:abstractNumId="225">
    <w:nsid w:val="7F618FCD"/>
    <w:multiLevelType w:val="hybridMultilevel"/>
    <w:lvl w:ilvl="0">
      <w:lvlJc w:val="left"/>
      <w:lvlText w:val="(%1)"/>
      <w:numFmt w:val="lowerLetter"/>
      <w:start w:val="3"/>
    </w:lvl>
  </w:abstractNum>
  <w:abstractNum w:abstractNumId="226">
    <w:nsid w:val="7843E45"/>
    <w:multiLevelType w:val="hybridMultilevel"/>
    <w:lvl w:ilvl="0">
      <w:lvlJc w:val="left"/>
      <w:lvlText w:val="(%1)"/>
      <w:numFmt w:val="lowerLetter"/>
      <w:start w:val="6"/>
    </w:lvl>
  </w:abstractNum>
  <w:abstractNum w:abstractNumId="227">
    <w:nsid w:val="9815DA3"/>
    <w:multiLevelType w:val="hybridMultilevel"/>
    <w:lvl w:ilvl="0">
      <w:lvlJc w:val="left"/>
      <w:lvlText w:val="(%1)"/>
      <w:numFmt w:val="lowerLetter"/>
      <w:start w:val="1"/>
    </w:lvl>
  </w:abstractNum>
  <w:abstractNum w:abstractNumId="228">
    <w:nsid w:val="5204A191"/>
    <w:multiLevelType w:val="hybridMultilevel"/>
    <w:lvl w:ilvl="0">
      <w:lvlJc w:val="left"/>
      <w:lvlText w:val="(%1)"/>
      <w:numFmt w:val="lowerLetter"/>
      <w:start w:val="5"/>
    </w:lvl>
  </w:abstractNum>
  <w:abstractNum w:abstractNumId="229">
    <w:nsid w:val="4C73A9C6"/>
    <w:multiLevelType w:val="hybridMultilevel"/>
    <w:lvl w:ilvl="0">
      <w:lvlJc w:val="left"/>
      <w:lvlText w:val="(%1)"/>
      <w:numFmt w:val="lowerLetter"/>
      <w:start w:val="1"/>
    </w:lvl>
  </w:abstractNum>
  <w:abstractNum w:abstractNumId="230">
    <w:nsid w:val="1C7E3C01"/>
    <w:multiLevelType w:val="hybridMultilevel"/>
    <w:lvl w:ilvl="0">
      <w:lvlJc w:val="left"/>
      <w:lvlText w:val="(%1)"/>
      <w:numFmt w:val="lowerLetter"/>
      <w:start w:val="5"/>
    </w:lvl>
  </w:abstractNum>
  <w:abstractNum w:abstractNumId="231">
    <w:nsid w:val="1C2201FF"/>
    <w:multiLevelType w:val="hybridMultilevel"/>
    <w:lvl w:ilvl="0">
      <w:lvlJc w:val="left"/>
      <w:lvlText w:val="(%1)"/>
      <w:numFmt w:val="lowerLetter"/>
      <w:start w:val="1"/>
    </w:lvl>
  </w:abstractNum>
  <w:abstractNum w:abstractNumId="232">
    <w:nsid w:val="50ABCEC9"/>
    <w:multiLevelType w:val="hybridMultilevel"/>
    <w:lvl w:ilvl="0">
      <w:lvlJc w:val="left"/>
      <w:lvlText w:val="(%1)"/>
      <w:numFmt w:val="lowerRoman"/>
      <w:start w:val="1"/>
    </w:lvl>
  </w:abstractNum>
  <w:abstractNum w:abstractNumId="233">
    <w:nsid w:val="7635AA2A"/>
    <w:multiLevelType w:val="hybridMultilevel"/>
    <w:lvl w:ilvl="0">
      <w:lvlJc w:val="left"/>
      <w:lvlText w:val="%1"/>
      <w:numFmt w:val="decimal"/>
      <w:start w:val="1"/>
    </w:lvl>
    <w:lvl w:ilvl="1">
      <w:lvlJc w:val="left"/>
      <w:lvlText w:val="(%2)"/>
      <w:numFmt w:val="lowerRoman"/>
      <w:start w:val="4"/>
    </w:lvl>
  </w:abstractNum>
  <w:abstractNum w:abstractNumId="234">
    <w:nsid w:val="5E74C4D9"/>
    <w:multiLevelType w:val="hybridMultilevel"/>
    <w:lvl w:ilvl="0">
      <w:lvlJc w:val="left"/>
      <w:lvlText w:val="(%1)"/>
      <w:numFmt w:val="decimal"/>
      <w:start w:val="1"/>
    </w:lvl>
    <w:lvl w:ilvl="1">
      <w:lvlJc w:val="left"/>
      <w:lvlText w:val="(%2)"/>
      <w:numFmt w:val="lowerRoman"/>
      <w:start w:val="5"/>
    </w:lvl>
  </w:abstractNum>
  <w:abstractNum w:abstractNumId="235">
    <w:nsid w:val="3B3EBE15"/>
    <w:multiLevelType w:val="hybridMultilevel"/>
    <w:lvl w:ilvl="0">
      <w:lvlJc w:val="left"/>
      <w:lvlText w:val="(%1)"/>
      <w:numFmt w:val="decimal"/>
      <w:start w:val="3"/>
    </w:lvl>
    <w:lvl w:ilvl="1">
      <w:lvlJc w:val="left"/>
      <w:lvlText w:val="%2"/>
      <w:numFmt w:val="lowerRoman"/>
      <w:start w:val="1"/>
    </w:lvl>
  </w:abstractNum>
  <w:abstractNum w:abstractNumId="236">
    <w:nsid w:val="3822CB01"/>
    <w:multiLevelType w:val="hybridMultilevel"/>
    <w:lvl w:ilvl="0">
      <w:lvlJc w:val="left"/>
      <w:lvlText w:val="(%1)"/>
      <w:numFmt w:val="lowerRoman"/>
      <w:start w:val="6"/>
    </w:lvl>
  </w:abstractNum>
  <w:abstractNum w:abstractNumId="237">
    <w:nsid w:val="6CE00443"/>
    <w:multiLevelType w:val="hybridMultilevel"/>
    <w:lvl w:ilvl="0">
      <w:lvlJc w:val="left"/>
      <w:lvlText w:val="%1"/>
      <w:numFmt w:val="decimal"/>
      <w:start w:val="1"/>
    </w:lvl>
    <w:lvl w:ilvl="1">
      <w:lvlJc w:val="left"/>
      <w:lvlText w:val="(%2)"/>
      <w:numFmt w:val="lowerRoman"/>
      <w:start w:val="14"/>
    </w:lvl>
  </w:abstractNum>
  <w:abstractNum w:abstractNumId="238">
    <w:nsid w:val="79F0D62F"/>
    <w:multiLevelType w:val="hybridMultilevel"/>
    <w:lvl w:ilvl="0">
      <w:lvlJc w:val="left"/>
      <w:lvlText w:val="(%1)"/>
      <w:numFmt w:val="decimal"/>
      <w:start w:val="2"/>
    </w:lvl>
    <w:lvl w:ilvl="1">
      <w:lvlJc w:val="left"/>
      <w:lvlText w:val="(%2)"/>
      <w:numFmt w:val="lowerRoman"/>
      <w:start w:val="22"/>
    </w:lvl>
  </w:abstractNum>
  <w:abstractNum w:abstractNumId="239">
    <w:nsid w:val="7975E8EE"/>
    <w:multiLevelType w:val="hybridMultilevel"/>
    <w:lvl w:ilvl="0">
      <w:lvlJc w:val="left"/>
      <w:lvlText w:val="(%1)"/>
      <w:numFmt w:val="lowerRoman"/>
      <w:start w:val="23"/>
    </w:lvl>
  </w:abstractNum>
  <w:abstractNum w:abstractNumId="240">
    <w:nsid w:val="73154115"/>
    <w:multiLevelType w:val="hybridMultilevel"/>
    <w:lvl w:ilvl="0">
      <w:lvlJc w:val="left"/>
      <w:lvlText w:val="(%1)"/>
      <w:numFmt w:val="lowerLetter"/>
      <w:start w:val="3"/>
    </w:lvl>
  </w:abstractNum>
  <w:abstractNum w:abstractNumId="241">
    <w:nsid w:val="622D8102"/>
    <w:multiLevelType w:val="hybridMultilevel"/>
    <w:lvl w:ilvl="0">
      <w:lvlJc w:val="left"/>
      <w:lvlText w:val="%1"/>
      <w:numFmt w:val="decimal"/>
      <w:start w:val="1"/>
    </w:lvl>
    <w:lvl w:ilvl="1">
      <w:lvlJc w:val="left"/>
      <w:lvlText w:val="(%2)"/>
      <w:numFmt w:val="lowerRoman"/>
      <w:start w:val="1"/>
    </w:lvl>
  </w:abstractNum>
  <w:abstractNum w:abstractNumId="242">
    <w:nsid w:val="2AB26587"/>
    <w:multiLevelType w:val="hybridMultilevel"/>
    <w:lvl w:ilvl="0">
      <w:lvlJc w:val="left"/>
      <w:lvlText w:val="(%1)"/>
      <w:numFmt w:val="decimal"/>
      <w:start w:val="2"/>
    </w:lvl>
    <w:lvl w:ilvl="1">
      <w:lvlJc w:val="left"/>
      <w:lvlText w:val="(%2)"/>
      <w:numFmt w:val="lowerRoman"/>
      <w:start w:val="5"/>
    </w:lvl>
  </w:abstractNum>
  <w:abstractNum w:abstractNumId="243">
    <w:nsid w:val="44B3FA61"/>
    <w:multiLevelType w:val="hybridMultilevel"/>
    <w:lvl w:ilvl="0">
      <w:lvlJc w:val="left"/>
      <w:lvlText w:val="(%1)"/>
      <w:numFmt w:val="upperLetter"/>
      <w:start w:val="2"/>
    </w:lvl>
    <w:lvl w:ilvl="1">
      <w:lvlJc w:val="left"/>
      <w:lvlText w:val="(%2)"/>
      <w:numFmt w:val="lowerRoman"/>
      <w:start w:val="6"/>
    </w:lvl>
  </w:abstractNum>
  <w:abstractNum w:abstractNumId="244">
    <w:nsid w:val="1C0CA67C"/>
    <w:multiLevelType w:val="hybridMultilevel"/>
    <w:lvl w:ilvl="0">
      <w:lvlJc w:val="left"/>
      <w:lvlText w:val="%1"/>
      <w:numFmt w:val="lowerLetter"/>
      <w:start w:val="1"/>
    </w:lvl>
    <w:lvl w:ilvl="1">
      <w:lvlJc w:val="left"/>
      <w:lvlText w:val="(%2)"/>
      <w:numFmt w:val="lowerLetter"/>
      <w:start w:val="1"/>
    </w:lvl>
  </w:abstractNum>
  <w:abstractNum w:abstractNumId="245">
    <w:nsid w:val="3D206613"/>
    <w:multiLevelType w:val="hybridMultilevel"/>
    <w:lvl w:ilvl="0">
      <w:lvlJc w:val="left"/>
      <w:lvlText w:val="(%1)"/>
      <w:numFmt w:val="lowerLetter"/>
      <w:start w:val="35"/>
    </w:lvl>
    <w:lvl w:ilvl="1">
      <w:lvlJc w:val="left"/>
      <w:lvlText w:val="%2"/>
      <w:numFmt w:val="lowerLetter"/>
      <w:start w:val="1"/>
    </w:lvl>
  </w:abstractNum>
  <w:abstractNum w:abstractNumId="246">
    <w:nsid w:val="7993B662"/>
    <w:multiLevelType w:val="hybridMultilevel"/>
    <w:lvl w:ilvl="0">
      <w:lvlJc w:val="left"/>
      <w:lvlText w:val="%1"/>
      <w:numFmt w:val="lowerLetter"/>
      <w:start w:val="1"/>
    </w:lvl>
    <w:lvl w:ilvl="1">
      <w:lvlJc w:val="left"/>
      <w:lvlText w:val="(%2)"/>
      <w:numFmt w:val="lowerLetter"/>
      <w:start w:val="2"/>
    </w:lvl>
  </w:abstractNum>
  <w:abstractNum w:abstractNumId="247">
    <w:nsid w:val="3BAB699E"/>
    <w:multiLevelType w:val="hybridMultilevel"/>
    <w:lvl w:ilvl="0">
      <w:lvlJc w:val="left"/>
      <w:lvlText w:val="(%1)"/>
      <w:numFmt w:val="lowerLetter"/>
      <w:start w:val="35"/>
    </w:lvl>
    <w:lvl w:ilvl="1">
      <w:lvlJc w:val="left"/>
      <w:lvlText w:val="%2"/>
      <w:numFmt w:val="lowerLetter"/>
      <w:start w:val="1"/>
    </w:lvl>
  </w:abstractNum>
  <w:abstractNum w:abstractNumId="248">
    <w:nsid w:val="71315369"/>
    <w:multiLevelType w:val="hybridMultilevel"/>
    <w:lvl w:ilvl="0">
      <w:lvlJc w:val="left"/>
      <w:lvlText w:val="(%1)"/>
      <w:numFmt w:val="lowerLetter"/>
      <w:start w:val="35"/>
    </w:lvl>
    <w:lvl w:ilvl="1">
      <w:lvlJc w:val="left"/>
      <w:lvlText w:val="(%2)"/>
      <w:numFmt w:val="lowerLetter"/>
      <w:start w:val="3"/>
    </w:lvl>
  </w:abstractNum>
  <w:abstractNum w:abstractNumId="249">
    <w:nsid w:val="7BCFBAFC"/>
    <w:multiLevelType w:val="hybridMultilevel"/>
    <w:lvl w:ilvl="0">
      <w:lvlJc w:val="left"/>
      <w:lvlText w:val="(%1)"/>
      <w:numFmt w:val="lowerLetter"/>
      <w:start w:val="4"/>
    </w:lvl>
  </w:abstractNum>
  <w:abstractNum w:abstractNumId="250">
    <w:nsid w:val="17859F72"/>
    <w:multiLevelType w:val="hybridMultilevel"/>
    <w:lvl w:ilvl="0">
      <w:lvlJc w:val="left"/>
      <w:lvlText w:val="(%1)"/>
      <w:numFmt w:val="lowerLetter"/>
      <w:start w:val="7"/>
    </w:lvl>
  </w:abstractNum>
  <w:abstractNum w:abstractNumId="251">
    <w:nsid w:val="3AA10581"/>
    <w:multiLevelType w:val="hybridMultilevel"/>
    <w:lvl w:ilvl="0">
      <w:lvlJc w:val="left"/>
      <w:lvlText w:val="(%1)"/>
      <w:numFmt w:val="lowerLetter"/>
      <w:start w:val="1"/>
    </w:lvl>
  </w:abstractNum>
  <w:abstractNum w:abstractNumId="252">
    <w:nsid w:val="63DE60CD"/>
    <w:multiLevelType w:val="hybridMultilevel"/>
    <w:lvl w:ilvl="0">
      <w:lvlJc w:val="left"/>
      <w:lvlText w:val="(%1)"/>
      <w:numFmt w:val="lowerLetter"/>
      <w:start w:val="1"/>
    </w:lvl>
  </w:abstractNum>
  <w:abstractNum w:abstractNumId="253">
    <w:nsid w:val="621AF471"/>
    <w:multiLevelType w:val="hybridMultilevel"/>
    <w:lvl w:ilvl="0">
      <w:lvlJc w:val="left"/>
      <w:lvlText w:val="(%1)"/>
      <w:numFmt w:val="lowerLetter"/>
      <w:start w:val="2"/>
    </w:lvl>
  </w:abstractNum>
  <w:abstractNum w:abstractNumId="254">
    <w:nsid w:val="73CFE165"/>
    <w:multiLevelType w:val="hybridMultilevel"/>
    <w:lvl w:ilvl="0">
      <w:lvlJc w:val="left"/>
      <w:lvlText w:val="(%1)"/>
      <w:numFmt w:val="lowerRoman"/>
      <w:start w:val="1"/>
    </w:lvl>
  </w:abstractNum>
  <w:abstractNum w:abstractNumId="255">
    <w:nsid w:val="20F88EA6"/>
    <w:multiLevelType w:val="hybridMultilevel"/>
    <w:lvl w:ilvl="0">
      <w:lvlJc w:val="left"/>
      <w:lvlText w:val="%1"/>
      <w:numFmt w:val="lowerLetter"/>
      <w:start w:val="1"/>
    </w:lvl>
    <w:lvl w:ilvl="1">
      <w:lvlJc w:val="left"/>
      <w:lvlText w:val="(%2)"/>
      <w:numFmt w:val="lowerLetter"/>
      <w:start w:val="3"/>
    </w:lvl>
  </w:abstractNum>
  <w:abstractNum w:abstractNumId="256">
    <w:nsid w:val="617C843E"/>
    <w:multiLevelType w:val="hybridMultilevel"/>
    <w:lvl w:ilvl="0">
      <w:lvlJc w:val="left"/>
      <w:lvlText w:val="(%1)"/>
      <w:numFmt w:val="lowerLetter"/>
      <w:start w:val="35"/>
    </w:lvl>
    <w:lvl w:ilvl="1">
      <w:lvlJc w:val="left"/>
      <w:lvlText w:val="(%2)"/>
      <w:numFmt w:val="lowerLetter"/>
      <w:start w:val="5"/>
    </w:lvl>
  </w:abstractNum>
  <w:abstractNum w:abstractNumId="257">
    <w:nsid w:val="7B541FAB"/>
    <w:multiLevelType w:val="hybridMultilevel"/>
    <w:lvl w:ilvl="0">
      <w:lvlJc w:val="left"/>
      <w:lvlText w:val="(%1)"/>
      <w:numFmt w:val="lowerLetter"/>
      <w:start w:val="6"/>
    </w:lvl>
  </w:abstractNum>
  <w:abstractNum w:abstractNumId="258">
    <w:nsid w:val="2A79EC49"/>
    <w:multiLevelType w:val="hybridMultilevel"/>
    <w:lvl w:ilvl="0">
      <w:lvlJc w:val="left"/>
      <w:lvlText w:val="%1"/>
      <w:numFmt w:val="lowerLetter"/>
      <w:start w:val="1"/>
    </w:lvl>
    <w:lvl w:ilvl="1">
      <w:lvlJc w:val="left"/>
      <w:lvlText w:val="(%2)"/>
      <w:numFmt w:val="lowerLetter"/>
      <w:start w:val="1"/>
    </w:lvl>
  </w:abstractNum>
  <w:abstractNum w:abstractNumId="259">
    <w:nsid w:val="338125CF"/>
    <w:multiLevelType w:val="hybridMultilevel"/>
    <w:lvl w:ilvl="0">
      <w:lvlJc w:val="left"/>
      <w:lvlText w:val="(%1)"/>
      <w:numFmt w:val="lowerLetter"/>
      <w:start w:val="35"/>
    </w:lvl>
    <w:lvl w:ilvl="1">
      <w:lvlJc w:val="left"/>
      <w:lvlText w:val="(%2)"/>
      <w:numFmt w:val="lowerLetter"/>
      <w:start w:val="2"/>
    </w:lvl>
  </w:abstractNum>
  <w:abstractNum w:abstractNumId="260">
    <w:nsid w:val="47C7C971"/>
    <w:multiLevelType w:val="hybridMultilevel"/>
    <w:lvl w:ilvl="0">
      <w:lvlJc w:val="left"/>
      <w:lvlText w:val="(%1)"/>
      <w:numFmt w:val="lowerLetter"/>
      <w:start w:val="3"/>
    </w:lvl>
  </w:abstractNum>
  <w:abstractNum w:abstractNumId="261">
    <w:nsid w:val="46F8284B"/>
    <w:multiLevelType w:val="hybridMultilevel"/>
    <w:lvl w:ilvl="0">
      <w:lvlJc w:val="left"/>
      <w:lvlText w:val="(%1)"/>
      <w:numFmt w:val="lowerLetter"/>
      <w:start w:val="1"/>
    </w:lvl>
  </w:abstractNum>
  <w:abstractNum w:abstractNumId="262">
    <w:nsid w:val="4FA327CE"/>
    <w:multiLevelType w:val="hybridMultilevel"/>
    <w:lvl w:ilvl="0">
      <w:lvlJc w:val="left"/>
      <w:lvlText w:val="(%1)"/>
      <w:numFmt w:val="lowerLetter"/>
      <w:start w:val="35"/>
    </w:lvl>
    <w:lvl w:ilvl="1">
      <w:lvlJc w:val="left"/>
      <w:lvlText w:val="(%2)"/>
      <w:numFmt w:val="lowerLetter"/>
      <w:start w:val="3"/>
    </w:lvl>
  </w:abstractNum>
  <w:abstractNum w:abstractNumId="263">
    <w:nsid w:val="1873983A"/>
    <w:multiLevelType w:val="hybridMultilevel"/>
    <w:lvl w:ilvl="0">
      <w:lvlJc w:val="left"/>
      <w:lvlText w:val="(%1)"/>
      <w:numFmt w:val="lowerLetter"/>
      <w:start w:val="5"/>
    </w:lvl>
  </w:abstractNum>
  <w:abstractNum w:abstractNumId="264">
    <w:nsid w:val="3D2DD275"/>
    <w:multiLevelType w:val="hybridMultilevel"/>
    <w:lvl w:ilvl="0">
      <w:lvlJc w:val="left"/>
      <w:lvlText w:val="(%1)"/>
      <w:numFmt w:val="lowerLetter"/>
      <w:start w:val="1"/>
    </w:lvl>
  </w:abstractNum>
  <w:abstractNum w:abstractNumId="265">
    <w:nsid w:val="2E17ECA7"/>
    <w:multiLevelType w:val="hybridMultilevel"/>
    <w:lvl w:ilvl="0">
      <w:lvlJc w:val="left"/>
      <w:lvlText w:val="(%1)"/>
      <w:numFmt w:val="lowerLetter"/>
      <w:start w:val="3"/>
    </w:lvl>
  </w:abstractNum>
  <w:abstractNum w:abstractNumId="266">
    <w:nsid w:val="53B2564F"/>
    <w:multiLevelType w:val="hybridMultilevel"/>
    <w:lvl w:ilvl="0">
      <w:lvlJc w:val="left"/>
      <w:lvlText w:val="(%1)"/>
      <w:numFmt w:val="lowerLetter"/>
      <w:start w:val="1"/>
    </w:lvl>
  </w:abstractNum>
  <w:abstractNum w:abstractNumId="267">
    <w:nsid w:val="75509D76"/>
    <w:multiLevelType w:val="hybridMultilevel"/>
    <w:lvl w:ilvl="0">
      <w:lvlJc w:val="left"/>
      <w:lvlText w:val="(%1)"/>
      <w:numFmt w:val="lowerLetter"/>
      <w:start w:val="1"/>
    </w:lvl>
  </w:abstractNum>
  <w:abstractNum w:abstractNumId="268">
    <w:nsid w:val="1AF7F0EA"/>
    <w:multiLevelType w:val="hybridMultilevel"/>
    <w:lvl w:ilvl="0">
      <w:lvlJc w:val="left"/>
      <w:lvlText w:val="(%1)"/>
      <w:numFmt w:val="lowerLetter"/>
      <w:start w:val="1"/>
    </w:lvl>
  </w:abstractNum>
  <w:abstractNum w:abstractNumId="269">
    <w:nsid w:val="4DA32C7E"/>
    <w:multiLevelType w:val="hybridMultilevel"/>
    <w:lvl w:ilvl="0">
      <w:lvlJc w:val="left"/>
      <w:lvlText w:val="(%1)"/>
      <w:numFmt w:val="lowerLetter"/>
      <w:start w:val="2"/>
    </w:lvl>
  </w:abstractNum>
  <w:abstractNum w:abstractNumId="270">
    <w:nsid w:val="6EC68664"/>
    <w:multiLevelType w:val="hybridMultilevel"/>
    <w:lvl w:ilvl="0">
      <w:lvlJc w:val="left"/>
      <w:lvlText w:val="(%1)"/>
      <w:numFmt w:val="lowerLetter"/>
      <w:start w:val="1"/>
    </w:lvl>
  </w:abstractNum>
  <w:abstractNum w:abstractNumId="271">
    <w:nsid w:val="E0D31FF"/>
    <w:multiLevelType w:val="hybridMultilevel"/>
    <w:lvl w:ilvl="0">
      <w:lvlJc w:val="left"/>
      <w:lvlText w:val="(%1)"/>
      <w:numFmt w:val="lowerLetter"/>
      <w:start w:val="1"/>
    </w:lvl>
  </w:abstractNum>
  <w:abstractNum w:abstractNumId="272">
    <w:nsid w:val="2FD0AD81"/>
    <w:multiLevelType w:val="hybridMultilevel"/>
    <w:lvl w:ilvl="0">
      <w:lvlJc w:val="left"/>
      <w:lvlText w:val="(%1)"/>
      <w:numFmt w:val="lowerLetter"/>
      <w:start w:val="1"/>
    </w:lvl>
    <w:lvl w:ilvl="1">
      <w:lvlJc w:val="left"/>
      <w:lvlText w:val="(%2)"/>
      <w:numFmt w:val="lowerRoman"/>
      <w:start w:val="1"/>
    </w:lvl>
  </w:abstractNum>
  <w:abstractNum w:abstractNumId="273">
    <w:nsid w:val="1978EBEB"/>
    <w:multiLevelType w:val="hybridMultilevel"/>
    <w:lvl w:ilvl="0">
      <w:lvlJc w:val="left"/>
      <w:lvlText w:val="(%1)"/>
      <w:numFmt w:val="lowerLetter"/>
      <w:start w:val="25"/>
    </w:lvl>
    <w:lvl w:ilvl="1">
      <w:lvlJc w:val="left"/>
      <w:lvlText w:val="(%2)"/>
      <w:numFmt w:val="lowerLetter"/>
      <w:start w:val="2"/>
    </w:lvl>
  </w:abstractNum>
  <w:abstractNum w:abstractNumId="274">
    <w:nsid w:val="52C12C61"/>
    <w:multiLevelType w:val="hybridMultilevel"/>
    <w:lvl w:ilvl="0">
      <w:lvlJc w:val="left"/>
      <w:lvlText w:val="(%1)"/>
      <w:numFmt w:val="lowerLetter"/>
      <w:start w:val="4"/>
    </w:lvl>
  </w:abstractNum>
  <w:abstractNum w:abstractNumId="275">
    <w:nsid w:val="4BDD53FD"/>
    <w:multiLevelType w:val="hybridMultilevel"/>
    <w:lvl w:ilvl="0">
      <w:lvlJc w:val="left"/>
      <w:lvlText w:val="(%1)"/>
      <w:numFmt w:val="lowerLetter"/>
      <w:start w:val="1"/>
    </w:lvl>
  </w:abstractNum>
  <w:abstractNum w:abstractNumId="276">
    <w:nsid w:val="569951FE"/>
    <w:multiLevelType w:val="hybridMultilevel"/>
    <w:lvl w:ilvl="0">
      <w:lvlJc w:val="left"/>
      <w:lvlText w:val="(%1)"/>
      <w:numFmt w:val="lowerLetter"/>
      <w:start w:val="1"/>
    </w:lvl>
  </w:abstractNum>
  <w:abstractNum w:abstractNumId="277">
    <w:nsid w:val="4C54E2C3"/>
    <w:multiLevelType w:val="hybridMultilevel"/>
    <w:lvl w:ilvl="0">
      <w:lvlJc w:val="left"/>
      <w:lvlText w:val="(%1)"/>
      <w:numFmt w:val="upperLetter"/>
      <w:start w:val="4"/>
    </w:lvl>
    <w:lvl w:ilvl="1">
      <w:lvlJc w:val="left"/>
      <w:lvlText w:val="(%2)"/>
      <w:numFmt w:val="lowerLetter"/>
      <w:start w:val="5"/>
    </w:lvl>
  </w:abstractNum>
  <w:abstractNum w:abstractNumId="278">
    <w:nsid w:val="788BD9B"/>
    <w:multiLevelType w:val="hybridMultilevel"/>
    <w:lvl w:ilvl="0">
      <w:lvlJc w:val="left"/>
      <w:lvlText w:val="(%1)"/>
      <w:numFmt w:val="lowerRoman"/>
      <w:start w:val="3"/>
    </w:lvl>
  </w:abstractNum>
  <w:abstractNum w:abstractNumId="279">
    <w:nsid w:val="47CAA567"/>
    <w:multiLevelType w:val="hybridMultilevel"/>
    <w:lvl w:ilvl="0">
      <w:lvlJc w:val="left"/>
      <w:lvlText w:val="(%1)"/>
      <w:numFmt w:val="lowerLetter"/>
      <w:start w:val="1"/>
    </w:lvl>
  </w:abstractNum>
  <w:abstractNum w:abstractNumId="280">
    <w:nsid w:val="48249DBF"/>
    <w:multiLevelType w:val="hybridMultilevel"/>
    <w:lvl w:ilvl="0">
      <w:lvlJc w:val="left"/>
      <w:lvlText w:val="(%1)"/>
      <w:numFmt w:val="lowerLetter"/>
      <w:start w:val="35"/>
    </w:lvl>
    <w:lvl w:ilvl="1">
      <w:lvlJc w:val="left"/>
      <w:lvlText w:val="(%2)"/>
      <w:numFmt w:val="lowerLetter"/>
      <w:start w:val="6"/>
    </w:lvl>
  </w:abstractNum>
  <w:abstractNum w:abstractNumId="281">
    <w:nsid w:val="1F0E5D0D"/>
    <w:multiLevelType w:val="hybridMultilevel"/>
    <w:lvl w:ilvl="0">
      <w:lvlJc w:val="left"/>
      <w:lvlText w:val="(%1)"/>
      <w:numFmt w:val="lowerLetter"/>
      <w:start w:val="10"/>
    </w:lvl>
  </w:abstractNum>
  <w:abstractNum w:abstractNumId="282">
    <w:nsid w:val="26BAAE9"/>
    <w:multiLevelType w:val="hybridMultilevel"/>
    <w:lvl w:ilvl="0">
      <w:lvlJc w:val="left"/>
      <w:lvlText w:val="(%1)"/>
      <w:numFmt w:val="lowerLetter"/>
      <w:start w:val="15"/>
    </w:lvl>
  </w:abstractNum>
  <w:abstractNum w:abstractNumId="283">
    <w:nsid w:val="2C02FE8C"/>
    <w:multiLevelType w:val="hybridMultilevel"/>
    <w:lvl w:ilvl="0">
      <w:lvlJc w:val="left"/>
      <w:lvlText w:val="(%1)"/>
      <w:numFmt w:val="lowerLetter"/>
      <w:start w:val="19"/>
    </w:lvl>
  </w:abstractNum>
  <w:abstractNum w:abstractNumId="284">
    <w:nsid w:val="129517E"/>
    <w:multiLevelType w:val="hybridMultilevel"/>
    <w:lvl w:ilvl="0">
      <w:lvlJc w:val="left"/>
      <w:lvlText w:val="(%1)"/>
      <w:numFmt w:val="lowerLetter"/>
      <w:start w:val="23"/>
    </w:lvl>
  </w:abstractNum>
  <w:abstractNum w:abstractNumId="285">
    <w:nsid w:val="763B8C4E"/>
    <w:multiLevelType w:val="hybridMultilevel"/>
    <w:lvl w:ilvl="0">
      <w:lvlJc w:val="left"/>
      <w:lvlText w:val="(%1)"/>
      <w:numFmt w:val="lowerLetter"/>
      <w:start w:val="27"/>
    </w:lvl>
  </w:abstractNum>
  <w:abstractNum w:abstractNumId="286">
    <w:nsid w:val="4CFB8D32"/>
    <w:multiLevelType w:val="hybridMultilevel"/>
    <w:lvl w:ilvl="0">
      <w:lvlJc w:val="left"/>
      <w:lvlText w:val="(%1)"/>
      <w:numFmt w:val="lowerLetter"/>
      <w:start w:val="40"/>
    </w:lvl>
  </w:abstractNum>
  <w:abstractNum w:abstractNumId="287">
    <w:nsid w:val="62A5D5BD"/>
    <w:multiLevelType w:val="hybridMultilevel"/>
    <w:lvl w:ilvl="0">
      <w:lvlJc w:val="left"/>
      <w:lvlText w:val="(%1)"/>
      <w:numFmt w:val="lowerLetter"/>
      <w:start w:val="1"/>
    </w:lvl>
  </w:abstractNum>
  <w:abstractNum w:abstractNumId="288">
    <w:nsid w:val="718FABF9"/>
    <w:multiLevelType w:val="hybridMultilevel"/>
    <w:lvl w:ilvl="0">
      <w:lvlJc w:val="left"/>
      <w:lvlText w:val="(%1)"/>
      <w:numFmt w:val="lowerLetter"/>
      <w:start w:val="2"/>
    </w:lvl>
  </w:abstractNum>
  <w:abstractNum w:abstractNumId="289">
    <w:nsid w:val="7775797C"/>
    <w:multiLevelType w:val="hybridMultilevel"/>
    <w:lvl w:ilvl="0">
      <w:lvlJc w:val="left"/>
      <w:lvlText w:val="(%1)"/>
      <w:numFmt w:val="lowerLetter"/>
      <w:start w:val="3"/>
    </w:lvl>
  </w:abstractNum>
  <w:abstractNum w:abstractNumId="290">
    <w:nsid w:val="1626FB8C"/>
    <w:multiLevelType w:val="hybridMultilevel"/>
    <w:lvl w:ilvl="0">
      <w:lvlJc w:val="left"/>
      <w:lvlText w:val="(%1)"/>
      <w:numFmt w:val="lowerLetter"/>
      <w:start w:val="1"/>
    </w:lvl>
  </w:abstractNum>
  <w:abstractNum w:abstractNumId="291">
    <w:nsid w:val="3957756A"/>
    <w:multiLevelType w:val="hybridMultilevel"/>
    <w:lvl w:ilvl="0">
      <w:lvlJc w:val="left"/>
      <w:lvlText w:val="(%1)"/>
      <w:numFmt w:val="lowerLetter"/>
      <w:start w:val="1"/>
    </w:lvl>
  </w:abstractNum>
  <w:abstractNum w:abstractNumId="292">
    <w:nsid w:val="3E6DA1C7"/>
    <w:multiLevelType w:val="hybridMultilevel"/>
    <w:lvl w:ilvl="0">
      <w:lvlJc w:val="left"/>
      <w:lvlText w:val="(%1)"/>
      <w:numFmt w:val="lowerRoman"/>
      <w:start w:val="3"/>
    </w:lvl>
  </w:abstractNum>
  <w:abstractNum w:abstractNumId="293">
    <w:nsid w:val="65CA235B"/>
    <w:multiLevelType w:val="hybridMultilevel"/>
    <w:lvl w:ilvl="0">
      <w:lvlJc w:val="left"/>
      <w:lvlText w:val="(%1)"/>
      <w:numFmt w:val="lowerRoman"/>
      <w:start w:val="6"/>
    </w:lvl>
  </w:abstractNum>
  <w:abstractNum w:abstractNumId="294">
    <w:nsid w:val="51CB0DA4"/>
    <w:multiLevelType w:val="hybridMultilevel"/>
    <w:lvl w:ilvl="0">
      <w:lvlJc w:val="left"/>
      <w:lvlText w:val="(%1)"/>
      <w:numFmt w:val="lowerLetter"/>
      <w:start w:val="1"/>
    </w:lvl>
  </w:abstractNum>
  <w:abstractNum w:abstractNumId="295">
    <w:nsid w:val="7B9B743C"/>
    <w:multiLevelType w:val="hybridMultilevel"/>
    <w:lvl w:ilvl="0">
      <w:lvlJc w:val="left"/>
      <w:lvlText w:val="(%1)"/>
      <w:numFmt w:val="lowerLetter"/>
      <w:start w:val="2"/>
    </w:lvl>
  </w:abstractNum>
  <w:abstractNum w:abstractNumId="296">
    <w:nsid w:val="13E21002"/>
    <w:multiLevelType w:val="hybridMultilevel"/>
    <w:lvl w:ilvl="0">
      <w:lvlJc w:val="left"/>
      <w:lvlText w:val="(%1)"/>
      <w:numFmt w:val="lowerLetter"/>
      <w:start w:val="1"/>
    </w:lvl>
  </w:abstractNum>
  <w:abstractNum w:abstractNumId="297">
    <w:nsid w:val="257D63F4"/>
    <w:multiLevelType w:val="hybridMultilevel"/>
    <w:lvl w:ilvl="0">
      <w:lvlJc w:val="left"/>
      <w:lvlText w:val="(%1)"/>
      <w:numFmt w:val="lowerRoman"/>
      <w:start w:val="2"/>
    </w:lvl>
  </w:abstractNum>
  <w:abstractNum w:abstractNumId="298">
    <w:nsid w:val="70EC11B2"/>
    <w:multiLevelType w:val="hybridMultilevel"/>
    <w:lvl w:ilvl="0">
      <w:lvlJc w:val="left"/>
      <w:lvlText w:val="(%1)"/>
      <w:numFmt w:val="lowerLetter"/>
      <w:start w:val="2"/>
    </w:lvl>
  </w:abstractNum>
  <w:abstractNum w:abstractNumId="299">
    <w:nsid w:val="2EDA00ED"/>
    <w:multiLevelType w:val="hybridMultilevel"/>
    <w:lvl w:ilvl="0">
      <w:lvlJc w:val="left"/>
      <w:lvlText w:val="(%1)"/>
      <w:numFmt w:val="lowerLetter"/>
      <w:start w:val="3"/>
    </w:lvl>
  </w:abstractNum>
  <w:abstractNum w:abstractNumId="300">
    <w:nsid w:val="73209072"/>
    <w:multiLevelType w:val="hybridMultilevel"/>
    <w:lvl w:ilvl="0">
      <w:lvlJc w:val="left"/>
      <w:lvlText w:val="(%1)"/>
      <w:numFmt w:val="lowerLetter"/>
      <w:start w:val="1"/>
    </w:lvl>
  </w:abstractNum>
  <w:abstractNum w:abstractNumId="301">
    <w:nsid w:val="5FB29816"/>
    <w:multiLevelType w:val="hybridMultilevel"/>
    <w:lvl w:ilvl="0">
      <w:lvlJc w:val="left"/>
      <w:lvlText w:val="(%1)"/>
      <w:numFmt w:val="lowerLetter"/>
      <w:start w:val="3"/>
    </w:lvl>
  </w:abstractNum>
  <w:abstractNum w:abstractNumId="302">
    <w:nsid w:val="3CE732EC"/>
    <w:multiLevelType w:val="hybridMultilevel"/>
    <w:lvl w:ilvl="0">
      <w:lvlJc w:val="left"/>
      <w:lvlText w:val="(%1)"/>
      <w:numFmt w:val="lowerLetter"/>
      <w:start w:val="1"/>
    </w:lvl>
  </w:abstractNum>
  <w:abstractNum w:abstractNumId="303">
    <w:nsid w:val="22F13DF3"/>
    <w:multiLevelType w:val="hybridMultilevel"/>
    <w:lvl w:ilvl="0">
      <w:lvlJc w:val="left"/>
      <w:lvlText w:val="(%1)"/>
      <w:numFmt w:val="lowerLetter"/>
      <w:start w:val="1"/>
    </w:lvl>
  </w:abstractNum>
  <w:abstractNum w:abstractNumId="304">
    <w:nsid w:val="792B8401"/>
    <w:multiLevelType w:val="hybridMultilevel"/>
    <w:lvl w:ilvl="0">
      <w:lvlJc w:val="left"/>
      <w:lvlText w:val="(%1)"/>
      <w:numFmt w:val="lowerLetter"/>
      <w:start w:val="3"/>
    </w:lvl>
  </w:abstractNum>
  <w:abstractNum w:abstractNumId="305">
    <w:nsid w:val="FA85F4D"/>
    <w:multiLevelType w:val="hybridMultilevel"/>
    <w:lvl w:ilvl="0">
      <w:lvlJc w:val="left"/>
      <w:lvlText w:val="%1"/>
      <w:numFmt w:val="upperLetter"/>
      <w:start w:val="1"/>
    </w:lvl>
    <w:lvl w:ilvl="1">
      <w:lvlJc w:val="left"/>
      <w:lvlText w:val="(%2)"/>
      <w:numFmt w:val="lowerLetter"/>
      <w:start w:val="1"/>
    </w:lvl>
  </w:abstractNum>
  <w:abstractNum w:abstractNumId="306">
    <w:nsid w:val="6ECE91F0"/>
    <w:multiLevelType w:val="hybridMultilevel"/>
    <w:lvl w:ilvl="0">
      <w:lvlJc w:val="left"/>
      <w:lvlText w:val="(%1)"/>
      <w:numFmt w:val="upperLetter"/>
      <w:start w:val="1"/>
    </w:lvl>
    <w:lvl w:ilvl="1">
      <w:lvlJc w:val="left"/>
      <w:lvlText w:val="(%2)"/>
      <w:numFmt w:val="lowerLetter"/>
      <w:start w:val="4"/>
    </w:lvl>
  </w:abstractNum>
  <w:abstractNum w:abstractNumId="307">
    <w:nsid w:val="4FC4D600"/>
    <w:multiLevelType w:val="hybridMultilevel"/>
    <w:lvl w:ilvl="0">
      <w:lvlJc w:val="left"/>
      <w:lvlText w:val="(%1)"/>
      <w:numFmt w:val="lowerLetter"/>
      <w:start w:val="5"/>
    </w:lvl>
  </w:abstractNum>
  <w:abstractNum w:abstractNumId="308">
    <w:nsid w:val="5BFD4210"/>
    <w:multiLevelType w:val="hybridMultilevel"/>
    <w:lvl w:ilvl="0">
      <w:lvlJc w:val="left"/>
      <w:lvlText w:val="(%1)"/>
      <w:numFmt w:val="lowerLetter"/>
      <w:start w:val="2"/>
    </w:lvl>
  </w:abstractNum>
  <w:abstractNum w:abstractNumId="309">
    <w:nsid w:val="76574F8B"/>
    <w:multiLevelType w:val="hybridMultilevel"/>
    <w:lvl w:ilvl="0">
      <w:lvlJc w:val="left"/>
      <w:lvlText w:val="(%1)"/>
      <w:numFmt w:val="lowerLetter"/>
      <w:start w:val="1"/>
    </w:lvl>
  </w:abstractNum>
  <w:abstractNum w:abstractNumId="310">
    <w:nsid w:val="178F7B67"/>
    <w:multiLevelType w:val="hybridMultilevel"/>
    <w:lvl w:ilvl="0">
      <w:lvlJc w:val="left"/>
      <w:lvlText w:val="(%1)"/>
      <w:numFmt w:val="lowerLetter"/>
      <w:start w:val="4"/>
    </w:lvl>
  </w:abstractNum>
  <w:abstractNum w:abstractNumId="311">
    <w:nsid w:val="2421DFCF"/>
    <w:multiLevelType w:val="hybridMultilevel"/>
    <w:lvl w:ilvl="0">
      <w:lvlJc w:val="left"/>
      <w:lvlText w:val="(%1)"/>
      <w:numFmt w:val="lowerRoman"/>
      <w:start w:val="1"/>
    </w:lvl>
  </w:abstractNum>
  <w:abstractNum w:abstractNumId="312">
    <w:nsid w:val="1565AC99"/>
    <w:multiLevelType w:val="hybridMultilevel"/>
    <w:lvl w:ilvl="0">
      <w:lvlJc w:val="left"/>
      <w:lvlText w:val="(%1)"/>
      <w:numFmt w:val="upperLetter"/>
      <w:start w:val="1"/>
    </w:lvl>
  </w:abstractNum>
  <w:abstractNum w:abstractNumId="313">
    <w:nsid w:val="19FB2650"/>
    <w:multiLevelType w:val="hybridMultilevel"/>
    <w:lvl w:ilvl="0">
      <w:lvlJc w:val="left"/>
      <w:lvlText w:val="(%1)"/>
      <w:numFmt w:val="lowerLetter"/>
      <w:start w:val="1"/>
    </w:lvl>
  </w:abstractNum>
  <w:abstractNum w:abstractNumId="314">
    <w:nsid w:val="5024DE5B"/>
    <w:multiLevelType w:val="hybridMultilevel"/>
    <w:lvl w:ilvl="0">
      <w:lvlJc w:val="left"/>
      <w:lvlText w:val="(%1)"/>
      <w:numFmt w:val="lowerLetter"/>
      <w:start w:val="1"/>
    </w:lvl>
  </w:abstractNum>
  <w:abstractNum w:abstractNumId="315">
    <w:nsid w:val="168EFE17"/>
    <w:multiLevelType w:val="hybridMultilevel"/>
    <w:lvl w:ilvl="0">
      <w:lvlJc w:val="left"/>
      <w:lvlText w:val="(%1)"/>
      <w:numFmt w:val="lowerLetter"/>
      <w:start w:val="6"/>
    </w:lvl>
  </w:abstractNum>
  <w:abstractNum w:abstractNumId="316">
    <w:nsid w:val="1036B29F"/>
    <w:multiLevelType w:val="hybridMultilevel"/>
    <w:lvl w:ilvl="0">
      <w:lvlJc w:val="left"/>
      <w:lvlText w:val="%1"/>
      <w:numFmt w:val="upperLetter"/>
      <w:start w:val="1"/>
    </w:lvl>
    <w:lvl w:ilvl="1">
      <w:lvlJc w:val="left"/>
      <w:lvlText w:val="(%2)"/>
      <w:numFmt w:val="lowerRoman"/>
      <w:start w:val="1"/>
    </w:lvl>
  </w:abstractNum>
  <w:abstractNum w:abstractNumId="317">
    <w:nsid w:val="1D206B8E"/>
    <w:multiLevelType w:val="hybridMultilevel"/>
    <w:lvl w:ilvl="0">
      <w:lvlJc w:val="left"/>
      <w:lvlText w:val="(%1)"/>
      <w:numFmt w:val="upperLetter"/>
      <w:start w:val="2"/>
    </w:lvl>
    <w:lvl w:ilvl="1">
      <w:lvlJc w:val="left"/>
      <w:lvlText w:val="(%2)"/>
      <w:numFmt w:val="lowerRoman"/>
      <w:start w:val="2"/>
    </w:lvl>
  </w:abstractNum>
  <w:abstractNum w:abstractNumId="318">
    <w:nsid w:val="7934D3D4"/>
    <w:multiLevelType w:val="hybridMultilevel"/>
    <w:lvl w:ilvl="0">
      <w:lvlJc w:val="left"/>
      <w:lvlText w:val="%1"/>
      <w:numFmt w:val="lowerLetter"/>
      <w:start w:val="1"/>
    </w:lvl>
    <w:lvl w:ilvl="1">
      <w:lvlJc w:val="left"/>
      <w:lvlText w:val="(%2)"/>
      <w:numFmt w:val="lowerLetter"/>
      <w:start w:val="1"/>
    </w:lvl>
  </w:abstractNum>
  <w:abstractNum w:abstractNumId="319">
    <w:nsid w:val="1C65E98"/>
    <w:multiLevelType w:val="hybridMultilevel"/>
    <w:lvl w:ilvl="0">
      <w:lvlJc w:val="left"/>
      <w:lvlText w:val="(%1)"/>
      <w:numFmt w:val="lowerLetter"/>
      <w:start w:val="9"/>
    </w:lvl>
    <w:lvl w:ilvl="1">
      <w:lvlJc w:val="left"/>
      <w:lvlText w:val="(%2)"/>
      <w:numFmt w:val="lowerLetter"/>
      <w:start w:val="2"/>
    </w:lvl>
  </w:abstractNum>
  <w:abstractNum w:abstractNumId="320">
    <w:nsid w:val="1495E50A"/>
    <w:multiLevelType w:val="hybridMultilevel"/>
    <w:lvl w:ilvl="0">
      <w:lvlJc w:val="left"/>
      <w:lvlText w:val="(%1)"/>
      <w:numFmt w:val="lowerRoman"/>
      <w:start w:val="1"/>
    </w:lvl>
  </w:abstractNum>
  <w:abstractNum w:abstractNumId="321">
    <w:nsid w:val="F5BCF61"/>
    <w:multiLevelType w:val="hybridMultilevel"/>
    <w:lvl w:ilvl="0">
      <w:lvlJc w:val="left"/>
      <w:lvlText w:val="(%1)"/>
      <w:numFmt w:val="lowerLetter"/>
      <w:start w:val="5"/>
    </w:lvl>
  </w:abstractNum>
  <w:abstractNum w:abstractNumId="322">
    <w:nsid w:val="3B1DD403"/>
    <w:multiLevelType w:val="hybridMultilevel"/>
    <w:lvl w:ilvl="0">
      <w:lvlJc w:val="left"/>
      <w:lvlText w:val="(%1)"/>
      <w:numFmt w:val="lowerRoman"/>
      <w:start w:val="1"/>
    </w:lvl>
  </w:abstractNum>
  <w:abstractNum w:abstractNumId="323">
    <w:nsid w:val="530386D1"/>
    <w:multiLevelType w:val="hybridMultilevel"/>
    <w:lvl w:ilvl="0">
      <w:lvlJc w:val="left"/>
      <w:lvlText w:val="(%1)"/>
      <w:numFmt w:val="lowerLetter"/>
      <w:start w:val="6"/>
    </w:lvl>
  </w:abstractNum>
  <w:abstractNum w:abstractNumId="324">
    <w:nsid w:val="7525F2BC"/>
    <w:multiLevelType w:val="hybridMultilevel"/>
    <w:lvl w:ilvl="0">
      <w:lvlJc w:val="left"/>
      <w:lvlText w:val="(%1)"/>
      <w:numFmt w:val="lowerRoman"/>
      <w:start w:val="1"/>
    </w:lvl>
  </w:abstractNum>
  <w:abstractNum w:abstractNumId="325">
    <w:nsid w:val="CE8E1A7"/>
    <w:multiLevelType w:val="hybridMultilevel"/>
    <w:lvl w:ilvl="0">
      <w:lvlJc w:val="left"/>
      <w:lvlText w:val="(%1)"/>
      <w:numFmt w:val="decimal"/>
      <w:start w:val="1"/>
    </w:lvl>
    <w:lvl w:ilvl="1">
      <w:lvlJc w:val="left"/>
      <w:lvlText w:val="(%2)"/>
      <w:numFmt w:val="lowerLetter"/>
      <w:start w:val="7"/>
    </w:lvl>
  </w:abstractNum>
  <w:abstractNum w:abstractNumId="326">
    <w:nsid w:val="4E9EFB0D"/>
    <w:multiLevelType w:val="hybridMultilevel"/>
    <w:lvl w:ilvl="0">
      <w:lvlJc w:val="left"/>
      <w:lvlText w:val="(%1)"/>
      <w:numFmt w:val="lowerLetter"/>
      <w:start w:val="1"/>
    </w:lvl>
  </w:abstractNum>
  <w:abstractNum w:abstractNumId="327">
    <w:nsid w:val="90802BE"/>
    <w:multiLevelType w:val="hybridMultilevel"/>
    <w:lvl w:ilvl="0">
      <w:lvlJc w:val="left"/>
      <w:lvlText w:val="(%1)"/>
      <w:numFmt w:val="lowerLetter"/>
      <w:start w:val="1"/>
    </w:lvl>
  </w:abstractNum>
  <w:abstractNum w:abstractNumId="328">
    <w:nsid w:val="3266459B"/>
    <w:multiLevelType w:val="hybridMultilevel"/>
    <w:lvl w:ilvl="0">
      <w:lvlJc w:val="left"/>
      <w:lvlText w:val="(%1)"/>
      <w:numFmt w:val="lowerLetter"/>
      <w:start w:val="2"/>
    </w:lvl>
  </w:abstractNum>
  <w:abstractNum w:abstractNumId="329">
    <w:nsid w:val="3F8B0CBF"/>
    <w:multiLevelType w:val="hybridMultilevel"/>
    <w:lvl w:ilvl="0">
      <w:lvlJc w:val="left"/>
      <w:lvlText w:val="(%1)"/>
      <w:numFmt w:val="lowerLetter"/>
      <w:start w:val="1"/>
    </w:lvl>
  </w:abstractNum>
  <w:abstractNum w:abstractNumId="330">
    <w:nsid w:val="37E203AB"/>
    <w:multiLevelType w:val="hybridMultilevel"/>
    <w:lvl w:ilvl="0">
      <w:lvlJc w:val="left"/>
      <w:lvlText w:val="(%1)"/>
      <w:numFmt w:val="lowerLetter"/>
      <w:start w:val="1"/>
    </w:lvl>
  </w:abstractNum>
  <w:abstractNum w:abstractNumId="331">
    <w:nsid w:val="2586D60E"/>
    <w:multiLevelType w:val="hybridMultilevel"/>
    <w:lvl w:ilvl="0">
      <w:lvlJc w:val="left"/>
      <w:lvlText w:val="(%1)"/>
      <w:numFmt w:val="lowerLetter"/>
      <w:start w:val="1"/>
    </w:lvl>
  </w:abstractNum>
  <w:abstractNum w:abstractNumId="332">
    <w:nsid w:val="1F3DA4D5"/>
    <w:multiLevelType w:val="hybridMultilevel"/>
    <w:lvl w:ilvl="0">
      <w:lvlJc w:val="left"/>
      <w:lvlText w:val="(%1)"/>
      <w:numFmt w:val="lowerLetter"/>
      <w:start w:val="1"/>
    </w:lvl>
  </w:abstractNum>
  <w:abstractNum w:abstractNumId="333">
    <w:nsid w:val="74C93698"/>
    <w:multiLevelType w:val="hybridMultilevel"/>
    <w:lvl w:ilvl="0">
      <w:lvlJc w:val="left"/>
      <w:lvlText w:val="(%1)"/>
      <w:numFmt w:val="lowerLetter"/>
      <w:start w:val="1"/>
    </w:lvl>
  </w:abstractNum>
  <w:abstractNum w:abstractNumId="334">
    <w:nsid w:val="48781401"/>
    <w:multiLevelType w:val="hybridMultilevel"/>
    <w:lvl w:ilvl="0">
      <w:lvlJc w:val="left"/>
      <w:lvlText w:val="(%1)"/>
      <w:numFmt w:val="lowerLetter"/>
      <w:start w:val="1"/>
    </w:lvl>
  </w:abstractNum>
  <w:abstractNum w:abstractNumId="335">
    <w:nsid w:val="186928D6"/>
    <w:multiLevelType w:val="hybridMultilevel"/>
    <w:lvl w:ilvl="0">
      <w:lvlJc w:val="left"/>
      <w:lvlText w:val="*"/>
      <w:numFmt w:val="bullet"/>
      <w:start w:val="1"/>
    </w:lvl>
  </w:abstractNum>
  <w:abstractNum w:abstractNumId="336">
    <w:nsid w:val="47195E5"/>
    <w:multiLevelType w:val="hybridMultilevel"/>
    <w:lvl w:ilvl="0">
      <w:lvlJc w:val="left"/>
      <w:lvlText w:val="**"/>
      <w:numFmt w:val="bullet"/>
      <w:start w:val="1"/>
    </w:lvl>
  </w:abstractNum>
  <w:abstractNum w:abstractNumId="337">
    <w:nsid w:val="3746A5F2"/>
    <w:multiLevelType w:val="hybridMultilevel"/>
    <w:lvl w:ilvl="0">
      <w:lvlJc w:val="left"/>
      <w:lvlText w:val="(%1)"/>
      <w:numFmt w:val="decimal"/>
      <w:start w:val="1"/>
    </w:lvl>
    <w:lvl w:ilvl="1">
      <w:lvlJc w:val="left"/>
      <w:lvlText w:val="(%2)"/>
      <w:numFmt w:val="lowerRoman"/>
      <w:start w:val="1"/>
    </w:lvl>
  </w:abstractNum>
  <w:abstractNum w:abstractNumId="338">
    <w:nsid w:val="682DFED6"/>
    <w:multiLevelType w:val="hybridMultilevel"/>
    <w:lvl w:ilvl="0">
      <w:lvlJc w:val="left"/>
      <w:lvlText w:val="(%1)"/>
      <w:numFmt w:val="lowerRoman"/>
      <w:start w:val="3"/>
    </w:lvl>
  </w:abstractNum>
  <w:abstractNum w:abstractNumId="339">
    <w:nsid w:val="606ED7F6"/>
    <w:multiLevelType w:val="hybridMultilevel"/>
    <w:lvl w:ilvl="0">
      <w:lvlJc w:val="left"/>
      <w:lvlText w:val="(%1)"/>
      <w:numFmt w:val="decimal"/>
      <w:start w:val="1"/>
    </w:lvl>
  </w:abstractNum>
  <w:abstractNum w:abstractNumId="340">
    <w:nsid w:val="2D9DF57D"/>
    <w:multiLevelType w:val="hybridMultilevel"/>
    <w:lvl w:ilvl="0">
      <w:lvlJc w:val="left"/>
      <w:lvlText w:val="*"/>
      <w:numFmt w:val="bullet"/>
      <w:start w:val="1"/>
    </w:lvl>
  </w:abstractNum>
  <w:abstractNum w:abstractNumId="341">
    <w:nsid w:val="7FBD7A3E"/>
    <w:multiLevelType w:val="hybridMultilevel"/>
    <w:lvl w:ilvl="0">
      <w:lvlJc w:val="left"/>
      <w:lvlText w:val="**"/>
      <w:numFmt w:val="bullet"/>
      <w:start w:val="1"/>
    </w:lvl>
  </w:abstractNum>
  <w:abstractNum w:abstractNumId="342">
    <w:nsid w:val="490B7C5"/>
    <w:multiLevelType w:val="hybridMultilevel"/>
    <w:lvl w:ilvl="0">
      <w:lvlJc w:val="left"/>
      <w:lvlText w:val="["/>
      <w:numFmt w:val="bullet"/>
      <w:start w:val="1"/>
    </w:lvl>
  </w:abstractNum>
  <w:abstractNum w:abstractNumId="343">
    <w:nsid w:val="4303A21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2019-12-10T02:08:38Z</dcterms:created>
  <dcterms:modified xsi:type="dcterms:W3CDTF">2019-12-10T02:08:38Z</dcterms:modified>
</cp:coreProperties>
</file>