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4,203,618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44,694,259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44,694,259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7.634%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44,694,259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44,694,259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7.634%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44,694,259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44,694,259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7.634%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153 East 53 Street</w:t>
      </w:r>
    </w:p>
    <w:p>
      <w:pPr>
        <w:ind w:left="1700"/>
        <w:spacing w:after="0" w:line="238" w:lineRule="auto"/>
        <w:rPr>
          <w:sz w:val="20"/>
          <w:szCs w:val="20"/>
          <w:color w:val="auto"/>
        </w:rPr>
      </w:pPr>
      <w:r>
        <w:rPr>
          <w:rFonts w:ascii="Courier New" w:cs="Courier New" w:eastAsia="Courier New" w:hAnsi="Courier New"/>
          <w:sz w:val="18"/>
          <w:szCs w:val="18"/>
          <w:color w:val="auto"/>
        </w:rPr>
        <w:t>57th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10020</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44,694,259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7.634%</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4,203,618</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44,694,259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the Common Stock of Schlumberger Limited at December 31, 2003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40,224,101 shares or 6.871% of the Common Stock</w:t>
      </w:r>
    </w:p>
    <w:p>
      <w:pPr>
        <w:spacing w:after="0"/>
        <w:tabs>
          <w:tab w:leader="none" w:pos="3880" w:val="left"/>
        </w:tabs>
        <w:rPr>
          <w:sz w:val="20"/>
          <w:szCs w:val="20"/>
          <w:color w:val="auto"/>
        </w:rPr>
      </w:pPr>
      <w:r>
        <w:rPr>
          <w:rFonts w:ascii="Courier New" w:cs="Courier New" w:eastAsia="Courier New" w:hAnsi="Courier New"/>
          <w:sz w:val="18"/>
          <w:szCs w:val="18"/>
          <w:color w:val="auto"/>
        </w:rPr>
        <w:t>outstanding of Schlumberger Limited</w:t>
      </w:r>
      <w:r>
        <w:rPr>
          <w:sz w:val="20"/>
          <w:szCs w:val="20"/>
          <w:color w:val="auto"/>
        </w:rPr>
        <w:tab/>
      </w:r>
      <w:r>
        <w:rPr>
          <w:rFonts w:ascii="Courier New" w:cs="Courier New" w:eastAsia="Courier New" w:hAnsi="Courier New"/>
          <w:sz w:val="16"/>
          <w:szCs w:val="16"/>
          <w:color w:val="auto"/>
        </w:rPr>
        <w:t>("the Company") as a</w:t>
      </w:r>
    </w:p>
    <w:p>
      <w:pPr>
        <w:spacing w:after="0" w:line="237" w:lineRule="auto"/>
        <w:rPr>
          <w:sz w:val="20"/>
          <w:szCs w:val="20"/>
          <w:color w:val="auto"/>
        </w:rPr>
      </w:pPr>
      <w:r>
        <w:rPr>
          <w:rFonts w:ascii="Courier New" w:cs="Courier New" w:eastAsia="Courier New" w:hAnsi="Courier New"/>
          <w:sz w:val="18"/>
          <w:szCs w:val="18"/>
          <w:color w:val="auto"/>
        </w:rPr>
        <w:t>result 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237" w:lineRule="auto"/>
        <w:rPr>
          <w:sz w:val="20"/>
          <w:szCs w:val="20"/>
          <w:color w:val="auto"/>
        </w:rPr>
      </w:pPr>
      <w:r>
        <w:rPr>
          <w:rFonts w:ascii="Courier New" w:cs="Courier New" w:eastAsia="Courier New" w:hAnsi="Courier New"/>
          <w:sz w:val="18"/>
          <w:szCs w:val="18"/>
          <w:color w:val="auto"/>
        </w:rPr>
        <w:t>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40,224,101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2,829,818 shares or 0.483%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2,829,818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2,563,278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266,540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779"/>
        <w:spacing w:after="0" w:line="272" w:lineRule="auto"/>
        <w:rPr>
          <w:sz w:val="20"/>
          <w:szCs w:val="20"/>
          <w:color w:val="auto"/>
        </w:rPr>
      </w:pPr>
      <w:r>
        <w:rPr>
          <w:rFonts w:ascii="Courier New" w:cs="Courier New" w:eastAsia="Courier New" w:hAnsi="Courier New"/>
          <w:sz w:val="16"/>
          <w:szCs w:val="16"/>
          <w:color w:val="auto"/>
        </w:rPr>
        <w:t>Corp. and an investment adviser registered under Section 203 of the Investment Advisers Act of 1940, provides investment advisory services to individuals. As such, FMR Corp.'s beneficial ownership includes 9,480 shares, or 0.002%, of the Common Stock stock outstanding of Schlumberger Limited, beneficially owned through Strategic Advisers, Inc.</w:t>
      </w:r>
    </w:p>
    <w:p>
      <w:pPr>
        <w:spacing w:after="0" w:line="18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339" w:right="1440" w:bottom="0" w:gutter="0" w:footer="0" w:header="0"/>
        </w:sectPr>
      </w:pPr>
    </w:p>
    <w:bookmarkStart w:id="3" w:name="page4"/>
    <w:bookmarkEnd w:id="3"/>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1,630,860 shares or 0.279%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1,630,860 shares or 0.279% of the Common Stock outstanding of Schlumberger Limited.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ectPr>
          <w:pgSz w:w="11900" w:h="16838" w:orient="portrait"/>
          <w:cols w:equalWidth="0" w:num="1">
            <w:col w:w="10219"/>
          </w:cols>
          <w:pgMar w:left="240" w:top="344" w:right="1440" w:bottom="0" w:gutter="0" w:footer="0" w:header="0"/>
        </w:sectPr>
      </w:pPr>
    </w:p>
    <w:bookmarkStart w:id="4" w:name="page5"/>
    <w:bookmarkEnd w:id="4"/>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1,630,860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Schlumberger Limited at December 31, 2003.</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2019-12-12T10:08:33Z</dcterms:created>
  <dcterms:modified xsi:type="dcterms:W3CDTF">2019-12-12T10:08:33Z</dcterms:modified>
</cp:coreProperties>
</file>