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Ralston Dianne B.</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line="12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12/23/2022</w:t>
            </w: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Chief Legal Officer &amp; Sec</w:t>
            </w: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12/23/2022</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10,493</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52.518</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23,379</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$52.50 to $52.54.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3"/>
          <w:szCs w:val="33"/>
          <w:color w:val="0000FF"/>
          <w:vertAlign w:val="subscript"/>
        </w:rPr>
        <w:t>12/23/2022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14246"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2022-12-23T18:55:07Z</dcterms:created>
  <dcterms:modified xsi:type="dcterms:W3CDTF">2022-12-23T18:55:07Z</dcterms:modified>
</cp:coreProperties>
</file>