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179070</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63500</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62230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520" w:hanging="517"/>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43180</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N.V.</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Limited)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41275</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96" w:lineRule="exact"/>
        <w:rPr>
          <w:sz w:val="24"/>
          <w:szCs w:val="24"/>
          <w:color w:val="auto"/>
        </w:rPr>
      </w:pPr>
    </w:p>
    <w:tbl>
      <w:tblPr>
        <w:tblLayout w:type="fixed"/>
        <w:tblInd w:w="1360" w:type="dxa"/>
        <w:tblCellMar>
          <w:top w:w="0" w:type="dxa"/>
          <w:left w:w="0" w:type="dxa"/>
          <w:bottom w:w="0" w:type="dxa"/>
          <w:right w:w="0" w:type="dxa"/>
        </w:tblCellMar>
      </w:tblPr>
      <w:tr>
        <w:trPr>
          <w:trHeight w:val="194"/>
        </w:trPr>
        <w:tc>
          <w:tcPr>
            <w:tcW w:w="940" w:type="dxa"/>
            <w:vAlign w:val="bottom"/>
          </w:tcPr>
          <w:p>
            <w:pPr>
              <w:spacing w:after="0"/>
              <w:rPr>
                <w:sz w:val="16"/>
                <w:szCs w:val="16"/>
                <w:color w:val="auto"/>
              </w:rPr>
            </w:pPr>
          </w:p>
        </w:tc>
        <w:tc>
          <w:tcPr>
            <w:tcW w:w="2740" w:type="dxa"/>
            <w:vAlign w:val="bottom"/>
            <w:gridSpan w:val="2"/>
          </w:tcPr>
          <w:p>
            <w:pPr>
              <w:jc w:val="center"/>
              <w:ind w:right="1651"/>
              <w:spacing w:after="0"/>
              <w:rPr>
                <w:sz w:val="20"/>
                <w:szCs w:val="20"/>
                <w:color w:val="auto"/>
              </w:rPr>
            </w:pPr>
            <w:r>
              <w:rPr>
                <w:rFonts w:ascii="Arial" w:cs="Arial" w:eastAsia="Arial" w:hAnsi="Arial"/>
                <w:sz w:val="16"/>
                <w:szCs w:val="16"/>
                <w:b w:val="1"/>
                <w:bCs w:val="1"/>
                <w:color w:val="auto"/>
                <w:w w:val="90"/>
              </w:rPr>
              <w:t>Curaçao</w:t>
            </w:r>
          </w:p>
        </w:tc>
        <w:tc>
          <w:tcPr>
            <w:tcW w:w="4420" w:type="dxa"/>
            <w:vAlign w:val="bottom"/>
            <w:gridSpan w:val="3"/>
          </w:tcPr>
          <w:p>
            <w:pPr>
              <w:jc w:val="center"/>
              <w:ind w:left="2691"/>
              <w:spacing w:after="0"/>
              <w:rPr>
                <w:sz w:val="20"/>
                <w:szCs w:val="20"/>
                <w:color w:val="auto"/>
              </w:rPr>
            </w:pPr>
            <w:r>
              <w:rPr>
                <w:rFonts w:ascii="Arial" w:cs="Arial" w:eastAsia="Arial" w:hAnsi="Arial"/>
                <w:sz w:val="16"/>
                <w:szCs w:val="16"/>
                <w:b w:val="1"/>
                <w:bCs w:val="1"/>
                <w:color w:val="auto"/>
                <w:w w:val="86"/>
              </w:rPr>
              <w:t>52-0684746</w:t>
            </w:r>
          </w:p>
        </w:tc>
        <w:tc>
          <w:tcPr>
            <w:tcW w:w="0" w:type="dxa"/>
            <w:vAlign w:val="bottom"/>
          </w:tcPr>
          <w:p>
            <w:pPr>
              <w:spacing w:after="0"/>
              <w:rPr>
                <w:sz w:val="1"/>
                <w:szCs w:val="1"/>
                <w:color w:val="auto"/>
              </w:rPr>
            </w:pPr>
          </w:p>
        </w:tc>
      </w:tr>
      <w:tr>
        <w:trPr>
          <w:trHeight w:val="153"/>
        </w:trPr>
        <w:tc>
          <w:tcPr>
            <w:tcW w:w="3680" w:type="dxa"/>
            <w:vAlign w:val="bottom"/>
            <w:gridSpan w:val="3"/>
          </w:tcPr>
          <w:p>
            <w:pPr>
              <w:jc w:val="center"/>
              <w:ind w:right="731"/>
              <w:spacing w:after="0"/>
              <w:rPr>
                <w:sz w:val="20"/>
                <w:szCs w:val="20"/>
                <w:color w:val="auto"/>
              </w:rPr>
            </w:pPr>
            <w:r>
              <w:rPr>
                <w:rFonts w:ascii="Arial" w:cs="Arial" w:eastAsia="Arial" w:hAnsi="Arial"/>
                <w:sz w:val="12"/>
                <w:szCs w:val="12"/>
                <w:color w:val="auto"/>
                <w:w w:val="93"/>
              </w:rPr>
              <w:t>(State or other jurisdiction of incorporation or organization)</w:t>
            </w:r>
          </w:p>
        </w:tc>
        <w:tc>
          <w:tcPr>
            <w:tcW w:w="800" w:type="dxa"/>
            <w:vAlign w:val="bottom"/>
          </w:tcPr>
          <w:p>
            <w:pPr>
              <w:spacing w:after="0"/>
              <w:rPr>
                <w:sz w:val="13"/>
                <w:szCs w:val="13"/>
                <w:color w:val="auto"/>
              </w:rPr>
            </w:pPr>
          </w:p>
        </w:tc>
        <w:tc>
          <w:tcPr>
            <w:tcW w:w="3620" w:type="dxa"/>
            <w:vAlign w:val="bottom"/>
            <w:gridSpan w:val="2"/>
          </w:tcPr>
          <w:p>
            <w:pPr>
              <w:jc w:val="center"/>
              <w:ind w:left="1895"/>
              <w:spacing w:after="0"/>
              <w:rPr>
                <w:sz w:val="20"/>
                <w:szCs w:val="20"/>
                <w:color w:val="auto"/>
              </w:rPr>
            </w:pPr>
            <w:r>
              <w:rPr>
                <w:rFonts w:ascii="Arial" w:cs="Arial" w:eastAsia="Arial" w:hAnsi="Arial"/>
                <w:sz w:val="12"/>
                <w:szCs w:val="12"/>
                <w:color w:val="auto"/>
                <w:w w:val="94"/>
              </w:rPr>
              <w:t>(IRS Employer Identification No.)</w:t>
            </w:r>
          </w:p>
        </w:tc>
        <w:tc>
          <w:tcPr>
            <w:tcW w:w="0" w:type="dxa"/>
            <w:vAlign w:val="bottom"/>
          </w:tcPr>
          <w:p>
            <w:pPr>
              <w:spacing w:after="0"/>
              <w:rPr>
                <w:sz w:val="1"/>
                <w:szCs w:val="1"/>
                <w:color w:val="auto"/>
              </w:rPr>
            </w:pPr>
          </w:p>
        </w:tc>
      </w:tr>
      <w:tr>
        <w:trPr>
          <w:trHeight w:val="174"/>
        </w:trPr>
        <w:tc>
          <w:tcPr>
            <w:tcW w:w="3680" w:type="dxa"/>
            <w:vAlign w:val="bottom"/>
            <w:gridSpan w:val="3"/>
          </w:tcPr>
          <w:p>
            <w:pPr>
              <w:jc w:val="center"/>
              <w:ind w:right="731"/>
              <w:spacing w:after="0"/>
              <w:rPr>
                <w:sz w:val="20"/>
                <w:szCs w:val="20"/>
                <w:color w:val="auto"/>
              </w:rPr>
            </w:pPr>
            <w:r>
              <w:rPr>
                <w:rFonts w:ascii="Arial" w:cs="Arial" w:eastAsia="Arial" w:hAnsi="Arial"/>
                <w:sz w:val="14"/>
                <w:szCs w:val="14"/>
                <w:b w:val="1"/>
                <w:bCs w:val="1"/>
                <w:color w:val="auto"/>
                <w:w w:val="89"/>
              </w:rPr>
              <w:t>42, rue Saint-Dominique</w:t>
            </w:r>
          </w:p>
        </w:tc>
        <w:tc>
          <w:tcPr>
            <w:tcW w:w="4420" w:type="dxa"/>
            <w:vAlign w:val="bottom"/>
            <w:gridSpan w:val="3"/>
            <w:vMerge w:val="restart"/>
          </w:tcPr>
          <w:p>
            <w:pPr>
              <w:jc w:val="center"/>
              <w:ind w:left="2691"/>
              <w:spacing w:after="0"/>
              <w:rPr>
                <w:sz w:val="20"/>
                <w:szCs w:val="20"/>
                <w:color w:val="auto"/>
              </w:rPr>
            </w:pPr>
            <w:r>
              <w:rPr>
                <w:rFonts w:ascii="Arial" w:cs="Arial" w:eastAsia="Arial" w:hAnsi="Arial"/>
                <w:sz w:val="14"/>
                <w:szCs w:val="14"/>
                <w:b w:val="1"/>
                <w:bCs w:val="1"/>
                <w:color w:val="auto"/>
                <w:w w:val="87"/>
              </w:rPr>
              <w:t>75007</w:t>
            </w:r>
          </w:p>
        </w:tc>
        <w:tc>
          <w:tcPr>
            <w:tcW w:w="0" w:type="dxa"/>
            <w:vAlign w:val="bottom"/>
          </w:tcPr>
          <w:p>
            <w:pPr>
              <w:spacing w:after="0"/>
              <w:rPr>
                <w:sz w:val="1"/>
                <w:szCs w:val="1"/>
                <w:color w:val="auto"/>
              </w:rPr>
            </w:pPr>
          </w:p>
        </w:tc>
      </w:tr>
      <w:tr>
        <w:trPr>
          <w:trHeight w:val="179"/>
        </w:trPr>
        <w:tc>
          <w:tcPr>
            <w:tcW w:w="940" w:type="dxa"/>
            <w:vAlign w:val="bottom"/>
          </w:tcPr>
          <w:p>
            <w:pPr>
              <w:spacing w:after="0"/>
              <w:rPr>
                <w:sz w:val="15"/>
                <w:szCs w:val="15"/>
                <w:color w:val="auto"/>
              </w:rPr>
            </w:pPr>
          </w:p>
        </w:tc>
        <w:tc>
          <w:tcPr>
            <w:tcW w:w="2740" w:type="dxa"/>
            <w:vAlign w:val="bottom"/>
            <w:gridSpan w:val="2"/>
          </w:tcPr>
          <w:p>
            <w:pPr>
              <w:jc w:val="center"/>
              <w:ind w:right="1651"/>
              <w:spacing w:after="0"/>
              <w:rPr>
                <w:sz w:val="20"/>
                <w:szCs w:val="20"/>
                <w:color w:val="auto"/>
              </w:rPr>
            </w:pPr>
            <w:r>
              <w:rPr>
                <w:rFonts w:ascii="Arial" w:cs="Arial" w:eastAsia="Arial" w:hAnsi="Arial"/>
                <w:sz w:val="14"/>
                <w:szCs w:val="14"/>
                <w:b w:val="1"/>
                <w:bCs w:val="1"/>
                <w:color w:val="auto"/>
                <w:w w:val="88"/>
              </w:rPr>
              <w:t>Paris, France</w:t>
            </w:r>
          </w:p>
        </w:tc>
        <w:tc>
          <w:tcPr>
            <w:tcW w:w="4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88"/>
              </w:rPr>
              <w:t>5599 San Felipe, 17</w:t>
            </w:r>
            <w:r>
              <w:rPr>
                <w:rFonts w:ascii="Arial" w:cs="Arial" w:eastAsia="Arial" w:hAnsi="Arial"/>
                <w:sz w:val="11"/>
                <w:szCs w:val="11"/>
                <w:b w:val="1"/>
                <w:bCs w:val="1"/>
                <w:color w:val="auto"/>
                <w:w w:val="88"/>
              </w:rPr>
              <w:t>th</w:t>
            </w:r>
            <w:r>
              <w:rPr>
                <w:rFonts w:ascii="Arial" w:cs="Arial" w:eastAsia="Arial" w:hAnsi="Arial"/>
                <w:sz w:val="14"/>
                <w:szCs w:val="14"/>
                <w:b w:val="1"/>
                <w:bCs w:val="1"/>
                <w:color w:val="auto"/>
                <w:w w:val="88"/>
              </w:rPr>
              <w:t xml:space="preserve"> Floor</w:t>
            </w:r>
          </w:p>
        </w:tc>
        <w:tc>
          <w:tcPr>
            <w:tcW w:w="4420" w:type="dxa"/>
            <w:vAlign w:val="bottom"/>
            <w:gridSpan w:val="3"/>
            <w:vMerge w:val="restart"/>
          </w:tcPr>
          <w:p>
            <w:pPr>
              <w:jc w:val="center"/>
              <w:ind w:left="2691"/>
              <w:spacing w:after="0"/>
              <w:rPr>
                <w:sz w:val="20"/>
                <w:szCs w:val="20"/>
                <w:color w:val="auto"/>
              </w:rPr>
            </w:pPr>
            <w:r>
              <w:rPr>
                <w:rFonts w:ascii="Arial" w:cs="Arial" w:eastAsia="Arial" w:hAnsi="Arial"/>
                <w:sz w:val="14"/>
                <w:szCs w:val="14"/>
                <w:b w:val="1"/>
                <w:bCs w:val="1"/>
                <w:color w:val="auto"/>
                <w:w w:val="87"/>
              </w:rPr>
              <w:t>77056</w:t>
            </w:r>
          </w:p>
        </w:tc>
        <w:tc>
          <w:tcPr>
            <w:tcW w:w="0" w:type="dxa"/>
            <w:vAlign w:val="bottom"/>
          </w:tcPr>
          <w:p>
            <w:pPr>
              <w:spacing w:after="0"/>
              <w:rPr>
                <w:sz w:val="1"/>
                <w:szCs w:val="1"/>
                <w:color w:val="auto"/>
              </w:rPr>
            </w:pPr>
          </w:p>
        </w:tc>
      </w:tr>
      <w:tr>
        <w:trPr>
          <w:trHeight w:val="179"/>
        </w:trPr>
        <w:tc>
          <w:tcPr>
            <w:tcW w:w="3680" w:type="dxa"/>
            <w:vAlign w:val="bottom"/>
            <w:gridSpan w:val="3"/>
          </w:tcPr>
          <w:p>
            <w:pPr>
              <w:jc w:val="center"/>
              <w:ind w:right="731"/>
              <w:spacing w:after="0"/>
              <w:rPr>
                <w:sz w:val="20"/>
                <w:szCs w:val="20"/>
                <w:color w:val="auto"/>
              </w:rPr>
            </w:pPr>
            <w:r>
              <w:rPr>
                <w:rFonts w:ascii="Arial" w:cs="Arial" w:eastAsia="Arial" w:hAnsi="Arial"/>
                <w:sz w:val="14"/>
                <w:szCs w:val="14"/>
                <w:b w:val="1"/>
                <w:bCs w:val="1"/>
                <w:color w:val="auto"/>
                <w:w w:val="87"/>
              </w:rPr>
              <w:t>Houston, Texas, United States of America</w:t>
            </w:r>
          </w:p>
        </w:tc>
        <w:tc>
          <w:tcPr>
            <w:tcW w:w="4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88"/>
              </w:rPr>
              <w:t>62 Buckingham Gate,</w:t>
            </w:r>
          </w:p>
        </w:tc>
        <w:tc>
          <w:tcPr>
            <w:tcW w:w="800" w:type="dxa"/>
            <w:vAlign w:val="bottom"/>
          </w:tcPr>
          <w:p>
            <w:pPr>
              <w:spacing w:after="0"/>
              <w:rPr>
                <w:sz w:val="14"/>
                <w:szCs w:val="14"/>
                <w:color w:val="auto"/>
              </w:rPr>
            </w:pPr>
          </w:p>
        </w:tc>
        <w:tc>
          <w:tcPr>
            <w:tcW w:w="3620" w:type="dxa"/>
            <w:vAlign w:val="bottom"/>
            <w:gridSpan w:val="2"/>
            <w:vMerge w:val="restart"/>
          </w:tcPr>
          <w:p>
            <w:pPr>
              <w:jc w:val="center"/>
              <w:ind w:left="1895"/>
              <w:spacing w:after="0"/>
              <w:rPr>
                <w:sz w:val="20"/>
                <w:szCs w:val="20"/>
                <w:color w:val="auto"/>
              </w:rPr>
            </w:pPr>
            <w:r>
              <w:rPr>
                <w:rFonts w:ascii="Arial" w:cs="Arial" w:eastAsia="Arial" w:hAnsi="Arial"/>
                <w:sz w:val="14"/>
                <w:szCs w:val="14"/>
                <w:b w:val="1"/>
                <w:bCs w:val="1"/>
                <w:color w:val="auto"/>
                <w:w w:val="95"/>
              </w:rPr>
              <w:t>SW1E 6AJ</w:t>
            </w:r>
          </w:p>
        </w:tc>
        <w:tc>
          <w:tcPr>
            <w:tcW w:w="0" w:type="dxa"/>
            <w:vAlign w:val="bottom"/>
          </w:tcPr>
          <w:p>
            <w:pPr>
              <w:spacing w:after="0"/>
              <w:rPr>
                <w:sz w:val="1"/>
                <w:szCs w:val="1"/>
                <w:color w:val="auto"/>
              </w:rPr>
            </w:pPr>
          </w:p>
        </w:tc>
      </w:tr>
      <w:tr>
        <w:trPr>
          <w:trHeight w:val="179"/>
        </w:trPr>
        <w:tc>
          <w:tcPr>
            <w:tcW w:w="36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89"/>
              </w:rPr>
              <w:t>London, United Kingdom</w:t>
            </w:r>
          </w:p>
        </w:tc>
        <w:tc>
          <w:tcPr>
            <w:tcW w:w="80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80" w:type="dxa"/>
            <w:vAlign w:val="bottom"/>
            <w:gridSpan w:val="3"/>
          </w:tcPr>
          <w:p>
            <w:pPr>
              <w:jc w:val="center"/>
              <w:ind w:right="731"/>
              <w:spacing w:after="0"/>
              <w:rPr>
                <w:sz w:val="20"/>
                <w:szCs w:val="20"/>
                <w:color w:val="auto"/>
              </w:rPr>
            </w:pPr>
            <w:r>
              <w:rPr>
                <w:rFonts w:ascii="Arial" w:cs="Arial" w:eastAsia="Arial" w:hAnsi="Arial"/>
                <w:sz w:val="14"/>
                <w:szCs w:val="14"/>
                <w:b w:val="1"/>
                <w:bCs w:val="1"/>
                <w:color w:val="auto"/>
                <w:w w:val="91"/>
              </w:rPr>
              <w:t>Parkstraat 83, The Hague,</w:t>
            </w:r>
          </w:p>
        </w:tc>
        <w:tc>
          <w:tcPr>
            <w:tcW w:w="800" w:type="dxa"/>
            <w:vAlign w:val="bottom"/>
          </w:tcPr>
          <w:p>
            <w:pPr>
              <w:spacing w:after="0"/>
              <w:rPr>
                <w:sz w:val="14"/>
                <w:szCs w:val="14"/>
                <w:color w:val="auto"/>
              </w:rPr>
            </w:pPr>
          </w:p>
        </w:tc>
        <w:tc>
          <w:tcPr>
            <w:tcW w:w="3620" w:type="dxa"/>
            <w:vAlign w:val="bottom"/>
            <w:gridSpan w:val="2"/>
            <w:vMerge w:val="restart"/>
          </w:tcPr>
          <w:p>
            <w:pPr>
              <w:jc w:val="center"/>
              <w:ind w:left="1895"/>
              <w:spacing w:after="0"/>
              <w:rPr>
                <w:sz w:val="20"/>
                <w:szCs w:val="20"/>
                <w:color w:val="auto"/>
              </w:rPr>
            </w:pPr>
            <w:r>
              <w:rPr>
                <w:rFonts w:ascii="Arial" w:cs="Arial" w:eastAsia="Arial" w:hAnsi="Arial"/>
                <w:sz w:val="14"/>
                <w:szCs w:val="14"/>
                <w:b w:val="1"/>
                <w:bCs w:val="1"/>
                <w:color w:val="auto"/>
                <w:w w:val="93"/>
              </w:rPr>
              <w:t>2514 JG</w:t>
            </w:r>
          </w:p>
        </w:tc>
        <w:tc>
          <w:tcPr>
            <w:tcW w:w="0" w:type="dxa"/>
            <w:vAlign w:val="bottom"/>
          </w:tcPr>
          <w:p>
            <w:pPr>
              <w:spacing w:after="0"/>
              <w:rPr>
                <w:sz w:val="1"/>
                <w:szCs w:val="1"/>
                <w:color w:val="auto"/>
              </w:rPr>
            </w:pPr>
          </w:p>
        </w:tc>
      </w:tr>
      <w:tr>
        <w:trPr>
          <w:trHeight w:val="151"/>
        </w:trPr>
        <w:tc>
          <w:tcPr>
            <w:tcW w:w="940" w:type="dxa"/>
            <w:vAlign w:val="bottom"/>
          </w:tcPr>
          <w:p>
            <w:pPr>
              <w:spacing w:after="0"/>
              <w:rPr>
                <w:sz w:val="13"/>
                <w:szCs w:val="13"/>
                <w:color w:val="auto"/>
              </w:rPr>
            </w:pPr>
          </w:p>
        </w:tc>
        <w:tc>
          <w:tcPr>
            <w:tcW w:w="2740" w:type="dxa"/>
            <w:vAlign w:val="bottom"/>
            <w:gridSpan w:val="2"/>
          </w:tcPr>
          <w:p>
            <w:pPr>
              <w:jc w:val="center"/>
              <w:ind w:right="1651"/>
              <w:spacing w:after="0" w:line="151" w:lineRule="exact"/>
              <w:rPr>
                <w:sz w:val="20"/>
                <w:szCs w:val="20"/>
                <w:color w:val="auto"/>
              </w:rPr>
            </w:pPr>
            <w:r>
              <w:rPr>
                <w:rFonts w:ascii="Arial" w:cs="Arial" w:eastAsia="Arial" w:hAnsi="Arial"/>
                <w:sz w:val="14"/>
                <w:szCs w:val="14"/>
                <w:b w:val="1"/>
                <w:bCs w:val="1"/>
                <w:color w:val="auto"/>
                <w:w w:val="89"/>
              </w:rPr>
              <w:t>The Netherlands</w:t>
            </w:r>
          </w:p>
        </w:tc>
        <w:tc>
          <w:tcPr>
            <w:tcW w:w="800" w:type="dxa"/>
            <w:vAlign w:val="bottom"/>
          </w:tcPr>
          <w:p>
            <w:pPr>
              <w:spacing w:after="0"/>
              <w:rPr>
                <w:sz w:val="13"/>
                <w:szCs w:val="13"/>
                <w:color w:val="auto"/>
              </w:rPr>
            </w:pPr>
          </w:p>
        </w:tc>
        <w:tc>
          <w:tcPr>
            <w:tcW w:w="3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80" w:type="dxa"/>
            <w:vAlign w:val="bottom"/>
            <w:gridSpan w:val="3"/>
          </w:tcPr>
          <w:p>
            <w:pPr>
              <w:jc w:val="center"/>
              <w:ind w:right="711"/>
              <w:spacing w:after="0"/>
              <w:rPr>
                <w:sz w:val="20"/>
                <w:szCs w:val="20"/>
                <w:color w:val="auto"/>
              </w:rPr>
            </w:pPr>
            <w:r>
              <w:rPr>
                <w:rFonts w:ascii="Arial" w:cs="Arial" w:eastAsia="Arial" w:hAnsi="Arial"/>
                <w:sz w:val="12"/>
                <w:szCs w:val="12"/>
                <w:color w:val="auto"/>
                <w:w w:val="92"/>
              </w:rPr>
              <w:t>(Addresses of principal executive offices)</w:t>
            </w:r>
          </w:p>
        </w:tc>
        <w:tc>
          <w:tcPr>
            <w:tcW w:w="800" w:type="dxa"/>
            <w:vAlign w:val="bottom"/>
          </w:tcPr>
          <w:p>
            <w:pPr>
              <w:spacing w:after="0"/>
              <w:rPr>
                <w:sz w:val="13"/>
                <w:szCs w:val="13"/>
                <w:color w:val="auto"/>
              </w:rPr>
            </w:pPr>
          </w:p>
        </w:tc>
        <w:tc>
          <w:tcPr>
            <w:tcW w:w="3620" w:type="dxa"/>
            <w:vAlign w:val="bottom"/>
            <w:gridSpan w:val="2"/>
          </w:tcPr>
          <w:p>
            <w:pPr>
              <w:jc w:val="center"/>
              <w:ind w:left="1895"/>
              <w:spacing w:after="0"/>
              <w:rPr>
                <w:sz w:val="20"/>
                <w:szCs w:val="20"/>
                <w:color w:val="auto"/>
              </w:rPr>
            </w:pPr>
            <w:r>
              <w:rPr>
                <w:rFonts w:ascii="Arial" w:cs="Arial" w:eastAsia="Arial" w:hAnsi="Arial"/>
                <w:sz w:val="12"/>
                <w:szCs w:val="12"/>
                <w:color w:val="auto"/>
                <w:w w:val="92"/>
              </w:rPr>
              <w:t>(Zip Codes)</w:t>
            </w: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7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Registrant’s telephone number in the United States, including area code, is: (713) 513-2000</w:t>
            </w:r>
          </w:p>
        </w:tc>
        <w:tc>
          <w:tcPr>
            <w:tcW w:w="0" w:type="dxa"/>
            <w:vAlign w:val="bottom"/>
          </w:tcPr>
          <w:p>
            <w:pPr>
              <w:spacing w:after="0"/>
              <w:rPr>
                <w:sz w:val="1"/>
                <w:szCs w:val="1"/>
                <w:color w:val="auto"/>
              </w:rPr>
            </w:pPr>
          </w:p>
        </w:tc>
      </w:tr>
      <w:tr>
        <w:trPr>
          <w:trHeight w:val="194"/>
        </w:trPr>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14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2740" w:type="dxa"/>
            <w:vAlign w:val="bottom"/>
            <w:gridSpan w:val="2"/>
          </w:tcPr>
          <w:p>
            <w:pPr>
              <w:jc w:val="center"/>
              <w:ind w:right="1651"/>
              <w:spacing w:after="0"/>
              <w:rPr>
                <w:sz w:val="20"/>
                <w:szCs w:val="20"/>
                <w:color w:val="auto"/>
              </w:rPr>
            </w:pPr>
            <w:r>
              <w:rPr>
                <w:rFonts w:ascii="Arial" w:cs="Arial" w:eastAsia="Arial" w:hAnsi="Arial"/>
                <w:sz w:val="14"/>
                <w:szCs w:val="14"/>
                <w:b w:val="1"/>
                <w:bCs w:val="1"/>
                <w:color w:val="auto"/>
                <w:w w:val="84"/>
              </w:rPr>
              <w:t>Title of each class</w:t>
            </w:r>
          </w:p>
        </w:tc>
        <w:tc>
          <w:tcPr>
            <w:tcW w:w="4420" w:type="dxa"/>
            <w:vAlign w:val="bottom"/>
            <w:gridSpan w:val="3"/>
          </w:tcPr>
          <w:p>
            <w:pPr>
              <w:ind w:left="8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80" w:type="dxa"/>
            <w:vAlign w:val="bottom"/>
            <w:gridSpan w:val="3"/>
          </w:tcPr>
          <w:p>
            <w:pPr>
              <w:jc w:val="center"/>
              <w:ind w:right="731"/>
              <w:spacing w:after="0" w:line="117" w:lineRule="exact"/>
              <w:rPr>
                <w:sz w:val="20"/>
                <w:szCs w:val="20"/>
                <w:color w:val="auto"/>
              </w:rPr>
            </w:pPr>
            <w:r>
              <w:rPr>
                <w:rFonts w:ascii="Arial" w:cs="Arial" w:eastAsia="Arial" w:hAnsi="Arial"/>
                <w:sz w:val="13"/>
                <w:szCs w:val="13"/>
                <w:color w:val="auto"/>
                <w:w w:val="94"/>
              </w:rPr>
              <w:t>Common Stock, par value $0.01 per share</w:t>
            </w:r>
          </w:p>
        </w:tc>
        <w:tc>
          <w:tcPr>
            <w:tcW w:w="4420" w:type="dxa"/>
            <w:vAlign w:val="bottom"/>
            <w:gridSpan w:val="3"/>
          </w:tcPr>
          <w:p>
            <w:pPr>
              <w:ind w:left="800"/>
              <w:spacing w:after="0" w:line="117" w:lineRule="exact"/>
              <w:rPr>
                <w:sz w:val="20"/>
                <w:szCs w:val="20"/>
                <w:color w:val="auto"/>
              </w:rPr>
            </w:pPr>
            <w:r>
              <w:rPr>
                <w:rFonts w:ascii="Arial" w:cs="Arial" w:eastAsia="Arial" w:hAnsi="Arial"/>
                <w:sz w:val="13"/>
                <w:szCs w:val="13"/>
                <w:color w:val="auto"/>
              </w:rPr>
              <w:t>New York Stock Exchange</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20" w:type="dxa"/>
            <w:vAlign w:val="bottom"/>
            <w:gridSpan w:val="3"/>
          </w:tcPr>
          <w:p>
            <w:pPr>
              <w:ind w:left="800"/>
              <w:spacing w:after="0" w:line="142" w:lineRule="exact"/>
              <w:rPr>
                <w:sz w:val="20"/>
                <w:szCs w:val="20"/>
                <w:color w:val="auto"/>
              </w:rPr>
            </w:pPr>
            <w:r>
              <w:rPr>
                <w:rFonts w:ascii="Arial" w:cs="Arial" w:eastAsia="Arial" w:hAnsi="Arial"/>
                <w:sz w:val="14"/>
                <w:szCs w:val="14"/>
                <w:color w:val="auto"/>
              </w:rPr>
              <w:t>Euronext Paris</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20" w:type="dxa"/>
            <w:vAlign w:val="bottom"/>
            <w:gridSpan w:val="3"/>
          </w:tcPr>
          <w:p>
            <w:pPr>
              <w:ind w:left="800"/>
              <w:spacing w:after="0" w:line="142" w:lineRule="exact"/>
              <w:rPr>
                <w:sz w:val="20"/>
                <w:szCs w:val="20"/>
                <w:color w:val="auto"/>
              </w:rPr>
            </w:pPr>
            <w:r>
              <w:rPr>
                <w:rFonts w:ascii="Arial" w:cs="Arial" w:eastAsia="Arial" w:hAnsi="Arial"/>
                <w:sz w:val="14"/>
                <w:szCs w:val="14"/>
                <w:color w:val="auto"/>
              </w:rPr>
              <w:t>The London Stock Exchange</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420" w:type="dxa"/>
            <w:vAlign w:val="bottom"/>
            <w:gridSpan w:val="3"/>
          </w:tcPr>
          <w:p>
            <w:pPr>
              <w:ind w:left="800"/>
              <w:spacing w:after="0"/>
              <w:rPr>
                <w:sz w:val="20"/>
                <w:szCs w:val="20"/>
                <w:color w:val="auto"/>
              </w:rPr>
            </w:pPr>
            <w:r>
              <w:rPr>
                <w:rFonts w:ascii="Arial" w:cs="Arial" w:eastAsia="Arial" w:hAnsi="Arial"/>
                <w:sz w:val="14"/>
                <w:szCs w:val="14"/>
                <w:color w:val="auto"/>
              </w:rPr>
              <w:t>SIX Swiss Exchange</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59690</wp:posOffset>
            </wp:positionV>
            <wp:extent cx="1443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08" w:lineRule="exact"/>
        <w:rPr>
          <w:sz w:val="24"/>
          <w:szCs w:val="24"/>
          <w:color w:val="auto"/>
        </w:rPr>
      </w:pPr>
    </w:p>
    <w:p>
      <w:pPr>
        <w:ind w:right="3980"/>
        <w:spacing w:after="0" w:line="218"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 w:lineRule="exact"/>
        <w:rPr>
          <w:sz w:val="24"/>
          <w:szCs w:val="24"/>
          <w:color w:val="auto"/>
        </w:rPr>
      </w:pPr>
    </w:p>
    <w:p>
      <w:pPr>
        <w:ind w:right="180"/>
        <w:spacing w:after="0" w:line="218"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2016, the aggregate market value of the common stock of the registrant held by non-affiliates of the registrant was approximately $109.9 billion.</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2016, the number of shares of common stock outstanding was 1,391,475,510.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7" w:lineRule="exact"/>
        <w:rPr>
          <w:sz w:val="24"/>
          <w:szCs w:val="24"/>
          <w:color w:val="auto"/>
        </w:rPr>
      </w:pPr>
    </w:p>
    <w:p>
      <w:pPr>
        <w:jc w:val="both"/>
        <w:spacing w:after="0" w:line="228" w:lineRule="auto"/>
        <w:rPr>
          <w:sz w:val="20"/>
          <w:szCs w:val="20"/>
          <w:color w:val="auto"/>
        </w:rPr>
      </w:pPr>
      <w:r>
        <w:rPr>
          <w:rFonts w:ascii="Arial" w:cs="Arial" w:eastAsia="Arial" w:hAnsi="Arial"/>
          <w:sz w:val="14"/>
          <w:szCs w:val="14"/>
          <w:color w:val="auto"/>
        </w:rPr>
        <w:t>Certain information required to be furnished pursuant to Part III of this Form 10-K is set forth in, and is hereby incorporated by reference herein from, Schlumberger’s definitive proxy statement for its 2017 Annual General Meeting of Stockholders, to be filed by Schlumberger with the Securities and Exchange Commission pursuant to Regulation 14A within 120 days after December 31, 2016 (the “2017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252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7252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200025</wp:posOffset>
            </wp:positionV>
            <wp:extent cx="729424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8"/>
          </w:tcPr>
          <w:p>
            <w:pPr>
              <w:jc w:val="center"/>
              <w:ind w:right="3860"/>
              <w:spacing w:after="0"/>
              <w:rPr>
                <w:sz w:val="20"/>
                <w:szCs w:val="20"/>
                <w:color w:val="auto"/>
              </w:rPr>
            </w:pPr>
            <w:r>
              <w:rPr>
                <w:rFonts w:ascii="Arial" w:cs="Arial" w:eastAsia="Arial" w:hAnsi="Arial"/>
                <w:sz w:val="17"/>
                <w:szCs w:val="17"/>
                <w:b w:val="1"/>
                <w:bCs w:val="1"/>
                <w:color w:val="auto"/>
              </w:rPr>
              <w:t>SCHLUMBERGER LIMITED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gridSpan w:val="8"/>
          </w:tcPr>
          <w:p>
            <w:pPr>
              <w:jc w:val="center"/>
              <w:ind w:right="3860"/>
              <w:spacing w:after="0"/>
              <w:rPr>
                <w:sz w:val="20"/>
                <w:szCs w:val="20"/>
                <w:color w:val="auto"/>
              </w:rPr>
            </w:pPr>
            <w:r>
              <w:rPr>
                <w:rFonts w:ascii="Arial" w:cs="Arial" w:eastAsia="Arial" w:hAnsi="Arial"/>
                <w:sz w:val="17"/>
                <w:szCs w:val="17"/>
                <w:color w:val="auto"/>
                <w:w w:val="90"/>
              </w:rPr>
              <w:t>Table of Contents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20" w:type="dxa"/>
            <w:vAlign w:val="bottom"/>
            <w:gridSpan w:val="7"/>
          </w:tcPr>
          <w:p>
            <w:pPr>
              <w:jc w:val="center"/>
              <w:ind w:right="4840"/>
              <w:spacing w:after="0"/>
              <w:rPr>
                <w:sz w:val="20"/>
                <w:szCs w:val="20"/>
                <w:color w:val="auto"/>
              </w:rPr>
            </w:pPr>
            <w:r>
              <w:rPr>
                <w:rFonts w:ascii="Arial" w:cs="Arial" w:eastAsia="Arial" w:hAnsi="Arial"/>
                <w:sz w:val="17"/>
                <w:szCs w:val="17"/>
                <w:color w:val="auto"/>
                <w:w w:val="97"/>
              </w:rPr>
              <w:t>Form 10-K</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040" w:type="dxa"/>
            <w:vAlign w:val="bottom"/>
            <w:gridSpan w:val="5"/>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1040" w:type="dxa"/>
            <w:vAlign w:val="bottom"/>
            <w:gridSpan w:val="5"/>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56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Item 1.</w:t>
            </w:r>
          </w:p>
        </w:tc>
        <w:tc>
          <w:tcPr>
            <w:tcW w:w="480" w:type="dxa"/>
            <w:vAlign w:val="bottom"/>
            <w:gridSpan w:val="4"/>
          </w:tcPr>
          <w:p>
            <w:pPr>
              <w:spacing w:after="0"/>
              <w:rPr>
                <w:sz w:val="24"/>
                <w:szCs w:val="24"/>
                <w:color w:val="auto"/>
              </w:rPr>
            </w:pPr>
          </w:p>
        </w:tc>
        <w:tc>
          <w:tcPr>
            <w:tcW w:w="10000" w:type="dxa"/>
            <w:vAlign w:val="bottom"/>
            <w:gridSpan w:val="2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Risk Factors</w:t>
              </w:r>
            </w:hyperlink>
          </w:p>
        </w:tc>
        <w:tc>
          <w:tcPr>
            <w:tcW w:w="912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1B.</w:t>
            </w:r>
          </w:p>
        </w:tc>
        <w:tc>
          <w:tcPr>
            <w:tcW w:w="10000" w:type="dxa"/>
            <w:vAlign w:val="bottom"/>
            <w:gridSpan w:val="20"/>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2.</w:t>
            </w:r>
          </w:p>
        </w:tc>
        <w:tc>
          <w:tcPr>
            <w:tcW w:w="1960" w:type="dxa"/>
            <w:vAlign w:val="bottom"/>
            <w:tcBorders>
              <w:top w:val="single" w:sz="8" w:color="0000EE"/>
            </w:tcBorders>
            <w:gridSpan w:val="9"/>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Properties</w:t>
              </w:r>
            </w:hyperlink>
          </w:p>
        </w:tc>
        <w:tc>
          <w:tcPr>
            <w:tcW w:w="80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3.</w:t>
            </w:r>
          </w:p>
        </w:tc>
        <w:tc>
          <w:tcPr>
            <w:tcW w:w="10000" w:type="dxa"/>
            <w:vAlign w:val="bottom"/>
            <w:gridSpan w:val="20"/>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4.</w:t>
            </w:r>
          </w:p>
        </w:tc>
        <w:tc>
          <w:tcPr>
            <w:tcW w:w="10000" w:type="dxa"/>
            <w:vAlign w:val="bottom"/>
            <w:gridSpan w:val="20"/>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20" w:type="dxa"/>
            <w:vAlign w:val="bottom"/>
            <w:tcBorders>
              <w:top w:val="single" w:sz="8" w:color="0000EE"/>
            </w:tcBorders>
            <w:gridSpan w:val="2"/>
          </w:tcPr>
          <w:p>
            <w:pPr>
              <w:spacing w:after="0"/>
              <w:rPr>
                <w:sz w:val="20"/>
                <w:szCs w:val="20"/>
                <w:color w:val="auto"/>
              </w:rPr>
            </w:pPr>
            <w:r>
              <w:rPr>
                <w:rFonts w:ascii="Arial" w:cs="Arial" w:eastAsia="Arial" w:hAnsi="Arial"/>
                <w:sz w:val="17"/>
                <w:szCs w:val="17"/>
                <w:color w:val="auto"/>
              </w:rPr>
              <w:t>Item 5.</w:t>
            </w:r>
          </w:p>
        </w:tc>
        <w:tc>
          <w:tcPr>
            <w:tcW w:w="420" w:type="dxa"/>
            <w:vAlign w:val="bottom"/>
            <w:gridSpan w:val="3"/>
          </w:tcPr>
          <w:p>
            <w:pPr>
              <w:spacing w:after="0"/>
              <w:rPr>
                <w:sz w:val="24"/>
                <w:szCs w:val="24"/>
                <w:color w:val="auto"/>
              </w:rPr>
            </w:pPr>
          </w:p>
        </w:tc>
        <w:tc>
          <w:tcPr>
            <w:tcW w:w="10000" w:type="dxa"/>
            <w:vAlign w:val="bottom"/>
            <w:gridSpan w:val="20"/>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Market for Schlumberger’s Common Stock, Related Stockholder Matters and Issuer Purchases of Equity Securities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6.</w:t>
            </w:r>
          </w:p>
        </w:tc>
        <w:tc>
          <w:tcPr>
            <w:tcW w:w="7940" w:type="dxa"/>
            <w:vAlign w:val="bottom"/>
            <w:tcBorders>
              <w:top w:val="single" w:sz="8" w:color="0000EE"/>
            </w:tcBorders>
            <w:gridSpan w:val="19"/>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Selected Financial Data</w:t>
              </w:r>
            </w:hyperlink>
          </w:p>
        </w:tc>
        <w:tc>
          <w:tcPr>
            <w:tcW w:w="20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7.</w:t>
            </w:r>
          </w:p>
        </w:tc>
        <w:tc>
          <w:tcPr>
            <w:tcW w:w="10000" w:type="dxa"/>
            <w:vAlign w:val="bottom"/>
            <w:gridSpan w:val="20"/>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7A.</w:t>
            </w:r>
          </w:p>
        </w:tc>
        <w:tc>
          <w:tcPr>
            <w:tcW w:w="418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3"/>
              </w:rPr>
            </w:pPr>
            <w:hyperlink w:anchor="page27">
              <w:r>
                <w:rPr>
                  <w:rFonts w:ascii="Arial" w:cs="Arial" w:eastAsia="Arial" w:hAnsi="Arial"/>
                  <w:sz w:val="17"/>
                  <w:szCs w:val="17"/>
                  <w:color w:val="0000EE"/>
                  <w:w w:val="93"/>
                </w:rPr>
                <w:t>Quantitative and Qualitative Disclosures About Market Risk</w:t>
              </w:r>
            </w:hyperlink>
          </w:p>
        </w:tc>
        <w:tc>
          <w:tcPr>
            <w:tcW w:w="2000" w:type="dxa"/>
            <w:vAlign w:val="bottom"/>
            <w:tcBorders>
              <w:top w:val="single" w:sz="8" w:color="0000EE"/>
            </w:tcBorders>
            <w:gridSpan w:val="3"/>
          </w:tcPr>
          <w:p>
            <w:pPr>
              <w:spacing w:after="0"/>
              <w:rPr>
                <w:sz w:val="24"/>
                <w:szCs w:val="24"/>
                <w:color w:val="auto"/>
              </w:rPr>
            </w:pPr>
          </w:p>
        </w:tc>
        <w:tc>
          <w:tcPr>
            <w:tcW w:w="38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8.</w:t>
            </w:r>
          </w:p>
        </w:tc>
        <w:tc>
          <w:tcPr>
            <w:tcW w:w="320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Financial Statements and Supplementary Data</w:t>
              </w:r>
            </w:hyperlink>
          </w:p>
        </w:tc>
        <w:tc>
          <w:tcPr>
            <w:tcW w:w="68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9.</w:t>
            </w:r>
          </w:p>
        </w:tc>
        <w:tc>
          <w:tcPr>
            <w:tcW w:w="10000" w:type="dxa"/>
            <w:vAlign w:val="bottom"/>
            <w:gridSpan w:val="20"/>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9A.</w:t>
            </w:r>
          </w:p>
        </w:tc>
        <w:tc>
          <w:tcPr>
            <w:tcW w:w="6200" w:type="dxa"/>
            <w:vAlign w:val="bottom"/>
            <w:tcBorders>
              <w:top w:val="single" w:sz="8" w:color="0000EE"/>
            </w:tcBorders>
            <w:gridSpan w:val="17"/>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Controls and Procedures</w:t>
              </w:r>
            </w:hyperlink>
          </w:p>
        </w:tc>
        <w:tc>
          <w:tcPr>
            <w:tcW w:w="38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9B.</w:t>
            </w:r>
          </w:p>
        </w:tc>
        <w:tc>
          <w:tcPr>
            <w:tcW w:w="1700" w:type="dxa"/>
            <w:vAlign w:val="bottom"/>
            <w:tcBorders>
              <w:top w:val="single" w:sz="8" w:color="0000EE"/>
            </w:tcBorders>
            <w:gridSpan w:val="7"/>
          </w:tcPr>
          <w:p>
            <w:pPr>
              <w:spacing w:after="0"/>
              <w:rPr>
                <w:rFonts w:ascii="Arial" w:cs="Arial" w:eastAsia="Arial" w:hAnsi="Arial"/>
                <w:sz w:val="17"/>
                <w:szCs w:val="17"/>
                <w:color w:val="0000EE"/>
              </w:rPr>
            </w:pPr>
            <w:hyperlink w:anchor="page67">
              <w:r>
                <w:rPr>
                  <w:rFonts w:ascii="Arial" w:cs="Arial" w:eastAsia="Arial" w:hAnsi="Arial"/>
                  <w:sz w:val="17"/>
                  <w:szCs w:val="17"/>
                  <w:color w:val="0000EE"/>
                </w:rPr>
                <w:t>Other Information</w:t>
              </w:r>
            </w:hyperlink>
          </w:p>
        </w:tc>
        <w:tc>
          <w:tcPr>
            <w:tcW w:w="83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303"/>
        </w:trPr>
        <w:tc>
          <w:tcPr>
            <w:tcW w:w="70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68">
              <w:r>
                <w:rPr>
                  <w:rFonts w:ascii="Arial" w:cs="Arial" w:eastAsia="Arial" w:hAnsi="Arial"/>
                  <w:sz w:val="17"/>
                  <w:szCs w:val="17"/>
                  <w:b w:val="1"/>
                  <w:bCs w:val="1"/>
                  <w:color w:val="0000EE"/>
                </w:rPr>
                <w:t>PART III</w:t>
              </w:r>
            </w:hyperlink>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10.</w:t>
            </w:r>
          </w:p>
        </w:tc>
        <w:tc>
          <w:tcPr>
            <w:tcW w:w="5120" w:type="dxa"/>
            <w:vAlign w:val="bottom"/>
            <w:tcBorders>
              <w:bottom w:val="single" w:sz="8" w:color="0000EE"/>
            </w:tcBorders>
            <w:gridSpan w:val="14"/>
          </w:tcPr>
          <w:p>
            <w:pPr>
              <w:spacing w:after="0"/>
              <w:rPr>
                <w:rFonts w:ascii="Arial" w:cs="Arial" w:eastAsia="Arial" w:hAnsi="Arial"/>
                <w:sz w:val="17"/>
                <w:szCs w:val="17"/>
                <w:color w:val="0000EE"/>
                <w:w w:val="91"/>
              </w:rPr>
            </w:pPr>
            <w:hyperlink w:anchor="page68">
              <w:r>
                <w:rPr>
                  <w:rFonts w:ascii="Arial" w:cs="Arial" w:eastAsia="Arial" w:hAnsi="Arial"/>
                  <w:sz w:val="17"/>
                  <w:szCs w:val="17"/>
                  <w:color w:val="0000EE"/>
                  <w:w w:val="91"/>
                </w:rPr>
                <w:t>Directors, Executive Officers and Corporate Governance of Schlumberger</w:t>
              </w:r>
            </w:hyperlink>
          </w:p>
        </w:tc>
        <w:tc>
          <w:tcPr>
            <w:tcW w:w="48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11.</w:t>
            </w:r>
          </w:p>
        </w:tc>
        <w:tc>
          <w:tcPr>
            <w:tcW w:w="174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68">
              <w:r>
                <w:rPr>
                  <w:rFonts w:ascii="Arial" w:cs="Arial" w:eastAsia="Arial" w:hAnsi="Arial"/>
                  <w:sz w:val="17"/>
                  <w:szCs w:val="17"/>
                  <w:color w:val="0000EE"/>
                  <w:w w:val="91"/>
                </w:rPr>
                <w:t>Executive Compensation</w:t>
              </w:r>
            </w:hyperlink>
          </w:p>
        </w:tc>
        <w:tc>
          <w:tcPr>
            <w:tcW w:w="826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12.</w:t>
            </w:r>
          </w:p>
        </w:tc>
        <w:tc>
          <w:tcPr>
            <w:tcW w:w="10000" w:type="dxa"/>
            <w:vAlign w:val="bottom"/>
            <w:gridSpan w:val="20"/>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13.</w:t>
            </w:r>
          </w:p>
        </w:tc>
        <w:tc>
          <w:tcPr>
            <w:tcW w:w="6980" w:type="dxa"/>
            <w:vAlign w:val="bottom"/>
            <w:tcBorders>
              <w:top w:val="single" w:sz="8" w:color="0000EE"/>
            </w:tcBorders>
            <w:gridSpan w:val="18"/>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Certain Relationships and Related Transactions, and Director Independence</w:t>
              </w:r>
            </w:hyperlink>
          </w:p>
        </w:tc>
        <w:tc>
          <w:tcPr>
            <w:tcW w:w="30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sz w:val="20"/>
                <w:szCs w:val="20"/>
                <w:color w:val="auto"/>
              </w:rPr>
            </w:pPr>
            <w:r>
              <w:rPr>
                <w:rFonts w:ascii="Arial" w:cs="Arial" w:eastAsia="Arial" w:hAnsi="Arial"/>
                <w:sz w:val="17"/>
                <w:szCs w:val="17"/>
                <w:color w:val="auto"/>
              </w:rPr>
              <w:t>Item 14.</w:t>
            </w:r>
          </w:p>
        </w:tc>
        <w:tc>
          <w:tcPr>
            <w:tcW w:w="5220" w:type="dxa"/>
            <w:vAlign w:val="bottom"/>
            <w:tcBorders>
              <w:top w:val="single" w:sz="8" w:color="0000EE"/>
            </w:tcBorders>
            <w:gridSpan w:val="15"/>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Principal Accounting Fees and Services</w:t>
              </w:r>
            </w:hyperlink>
          </w:p>
        </w:tc>
        <w:tc>
          <w:tcPr>
            <w:tcW w:w="47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03"/>
        </w:trPr>
        <w:tc>
          <w:tcPr>
            <w:tcW w:w="1040" w:type="dxa"/>
            <w:vAlign w:val="bottom"/>
            <w:gridSpan w:val="5"/>
          </w:tcPr>
          <w:p>
            <w:pPr>
              <w:spacing w:after="0"/>
              <w:rPr>
                <w:rFonts w:ascii="Arial" w:cs="Arial" w:eastAsia="Arial" w:hAnsi="Arial"/>
                <w:sz w:val="17"/>
                <w:szCs w:val="17"/>
                <w:b w:val="1"/>
                <w:bCs w:val="1"/>
                <w:color w:val="0000EE"/>
              </w:rPr>
            </w:pPr>
            <w:hyperlink w:anchor="page69">
              <w:r>
                <w:rPr>
                  <w:rFonts w:ascii="Arial" w:cs="Arial" w:eastAsia="Arial" w:hAnsi="Arial"/>
                  <w:sz w:val="17"/>
                  <w:szCs w:val="17"/>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auto"/>
              </w:rPr>
              <w:t>Item 15.</w:t>
            </w:r>
          </w:p>
        </w:tc>
        <w:tc>
          <w:tcPr>
            <w:tcW w:w="360" w:type="dxa"/>
            <w:vAlign w:val="bottom"/>
            <w:gridSpan w:val="2"/>
          </w:tcPr>
          <w:p>
            <w:pPr>
              <w:spacing w:after="0"/>
              <w:rPr>
                <w:sz w:val="24"/>
                <w:szCs w:val="24"/>
                <w:color w:val="auto"/>
              </w:rPr>
            </w:pPr>
          </w:p>
        </w:tc>
        <w:tc>
          <w:tcPr>
            <w:tcW w:w="3040" w:type="dxa"/>
            <w:vAlign w:val="bottom"/>
            <w:tcBorders>
              <w:bottom w:val="single" w:sz="8" w:color="0000EE"/>
            </w:tcBorders>
            <w:gridSpan w:val="11"/>
          </w:tcPr>
          <w:p>
            <w:pPr>
              <w:spacing w:after="0"/>
              <w:rPr>
                <w:rFonts w:ascii="Arial" w:cs="Arial" w:eastAsia="Arial" w:hAnsi="Arial"/>
                <w:sz w:val="17"/>
                <w:szCs w:val="17"/>
                <w:color w:val="0000EE"/>
                <w:w w:val="91"/>
              </w:rPr>
            </w:pPr>
            <w:hyperlink w:anchor="page69">
              <w:r>
                <w:rPr>
                  <w:rFonts w:ascii="Arial" w:cs="Arial" w:eastAsia="Arial" w:hAnsi="Arial"/>
                  <w:sz w:val="17"/>
                  <w:szCs w:val="17"/>
                  <w:color w:val="0000EE"/>
                  <w:w w:val="91"/>
                </w:rPr>
                <w:t>Exhibits and Financial Statement Schedules</w:t>
              </w:r>
            </w:hyperlink>
          </w:p>
        </w:tc>
        <w:tc>
          <w:tcPr>
            <w:tcW w:w="696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03"/>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7"/>
                <w:szCs w:val="17"/>
                <w:color w:val="0000EE"/>
                <w:w w:val="88"/>
              </w:rPr>
            </w:pPr>
            <w:hyperlink w:anchor="page70">
              <w:r>
                <w:rPr>
                  <w:rFonts w:ascii="Arial" w:cs="Arial" w:eastAsia="Arial" w:hAnsi="Arial"/>
                  <w:sz w:val="17"/>
                  <w:szCs w:val="17"/>
                  <w:color w:val="0000EE"/>
                  <w:w w:val="88"/>
                </w:rPr>
                <w:t>Signatures</w:t>
              </w:r>
            </w:hyperlink>
          </w:p>
        </w:tc>
        <w:tc>
          <w:tcPr>
            <w:tcW w:w="92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42"/>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Arial" w:cs="Arial" w:eastAsia="Arial" w:hAnsi="Arial"/>
                <w:sz w:val="17"/>
                <w:szCs w:val="17"/>
                <w:color w:val="auto"/>
              </w:rPr>
              <w:t>Certifications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PART I</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Business.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All references in this report to “Registrant,” “Company,” “Schlumberger,” “we” or “our” are to Schlumberger Limited (Schlumberger N.V., incorporated in Curaçao) and its consolidated subsidiaries.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Founded in 1926, Schlumberger is the world’s leading provider of technology for reservoir characterization, drilling, production and processing to the oil and gas industry. Having invented wireline logging as a technique for obtaining downhole data in oil and gas wells, today Schlumberger supplies the industry’s most comprehensive range of products and services, from exploration through production, and integrated pore-to-pipeline solutions that optimize hydrocarbon recovery to deliver reservoir performance. As of December 31, 2016, the Company employed approximately 100,000 people of over 140 nationalities operating in more than 85 countries. Schlumberger has principal executive offices in Paris, Houston, London and The Hague.</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April 1, 2016, Schlumberger acquired all of the outstanding shares of Cameron International Corporation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 In connection with this transaction, Schlumberger issued 138 million shares of its common stock, valued at approximately $9.9 billion as of the acquisition date, and paid cash of $2.8 billion.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Schlumberger operates in each of the major oilfield service markets, managing its business through four Groups: Reservoir Characterization, Drilling, Production and Cameron. Each Group consists of a number of technology-based service and product lines, or Technologies. These Technologies cover the entire life cycle of the reservoir and correspond to a number of markets in which Schlumberger holds leading positions. The role of the Groups and Technologies is to support Schlumberger in providing the best possible service to customers and to ensure that Schlumberger remains at the forefront of technology development and services integration. The Groups and Technologies are collectively responsible for driving excellence in execution throughout their businesses; overseeing operational processes, resource allocation and personnel; and delivering superior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Groups are as follows:</w:t>
      </w:r>
    </w:p>
    <w:p>
      <w:pPr>
        <w:spacing w:after="0" w:line="21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finding and defining hydrocarbon resources. These include WesternGeco</w:t>
      </w:r>
      <w:r>
        <w:rPr>
          <w:rFonts w:ascii="Arial" w:cs="Arial" w:eastAsia="Arial" w:hAnsi="Arial"/>
          <w:sz w:val="14"/>
          <w:szCs w:val="14"/>
          <w:color w:val="231F20"/>
        </w:rPr>
        <w: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Wireline, Testing &amp; Process, Software Integrated Solutions (SIS) and Integrated Services Management (ISM).</w:t>
      </w:r>
    </w:p>
    <w:p>
      <w:pPr>
        <w:spacing w:after="0" w:line="158" w:lineRule="exact"/>
        <w:rPr>
          <w:sz w:val="20"/>
          <w:szCs w:val="20"/>
          <w:color w:val="auto"/>
        </w:rPr>
      </w:pPr>
    </w:p>
    <w:p>
      <w:pPr>
        <w:jc w:val="both"/>
        <w:ind w:left="760" w:hanging="382"/>
        <w:spacing w:after="0" w:line="26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WesternGeco </w:t>
      </w:r>
      <w:r>
        <w:rPr>
          <w:rFonts w:ascii="Arial" w:cs="Arial" w:eastAsia="Arial" w:hAnsi="Arial"/>
          <w:sz w:val="17"/>
          <w:szCs w:val="17"/>
          <w:color w:val="auto"/>
        </w:rPr>
        <w:t>is a leading geophysical services supplier, providing comprehensive worldwide reservoir imaging, monitoring and development services. It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increasingly accurate measurements and images of subsurface geology and rock properties for both customer proprietary and multiclient surveys. WesternGeco offers the industry’s most extensive multi-client library.</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Wireline </w:t>
      </w:r>
      <w:r>
        <w:rPr>
          <w:rFonts w:ascii="Arial" w:cs="Arial" w:eastAsia="Arial" w:hAnsi="Arial"/>
          <w:sz w:val="17"/>
          <w:szCs w:val="17"/>
          <w:color w:val="auto"/>
        </w:rPr>
        <w:t>provides the information necessary to evaluate subsurface formation rocks and fluids to plan and monitor well construction, and to monitor and</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well production. Wireline offers both openhole and cased-hole services including wireline perforating. Slickline services provide downhole mechanical well intervention.</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Testing &amp; Process </w:t>
      </w:r>
      <w:r>
        <w:rPr>
          <w:rFonts w:ascii="Arial" w:cs="Arial" w:eastAsia="Arial" w:hAnsi="Arial"/>
          <w:sz w:val="17"/>
          <w:szCs w:val="17"/>
          <w:color w:val="auto"/>
        </w:rPr>
        <w:t>provides exploration and production pressure and flow-rate measurement services both at the surface and downhole. Through its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Systems offering, Testing &amp; Process provides equipment for the upstream, midstream and downstream separation of oil, gas, and produced water and water injection systems. Testing &amp; Process also provides tubing-conveyed perforating services.</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Software Integrated Solutions </w:t>
      </w:r>
      <w:r>
        <w:rPr>
          <w:rFonts w:ascii="Arial" w:cs="Arial" w:eastAsia="Arial" w:hAnsi="Arial"/>
          <w:sz w:val="17"/>
          <w:szCs w:val="17"/>
          <w:color w:val="auto"/>
        </w:rPr>
        <w:t>sells proprietary software and provides consulting, information management and IT infrastructure services to customers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oil and gas industry. SIS also offers expert consulting services for reservoir characterization, field development planning and production enhancement, as well as industry-leading petrotechnical data services and training solutions.</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Integrated Services Management </w:t>
      </w:r>
      <w:r>
        <w:rPr>
          <w:rFonts w:ascii="Arial" w:cs="Arial" w:eastAsia="Arial" w:hAnsi="Arial"/>
          <w:sz w:val="17"/>
          <w:szCs w:val="17"/>
          <w:color w:val="auto"/>
        </w:rPr>
        <w:t>provides coordination and management of Schlumberger services, products, and third parties in projects around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ISM offers a certified Integrated Services Project Manager as a focal point of contact between the project owner and the various Schlumberger services, ensuring alignment of project objectives.</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 xml:space="preserve">Drilling Group </w:t>
      </w:r>
      <w:r>
        <w:rPr>
          <w:rFonts w:ascii="Arial" w:cs="Arial" w:eastAsia="Arial" w:hAnsi="Arial"/>
          <w:sz w:val="17"/>
          <w:szCs w:val="17"/>
          <w:color w:val="auto"/>
        </w:rPr>
        <w:t>– Consists of the principal Technologies involved in the drilling and positioning of oil and gas wells and comprises Bits &amp; Drilling Tools, M-I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SWACO</w:t>
      </w:r>
      <w:r>
        <w:rPr>
          <w:rFonts w:ascii="Arial" w:cs="Arial" w:eastAsia="Arial" w:hAnsi="Arial"/>
          <w:sz w:val="14"/>
          <w:szCs w:val="14"/>
          <w:color w:val="231F20"/>
        </w:rPr>
        <w:t>®</w:t>
      </w:r>
      <w:r>
        <w:rPr>
          <w:rFonts w:ascii="Arial" w:cs="Arial" w:eastAsia="Arial" w:hAnsi="Arial"/>
          <w:sz w:val="17"/>
          <w:szCs w:val="17"/>
          <w:color w:val="auto"/>
        </w:rPr>
        <w:t>, Drilling &amp; Measurements, Land Rigs and Integrated Drilling Services (IDS).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left="760" w:hanging="382"/>
        <w:spacing w:after="0" w:line="263"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Bits &amp; Drilling Tools </w:t>
      </w:r>
      <w:r>
        <w:rPr>
          <w:rFonts w:ascii="Arial" w:cs="Arial" w:eastAsia="Arial" w:hAnsi="Arial"/>
          <w:sz w:val="17"/>
          <w:szCs w:val="17"/>
          <w:color w:val="auto"/>
        </w:rPr>
        <w:t>designs, manufactures and markets roller cone and fixed cutter drill bits for all environments. The drill bits include designs for</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market segments where faster penetration rates and increased footage provide significant economic benefits in lowering overall well costs. Drilling Tools includes a wide variety of bottom-hole-assembly, borehole-enlargement technologies and impact tools, as well as a comprehensive collection of tubulars and tubular services for oil and gas drilling operations.</w:t>
      </w:r>
    </w:p>
    <w:p>
      <w:pPr>
        <w:spacing w:after="0" w:line="176" w:lineRule="exact"/>
        <w:rPr>
          <w:rFonts w:ascii="Arial" w:cs="Arial" w:eastAsia="Arial" w:hAnsi="Arial"/>
          <w:sz w:val="17"/>
          <w:szCs w:val="17"/>
          <w:color w:val="auto"/>
        </w:rPr>
      </w:pPr>
    </w:p>
    <w:p>
      <w:pPr>
        <w:jc w:val="both"/>
        <w:ind w:left="760" w:hanging="382"/>
        <w:spacing w:after="0" w:line="263"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M-I SWACO </w:t>
      </w:r>
      <w:r>
        <w:rPr>
          <w:rFonts w:ascii="Arial" w:cs="Arial" w:eastAsia="Arial" w:hAnsi="Arial"/>
          <w:sz w:val="17"/>
          <w:szCs w:val="17"/>
          <w:color w:val="auto"/>
        </w:rPr>
        <w:t>is a supplier of drilling fluid systems engineered to improve drilling performance by anticipating fluids-related problems; fluid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specialty equipment designed to optimize wellbore productivity; and production 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176"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Drilling &amp; Measurements </w:t>
      </w:r>
      <w:r>
        <w:rPr>
          <w:rFonts w:ascii="Arial" w:cs="Arial" w:eastAsia="Arial" w:hAnsi="Arial"/>
          <w:sz w:val="17"/>
          <w:szCs w:val="17"/>
          <w:color w:val="auto"/>
        </w:rPr>
        <w:t>provides mud logging services for geological and drilling surveillance, directional drilling, measurement-while-drilling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logging-while-drilling services for all well profiles as well as engineering support.</w:t>
      </w:r>
    </w:p>
    <w:p>
      <w:pPr>
        <w:spacing w:after="0" w:line="159"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Land Rigs </w:t>
      </w:r>
      <w:r>
        <w:rPr>
          <w:rFonts w:ascii="Arial" w:cs="Arial" w:eastAsia="Arial" w:hAnsi="Arial"/>
          <w:sz w:val="17"/>
          <w:szCs w:val="17"/>
          <w:color w:val="auto"/>
        </w:rPr>
        <w:t>provides land drilling rigs and related support services. The land drilling system of the future, currently under development, represents an</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drilling platform bringing together digitally enabled surface and downhole hardware combined with a common optimization software to create a step-change in operational efficiency.</w:t>
      </w:r>
    </w:p>
    <w:p>
      <w:pPr>
        <w:spacing w:after="0" w:line="172" w:lineRule="exact"/>
        <w:rPr>
          <w:rFonts w:ascii="Arial" w:cs="Arial" w:eastAsia="Arial" w:hAnsi="Arial"/>
          <w:sz w:val="17"/>
          <w:szCs w:val="17"/>
          <w:color w:val="auto"/>
        </w:rPr>
      </w:pPr>
    </w:p>
    <w:p>
      <w:pPr>
        <w:ind w:left="760" w:hanging="382"/>
        <w:spacing w:after="0" w:line="315"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Integrated Drilling Services </w:t>
      </w:r>
      <w:r>
        <w:rPr>
          <w:rFonts w:ascii="Arial" w:cs="Arial" w:eastAsia="Arial" w:hAnsi="Arial"/>
          <w:sz w:val="16"/>
          <w:szCs w:val="16"/>
          <w:color w:val="auto"/>
        </w:rPr>
        <w:t>supplies all of the services necessary to construct or change the architecture (re-entry) of wells. IDS covers all aspects of well</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well drilling, engineering, supervision, logistics, procurement and contracting of third parties, and drilling rig management.</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 xml:space="preserve">Production Group </w:t>
      </w:r>
      <w:r>
        <w:rPr>
          <w:rFonts w:ascii="Arial" w:cs="Arial" w:eastAsia="Arial" w:hAnsi="Arial"/>
          <w:sz w:val="17"/>
          <w:szCs w:val="17"/>
          <w:color w:val="auto"/>
        </w:rPr>
        <w:t>– Consists of the principal Technologies involved in the lifetime production of oil and gas reservoirs and includes Well Services, Completions,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Artificial Lift, Integrated Production Services (IPS) and Schlumberger Production Management (SPM).</w:t>
      </w:r>
    </w:p>
    <w:p>
      <w:pPr>
        <w:spacing w:after="0" w:line="159" w:lineRule="exact"/>
        <w:rPr>
          <w:sz w:val="20"/>
          <w:szCs w:val="20"/>
          <w:color w:val="auto"/>
        </w:rPr>
      </w:pPr>
    </w:p>
    <w:p>
      <w:pPr>
        <w:jc w:val="both"/>
        <w:ind w:left="760" w:hanging="382"/>
        <w:spacing w:after="0" w:line="26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Well Services </w:t>
      </w:r>
      <w:r>
        <w:rPr>
          <w:rFonts w:ascii="Arial" w:cs="Arial" w:eastAsia="Arial" w:hAnsi="Arial"/>
          <w:sz w:val="17"/>
          <w:szCs w:val="17"/>
          <w:color w:val="auto"/>
        </w:rPr>
        <w:t>provides services used during oil and gas well drilling and completion as well as those used to maintain optimal production throughout the</w:t>
      </w:r>
      <w:r>
        <w:rPr>
          <w:rFonts w:ascii="Arial" w:cs="Arial" w:eastAsia="Arial" w:hAnsi="Arial"/>
          <w:sz w:val="17"/>
          <w:szCs w:val="17"/>
          <w:i w:val="1"/>
          <w:iCs w:val="1"/>
          <w:color w:val="auto"/>
        </w:rPr>
        <w:t xml:space="preserve"> </w:t>
      </w:r>
      <w:r>
        <w:rPr>
          <w:rFonts w:ascii="Arial" w:cs="Arial" w:eastAsia="Arial" w:hAnsi="Arial"/>
          <w:sz w:val="17"/>
          <w:szCs w:val="17"/>
          <w:color w:val="auto"/>
        </w:rPr>
        <w:t>life of a well. Such services include pressure pumping, well cementing and stimulation, and coiled tubing equipment for downhole mechanical well intervention, reservoir monitoring and downhole data acquisition.</w:t>
      </w:r>
    </w:p>
    <w:p>
      <w:pPr>
        <w:spacing w:after="0" w:line="172"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Completions </w:t>
      </w:r>
      <w:r>
        <w:rPr>
          <w:rFonts w:ascii="Arial" w:cs="Arial" w:eastAsia="Arial" w:hAnsi="Arial"/>
          <w:sz w:val="17"/>
          <w:szCs w:val="17"/>
          <w:color w:val="auto"/>
        </w:rPr>
        <w:t>supplies well completion services and equipment that include packers, safety valves, sand control technology as well as a range of intelligent</w:t>
      </w:r>
      <w:r>
        <w:rPr>
          <w:rFonts w:ascii="Arial" w:cs="Arial" w:eastAsia="Arial" w:hAnsi="Arial"/>
          <w:sz w:val="17"/>
          <w:szCs w:val="17"/>
          <w:i w:val="1"/>
          <w:iCs w:val="1"/>
          <w:color w:val="auto"/>
        </w:rPr>
        <w:t xml:space="preserve"> </w:t>
      </w:r>
      <w:r>
        <w:rPr>
          <w:rFonts w:ascii="Arial" w:cs="Arial" w:eastAsia="Arial" w:hAnsi="Arial"/>
          <w:sz w:val="17"/>
          <w:szCs w:val="17"/>
          <w:color w:val="auto"/>
        </w:rPr>
        <w:t>well completions technology and equipment.</w:t>
      </w:r>
    </w:p>
    <w:p>
      <w:pPr>
        <w:spacing w:after="0" w:line="159"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Artificial Lift </w:t>
      </w:r>
      <w:r>
        <w:rPr>
          <w:rFonts w:ascii="Arial" w:cs="Arial" w:eastAsia="Arial" w:hAnsi="Arial"/>
          <w:sz w:val="17"/>
          <w:szCs w:val="17"/>
          <w:color w:val="auto"/>
        </w:rPr>
        <w:t>provides production equipment and optimization services using electrical submersible pumps, gas lift equipment, rod lift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progressing cavity pumps and surface horizontal pumping systems.</w:t>
      </w:r>
    </w:p>
    <w:p>
      <w:pPr>
        <w:spacing w:after="0" w:line="159"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Integrated Production Services </w:t>
      </w:r>
      <w:r>
        <w:rPr>
          <w:rFonts w:ascii="Arial" w:cs="Arial" w:eastAsia="Arial" w:hAnsi="Arial"/>
          <w:sz w:val="17"/>
          <w:szCs w:val="17"/>
          <w:color w:val="auto"/>
        </w:rPr>
        <w:t>offers the project scope necessary to abandon, maintain, or increase the production of single or multiple wells. All aspects</w:t>
      </w:r>
      <w:r>
        <w:rPr>
          <w:rFonts w:ascii="Arial" w:cs="Arial" w:eastAsia="Arial" w:hAnsi="Arial"/>
          <w:sz w:val="17"/>
          <w:szCs w:val="17"/>
          <w:i w:val="1"/>
          <w:iCs w:val="1"/>
          <w:color w:val="auto"/>
        </w:rPr>
        <w:t xml:space="preserve"> </w:t>
      </w:r>
      <w:r>
        <w:rPr>
          <w:rFonts w:ascii="Arial" w:cs="Arial" w:eastAsia="Arial" w:hAnsi="Arial"/>
          <w:sz w:val="17"/>
          <w:szCs w:val="17"/>
          <w:color w:val="auto"/>
        </w:rPr>
        <w:t>of project planning are addressed and include well engineering, wellsite supervision, civil engineering, logistics, procurement, contracting of third parties, and workovers.</w:t>
      </w:r>
    </w:p>
    <w:p>
      <w:pPr>
        <w:spacing w:after="0" w:line="172"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Schlumberger Production Management </w:t>
      </w:r>
      <w:r>
        <w:rPr>
          <w:rFonts w:ascii="Arial" w:cs="Arial" w:eastAsia="Arial" w:hAnsi="Arial"/>
          <w:sz w:val="17"/>
          <w:szCs w:val="17"/>
          <w:color w:val="auto"/>
        </w:rPr>
        <w:t>is a business model for field production projects. This model combines the required services and products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with drilling rig management, specialized engineering and project management expertise to provide a complete solution to well construction and production improvement.</w:t>
      </w:r>
    </w:p>
    <w:p>
      <w:pPr>
        <w:spacing w:after="0" w:line="172" w:lineRule="exact"/>
        <w:rPr>
          <w:rFonts w:ascii="Arial" w:cs="Arial" w:eastAsia="Arial" w:hAnsi="Arial"/>
          <w:sz w:val="17"/>
          <w:szCs w:val="17"/>
          <w:color w:val="auto"/>
        </w:rPr>
      </w:pPr>
    </w:p>
    <w:p>
      <w:pPr>
        <w:jc w:val="both"/>
        <w:ind w:left="760"/>
        <w:spacing w:after="0" w:line="258" w:lineRule="auto"/>
        <w:rPr>
          <w:rFonts w:ascii="Arial" w:cs="Arial" w:eastAsia="Arial" w:hAnsi="Arial"/>
          <w:sz w:val="17"/>
          <w:szCs w:val="17"/>
          <w:color w:val="auto"/>
        </w:rPr>
      </w:pPr>
      <w:r>
        <w:rPr>
          <w:rFonts w:ascii="Arial" w:cs="Arial" w:eastAsia="Arial" w:hAnsi="Arial"/>
          <w:sz w:val="17"/>
          <w:szCs w:val="17"/>
          <w:color w:val="auto"/>
        </w:rPr>
        <w:t>SPM commercial arrangements create alignment between Schlumberger and the asset holder and/or the operator whereby Schlumberger receives remuneration in line with its value creation. These projects are generally focused on developing and co-managing production of customer assets under long-term agreements. Schlumberger manages approximately 235,000 barrels per day of oil equivalent on behalf of its clients.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upon cash flow generated or on a fee-per-barrel basis. This may include certain arrangements whereby Schlumberger is only compensated based upon incremental production that it helps deliver above a mutually agreed baseline.</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 xml:space="preserve">Cameron Group </w:t>
      </w:r>
      <w:r>
        <w:rPr>
          <w:rFonts w:ascii="Arial" w:cs="Arial" w:eastAsia="Arial" w:hAnsi="Arial"/>
          <w:sz w:val="17"/>
          <w:szCs w:val="17"/>
          <w:color w:val="auto"/>
        </w:rPr>
        <w:t>– Consists of the principal Technologies involved in pressure and flow control for drilling and intervention rigs, oil and gas wells and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and includes OneSubsea</w:t>
      </w:r>
      <w:r>
        <w:rPr>
          <w:rFonts w:ascii="Arial" w:cs="Arial" w:eastAsia="Arial" w:hAnsi="Arial"/>
          <w:sz w:val="14"/>
          <w:szCs w:val="14"/>
          <w:color w:val="231F20"/>
        </w:rPr>
        <w:t>®</w:t>
      </w:r>
      <w:r>
        <w:rPr>
          <w:rFonts w:ascii="Arial" w:cs="Arial" w:eastAsia="Arial" w:hAnsi="Arial"/>
          <w:sz w:val="17"/>
          <w:szCs w:val="17"/>
          <w:color w:val="auto"/>
        </w:rPr>
        <w:t>, Surface Systems, Drilling Systems, and Valves &amp; Measurement.</w:t>
      </w:r>
    </w:p>
    <w:p>
      <w:pPr>
        <w:spacing w:after="0" w:line="159" w:lineRule="exact"/>
        <w:rPr>
          <w:sz w:val="20"/>
          <w:szCs w:val="20"/>
          <w:color w:val="auto"/>
        </w:rPr>
      </w:pPr>
    </w:p>
    <w:p>
      <w:pPr>
        <w:ind w:left="760" w:hanging="382"/>
        <w:spacing w:after="0" w:line="283"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OneSubsea </w:t>
      </w:r>
      <w:r>
        <w:rPr>
          <w:rFonts w:ascii="Arial" w:cs="Arial" w:eastAsia="Arial" w:hAnsi="Arial"/>
          <w:sz w:val="17"/>
          <w:szCs w:val="17"/>
          <w:color w:val="auto"/>
        </w:rPr>
        <w:t>provides integrated solutions, products, systems and services for the subsea oil and gas market, including integrated subsea production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involving wellheads, subsea trees, manifolds and flowline connectors, control systems,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 w:name="page5"/>
    <w:bookmarkEnd w:id="4"/>
    <w:p>
      <w:pPr>
        <w:jc w:val="both"/>
        <w:ind w:left="760"/>
        <w:spacing w:after="0" w:line="268" w:lineRule="auto"/>
        <w:rPr>
          <w:sz w:val="20"/>
          <w:szCs w:val="20"/>
          <w:color w:val="auto"/>
        </w:rPr>
      </w:pPr>
      <w:r>
        <w:rPr>
          <w:rFonts w:ascii="Arial" w:cs="Arial" w:eastAsia="Arial" w:hAnsi="Arial"/>
          <w:sz w:val="17"/>
          <w:szCs w:val="17"/>
          <w:color w:val="auto"/>
        </w:rPr>
        <w:t>connectors and services designed to maximize reservoir recovery and extend the life of each field. OneSubsea offers integration and optimization of the entire production system over the life of the field by leveraging flow control expertise and process technologies with petrotechnical expertise and reservoir and production technologies.</w:t>
      </w:r>
    </w:p>
    <w:p>
      <w:pPr>
        <w:spacing w:after="0" w:line="172" w:lineRule="exact"/>
        <w:rPr>
          <w:sz w:val="20"/>
          <w:szCs w:val="20"/>
          <w:color w:val="auto"/>
        </w:rPr>
      </w:pPr>
    </w:p>
    <w:p>
      <w:pPr>
        <w:ind w:left="760" w:hanging="382"/>
        <w:spacing w:after="0" w:line="283"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Surface Systems </w:t>
      </w:r>
      <w:r>
        <w:rPr>
          <w:rFonts w:ascii="Arial" w:cs="Arial" w:eastAsia="Arial" w:hAnsi="Arial"/>
          <w:sz w:val="17"/>
          <w:szCs w:val="17"/>
          <w:color w:val="auto"/>
        </w:rPr>
        <w:t>designs and manufactures onshore and offshore platform wellhead systems and processing solutions, including valves, chokes, actuators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Christmas trees, and provides services to oil and gas operators.</w:t>
      </w:r>
    </w:p>
    <w:p>
      <w:pPr>
        <w:spacing w:after="0" w:line="159" w:lineRule="exact"/>
        <w:rPr>
          <w:rFonts w:ascii="Arial" w:cs="Arial" w:eastAsia="Arial" w:hAnsi="Arial"/>
          <w:sz w:val="17"/>
          <w:szCs w:val="17"/>
          <w:color w:val="auto"/>
        </w:rPr>
      </w:pPr>
    </w:p>
    <w:p>
      <w:pPr>
        <w:jc w:val="both"/>
        <w:ind w:left="760" w:hanging="382"/>
        <w:spacing w:after="0" w:line="263"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Drilling Systems </w:t>
      </w:r>
      <w:r>
        <w:rPr>
          <w:rFonts w:ascii="Arial" w:cs="Arial" w:eastAsia="Arial" w:hAnsi="Arial"/>
          <w:sz w:val="17"/>
          <w:szCs w:val="17"/>
          <w:color w:val="auto"/>
        </w:rPr>
        <w:t>provides drilling equipment and services to shipyards, drilling contractors, E&amp;P companies and rental tool companies. The products fall</w:t>
      </w:r>
      <w:r>
        <w:rPr>
          <w:rFonts w:ascii="Arial" w:cs="Arial" w:eastAsia="Arial" w:hAnsi="Arial"/>
          <w:sz w:val="17"/>
          <w:szCs w:val="17"/>
          <w:i w:val="1"/>
          <w:iCs w:val="1"/>
          <w:color w:val="auto"/>
        </w:rPr>
        <w:t xml:space="preserve"> </w:t>
      </w:r>
      <w:r>
        <w:rPr>
          <w:rFonts w:ascii="Arial" w:cs="Arial" w:eastAsia="Arial" w:hAnsi="Arial"/>
          <w:sz w:val="17"/>
          <w:szCs w:val="17"/>
          <w:color w:val="auto"/>
        </w:rPr>
        <w:t>into two broad categories: pressure control equipment and rotary drilling equipment. These products are designed for either onshore or offshore applications and include drilling equipment packages, blowout preventers (BOPs), BOP control systems, connectors, riser systems, valves and choke manifold systems, top drives, mud pumps, pipe handling equipment, rig designs and rig kits.</w:t>
      </w:r>
    </w:p>
    <w:p>
      <w:pPr>
        <w:spacing w:after="0" w:line="176"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Valves &amp; Measurement </w:t>
      </w:r>
      <w:r>
        <w:rPr>
          <w:rFonts w:ascii="Arial" w:cs="Arial" w:eastAsia="Arial" w:hAnsi="Arial"/>
          <w:sz w:val="17"/>
          <w:szCs w:val="17"/>
          <w:color w:val="auto"/>
        </w:rPr>
        <w:t>serves portions of the upstream, midstream and downstream markets and provides valve products and measurement systems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used to control, direct and measure the flow of oil and gas as they are moved from wellheads through flow lines, gathering lines and transmission systems to refineries, petrochemical plants and industrial centers for processing.</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Supporting the Groups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Schlumberger’s business is also reported through four geographic Areas: North America, Latin America, Europe/CIS/Africa and Middle East &amp; Asia. Within these Areas, a network of GeoMarket* regions provides logistical, technical and commercial coordination.</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Schlumberger primarily uses its own personnel to market its offerings. The customer base, business risks and opportunities for growth are essentially uniform across all services. Manufacturing and engineering facilities as well as research centers are shared, and the labor force is interchangeable. Technological innovation, quality of service and price differentiation are the principal methods of competition, which vary geographically with respect to the different services offered. While Schlumberger has numerous competitors, both large and small, Schlumberger believes that it is an industry leader in providing geophysical equipment and services, wireline logging, well production testing, exploration and production software, surface equipment, artificial lift, coiled-tubing services, drilling and completion fluids, solids control and waste management, drilling pressure control, drill bits, measurement-while-drilling, logging-while-drilling, directional-drilling services and surface data (mud) logging.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considered material to Schlumberger’s 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that typically result in temporarily reduced levels of activity. In addition, hurricanes and typhoons can disrupt coastal and offshore operations. Furthermore, customer spending patterns for multiclient data, software and other oilfield services and products generally result in higher activity in the fourth quarter of each year as clients seek to utilize their annual budgets.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Backlog of Orders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 the year ended December 31, 2016, no single customer exceeded 10% of consolidated revenue. Other than WesternGeco, and the OneSubsea and Drilling Systems businesses acquired in the Cameron transaction, Schlumberger has no significant backlog due to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jc w:val="both"/>
        <w:ind w:right="40"/>
        <w:spacing w:after="0" w:line="268" w:lineRule="auto"/>
        <w:rPr>
          <w:sz w:val="20"/>
          <w:szCs w:val="20"/>
          <w:color w:val="auto"/>
        </w:rPr>
      </w:pPr>
      <w:r>
        <w:rPr>
          <w:rFonts w:ascii="Arial" w:cs="Arial" w:eastAsia="Arial" w:hAnsi="Arial"/>
          <w:sz w:val="17"/>
          <w:szCs w:val="17"/>
          <w:color w:val="auto"/>
        </w:rPr>
        <w:t>nature of its businesses. The WesternGeco backlog was $0.8 billion at December 31, 2016 (the vast majority of which is expected to be recognized as revenue in 2017) and $1.1 billion at December 31, 2015. The combined backlog of the OneSubsea and Drilling Systems businesses was $3.1 billion at December 31, 2016, of which approximately 60% is expected to be recognized as revenue during 2017.</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w:t>
      </w:r>
    </w:p>
    <w:p>
      <w:pPr>
        <w:spacing w:after="0" w:line="121"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 xml:space="preserve">Financial information by business segment and geographic area for the years ended December 31, 2016, 2015 and 2014 is provided in Note 17 of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Officers of Schlumberger</w:t>
      </w:r>
    </w:p>
    <w:p>
      <w:pPr>
        <w:spacing w:after="0" w:line="121"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The following table sets forth, as of January 25, 2017, the names and ages of the executive officers of Schlumberger, including all offices and positions held by each for at least the past five years.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20"/>
                <w:szCs w:val="20"/>
                <w:color w:val="auto"/>
              </w:rPr>
            </w:pPr>
            <w:r>
              <w:rPr>
                <w:rFonts w:ascii="Arial" w:cs="Arial" w:eastAsia="Arial" w:hAnsi="Arial"/>
                <w:sz w:val="17"/>
                <w:szCs w:val="17"/>
                <w:b w:val="1"/>
                <w:bCs w:val="1"/>
                <w:color w:val="auto"/>
                <w:w w:val="90"/>
              </w:rPr>
              <w:t>Name</w:t>
            </w:r>
          </w:p>
        </w:tc>
        <w:tc>
          <w:tcPr>
            <w:tcW w:w="1480" w:type="dxa"/>
            <w:vAlign w:val="bottom"/>
          </w:tcPr>
          <w:p>
            <w:pPr>
              <w:spacing w:after="0"/>
              <w:rPr>
                <w:sz w:val="16"/>
                <w:szCs w:val="16"/>
                <w:color w:val="auto"/>
              </w:rPr>
            </w:pPr>
          </w:p>
        </w:tc>
        <w:tc>
          <w:tcPr>
            <w:tcW w:w="760" w:type="dxa"/>
            <w:vAlign w:val="bottom"/>
            <w:gridSpan w:val="3"/>
          </w:tcPr>
          <w:p>
            <w:pPr>
              <w:jc w:val="center"/>
              <w:ind w:left="114"/>
              <w:spacing w:after="0"/>
              <w:rPr>
                <w:sz w:val="20"/>
                <w:szCs w:val="20"/>
                <w:color w:val="auto"/>
              </w:rPr>
            </w:pPr>
            <w:r>
              <w:rPr>
                <w:rFonts w:ascii="Arial" w:cs="Arial" w:eastAsia="Arial" w:hAnsi="Arial"/>
                <w:sz w:val="17"/>
                <w:szCs w:val="17"/>
                <w:b w:val="1"/>
                <w:bCs w:val="1"/>
                <w:color w:val="auto"/>
                <w:w w:val="87"/>
              </w:rPr>
              <w:t>Age</w:t>
            </w: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Current Position and Five-Year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20"/>
        </w:trPr>
        <w:tc>
          <w:tcPr>
            <w:tcW w:w="1920" w:type="dxa"/>
            <w:vAlign w:val="bottom"/>
            <w:gridSpan w:val="2"/>
          </w:tcPr>
          <w:p>
            <w:pPr>
              <w:spacing w:after="0"/>
              <w:rPr>
                <w:sz w:val="20"/>
                <w:szCs w:val="20"/>
                <w:color w:val="auto"/>
              </w:rPr>
            </w:pPr>
            <w:r>
              <w:rPr>
                <w:rFonts w:ascii="Arial" w:cs="Arial" w:eastAsia="Arial" w:hAnsi="Arial"/>
                <w:sz w:val="17"/>
                <w:szCs w:val="17"/>
                <w:color w:val="auto"/>
              </w:rPr>
              <w:t>Paal Kibsgaard</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49</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6"/>
              </w:rPr>
              <w:t>Chairman of the Board of Directors, since April 2015; Chief Executive Officer, since August 2011; and Director since April</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2011.</w:t>
            </w:r>
          </w:p>
        </w:tc>
        <w:tc>
          <w:tcPr>
            <w:tcW w:w="4920" w:type="dxa"/>
            <w:vAlign w:val="bottom"/>
          </w:tcPr>
          <w:p>
            <w:pPr>
              <w:spacing w:after="0"/>
              <w:rPr>
                <w:sz w:val="19"/>
                <w:szCs w:val="19"/>
                <w:color w:val="auto"/>
              </w:rPr>
            </w:pP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Simon Ayat</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62</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Executive Vice President and Chief Financial Officer, since March 2007.</w:t>
            </w: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Alexander C. Juden</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56</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Secretary and General Counsel, since April 2009.</w:t>
            </w: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Ashok Belani</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58</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Executive Vice President Technology, since January 2011.</w:t>
            </w:r>
          </w:p>
        </w:tc>
      </w:tr>
      <w:tr>
        <w:trPr>
          <w:trHeight w:val="401"/>
        </w:trPr>
        <w:tc>
          <w:tcPr>
            <w:tcW w:w="1920" w:type="dxa"/>
            <w:vAlign w:val="bottom"/>
            <w:gridSpan w:val="2"/>
          </w:tcPr>
          <w:p>
            <w:pPr>
              <w:spacing w:after="0"/>
              <w:rPr>
                <w:sz w:val="20"/>
                <w:szCs w:val="20"/>
                <w:color w:val="auto"/>
              </w:rPr>
            </w:pPr>
            <w:r>
              <w:rPr>
                <w:rFonts w:ascii="Arial" w:cs="Arial" w:eastAsia="Arial" w:hAnsi="Arial"/>
                <w:sz w:val="17"/>
                <w:szCs w:val="17"/>
                <w:color w:val="auto"/>
              </w:rPr>
              <w:t>Jean-Francois Poupeau</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55</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3"/>
              </w:rPr>
              <w:t>Executive Vice President Corporate Development and Communications, since June 2012; and President, Drilling Group, May</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2010 to June 2012.</w:t>
            </w: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Khaled Al Mogharbel</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46</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President, Drilling Group, since July 2013; and President, Middle East, August 2011 to June 2013.</w:t>
            </w:r>
          </w:p>
        </w:tc>
      </w:tr>
      <w:tr>
        <w:trPr>
          <w:trHeight w:val="607"/>
        </w:trPr>
        <w:tc>
          <w:tcPr>
            <w:tcW w:w="1920" w:type="dxa"/>
            <w:vAlign w:val="bottom"/>
            <w:gridSpan w:val="2"/>
          </w:tcPr>
          <w:p>
            <w:pPr>
              <w:spacing w:after="0"/>
              <w:rPr>
                <w:sz w:val="20"/>
                <w:szCs w:val="20"/>
                <w:color w:val="auto"/>
              </w:rPr>
            </w:pPr>
            <w:r>
              <w:rPr>
                <w:rFonts w:ascii="Arial" w:cs="Arial" w:eastAsia="Arial" w:hAnsi="Arial"/>
                <w:sz w:val="17"/>
                <w:szCs w:val="17"/>
                <w:color w:val="auto"/>
              </w:rPr>
              <w:t>Stephane Biguet</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48</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4"/>
              </w:rPr>
              <w:t>Vice President and Treasurer, since December 2016; Vice President Controller, Operations, from August 2015 to December</w:t>
            </w:r>
          </w:p>
        </w:tc>
      </w:tr>
      <w:tr>
        <w:trPr>
          <w:trHeight w:val="207"/>
        </w:trPr>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4"/>
              </w:rPr>
              <w:t>2016; Vice President Controller, Operations &amp; Integration, from November 2013 to August 2015; and Vice President, Global</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Shared Services Organization, August 2011 to October 2013.</w:t>
            </w: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Mark Danton</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60</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Vice President – Director of Taxes, since January 1999.</w:t>
            </w:r>
          </w:p>
        </w:tc>
      </w:tr>
      <w:tr>
        <w:trPr>
          <w:trHeight w:val="401"/>
        </w:trPr>
        <w:tc>
          <w:tcPr>
            <w:tcW w:w="1920" w:type="dxa"/>
            <w:vAlign w:val="bottom"/>
            <w:gridSpan w:val="2"/>
          </w:tcPr>
          <w:p>
            <w:pPr>
              <w:spacing w:after="0"/>
              <w:rPr>
                <w:sz w:val="20"/>
                <w:szCs w:val="20"/>
                <w:color w:val="auto"/>
              </w:rPr>
            </w:pPr>
            <w:r>
              <w:rPr>
                <w:rFonts w:ascii="Arial" w:cs="Arial" w:eastAsia="Arial" w:hAnsi="Arial"/>
                <w:sz w:val="17"/>
                <w:szCs w:val="17"/>
                <w:color w:val="auto"/>
              </w:rPr>
              <w:t>Simon Farrant</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52</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5"/>
              </w:rPr>
              <w:t>Vice President Investor Relations, since February 2014; Special Projects Manager, December 2013 to January 2014; Vice</w:t>
            </w:r>
          </w:p>
        </w:tc>
      </w:tr>
      <w:tr>
        <w:trPr>
          <w:trHeight w:val="207"/>
        </w:trPr>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7"/>
              </w:rPr>
              <w:t>President and General Manager, North Sea GeoMarket, April 2012 to November 2013; and Integration Manager, Smith</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Merger, April 2010 to April 2012.</w:t>
            </w: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Aaron Gatt Floridia</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48</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6"/>
              </w:rPr>
              <w:t>Chief Commercial Officer, since May 2016; and President, Reservoir Characterization Group, August 2011 to May 2016.</w:t>
            </w:r>
          </w:p>
        </w:tc>
      </w:tr>
      <w:tr>
        <w:trPr>
          <w:trHeight w:val="401"/>
        </w:trPr>
        <w:tc>
          <w:tcPr>
            <w:tcW w:w="1920" w:type="dxa"/>
            <w:vAlign w:val="bottom"/>
            <w:gridSpan w:val="2"/>
          </w:tcPr>
          <w:p>
            <w:pPr>
              <w:spacing w:after="0"/>
              <w:rPr>
                <w:sz w:val="20"/>
                <w:szCs w:val="20"/>
                <w:color w:val="auto"/>
              </w:rPr>
            </w:pPr>
            <w:r>
              <w:rPr>
                <w:rFonts w:ascii="Arial" w:cs="Arial" w:eastAsia="Arial" w:hAnsi="Arial"/>
                <w:sz w:val="17"/>
                <w:szCs w:val="17"/>
                <w:color w:val="auto"/>
              </w:rPr>
              <w:t>Amerino Gatti</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46</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President, Production Group, since May 2016; President; Well Services, July 2013 to May 2016; and Vice President</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Production Group North America Land, June 2010 to June 2013.</w:t>
            </w:r>
          </w:p>
        </w:tc>
      </w:tr>
      <w:tr>
        <w:trPr>
          <w:trHeight w:val="413"/>
        </w:trPr>
        <w:tc>
          <w:tcPr>
            <w:tcW w:w="1920" w:type="dxa"/>
            <w:vAlign w:val="bottom"/>
            <w:gridSpan w:val="2"/>
          </w:tcPr>
          <w:p>
            <w:pPr>
              <w:spacing w:after="0"/>
              <w:rPr>
                <w:sz w:val="20"/>
                <w:szCs w:val="20"/>
                <w:color w:val="auto"/>
              </w:rPr>
            </w:pPr>
            <w:r>
              <w:rPr>
                <w:rFonts w:ascii="Arial" w:cs="Arial" w:eastAsia="Arial" w:hAnsi="Arial"/>
                <w:sz w:val="17"/>
                <w:szCs w:val="17"/>
                <w:color w:val="auto"/>
              </w:rPr>
              <w:t>Howard Guild</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45</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Chief Accounting Officer, since July 2005.</w:t>
            </w:r>
          </w:p>
        </w:tc>
      </w:tr>
      <w:tr>
        <w:trPr>
          <w:trHeight w:val="401"/>
        </w:trPr>
        <w:tc>
          <w:tcPr>
            <w:tcW w:w="1920" w:type="dxa"/>
            <w:vAlign w:val="bottom"/>
            <w:gridSpan w:val="2"/>
          </w:tcPr>
          <w:p>
            <w:pPr>
              <w:spacing w:after="0"/>
              <w:rPr>
                <w:sz w:val="20"/>
                <w:szCs w:val="20"/>
                <w:color w:val="auto"/>
              </w:rPr>
            </w:pPr>
            <w:r>
              <w:rPr>
                <w:rFonts w:ascii="Arial" w:cs="Arial" w:eastAsia="Arial" w:hAnsi="Arial"/>
                <w:sz w:val="17"/>
                <w:szCs w:val="17"/>
                <w:color w:val="auto"/>
              </w:rPr>
              <w:t>Imran Kizilbash</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50</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8"/>
              </w:rPr>
              <w:t>Vice President, Schlumberger Venture Fund, since December 2016; Vice President and Treasurer, November 2013 to</w:t>
            </w:r>
          </w:p>
        </w:tc>
      </w:tr>
      <w:tr>
        <w:trPr>
          <w:trHeight w:val="207"/>
        </w:trPr>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2"/>
              </w:rPr>
              <w:t>December 2016; Controller, Operations &amp; Integration, July 2013 to October 2013; and Controller, Operations, January 2011 to</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June 2013.</w:t>
            </w:r>
          </w:p>
        </w:tc>
      </w:tr>
      <w:tr>
        <w:trPr>
          <w:trHeight w:val="401"/>
        </w:trPr>
        <w:tc>
          <w:tcPr>
            <w:tcW w:w="1920" w:type="dxa"/>
            <w:vAlign w:val="bottom"/>
            <w:gridSpan w:val="2"/>
          </w:tcPr>
          <w:p>
            <w:pPr>
              <w:spacing w:after="0"/>
              <w:rPr>
                <w:sz w:val="20"/>
                <w:szCs w:val="20"/>
                <w:color w:val="auto"/>
              </w:rPr>
            </w:pPr>
            <w:r>
              <w:rPr>
                <w:rFonts w:ascii="Arial" w:cs="Arial" w:eastAsia="Arial" w:hAnsi="Arial"/>
                <w:sz w:val="17"/>
                <w:szCs w:val="17"/>
                <w:color w:val="auto"/>
              </w:rPr>
              <w:t>Saul R. Laureles</w:t>
            </w:r>
          </w:p>
        </w:tc>
        <w:tc>
          <w:tcPr>
            <w:tcW w:w="620" w:type="dxa"/>
            <w:vAlign w:val="bottom"/>
            <w:gridSpan w:val="2"/>
          </w:tcPr>
          <w:p>
            <w:pPr>
              <w:jc w:val="center"/>
              <w:ind w:left="234"/>
              <w:spacing w:after="0"/>
              <w:rPr>
                <w:sz w:val="20"/>
                <w:szCs w:val="20"/>
                <w:color w:val="auto"/>
              </w:rPr>
            </w:pPr>
            <w:r>
              <w:rPr>
                <w:rFonts w:ascii="Arial" w:cs="Arial" w:eastAsia="Arial" w:hAnsi="Arial"/>
                <w:sz w:val="17"/>
                <w:szCs w:val="17"/>
                <w:color w:val="auto"/>
                <w:w w:val="94"/>
              </w:rPr>
              <w:t>51</w:t>
            </w:r>
          </w:p>
        </w:tc>
        <w:tc>
          <w:tcPr>
            <w:tcW w:w="1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w w:val="93"/>
              </w:rPr>
              <w:t>Director, Corporate Legal, since July 2014; Assistant Secretary, since April 2007; Deputy General Counsel, Governance and</w:t>
            </w:r>
          </w:p>
        </w:tc>
      </w:tr>
      <w:tr>
        <w:trPr>
          <w:trHeight w:val="219"/>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Securities, October 2012 to June 2014; and Senior Counsel, April 2007 to October 2012.</w:t>
            </w:r>
          </w:p>
        </w:tc>
      </w:tr>
      <w:tr>
        <w:trPr>
          <w:trHeight w:val="620"/>
        </w:trPr>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ind w:left="3000"/>
              <w:spacing w:after="0"/>
              <w:rPr>
                <w:sz w:val="20"/>
                <w:szCs w:val="20"/>
                <w:color w:val="auto"/>
              </w:rPr>
            </w:pPr>
            <w:r>
              <w:rPr>
                <w:rFonts w:ascii="Arial" w:cs="Arial" w:eastAsia="Arial" w:hAnsi="Arial"/>
                <w:sz w:val="17"/>
                <w:szCs w:val="17"/>
                <w:color w:val="auto"/>
              </w:rPr>
              <w:t>6</w:t>
            </w:r>
          </w:p>
        </w:tc>
        <w:tc>
          <w:tcPr>
            <w:tcW w:w="4920" w:type="dxa"/>
            <w:vAlign w:val="bottom"/>
          </w:tcPr>
          <w:p>
            <w:pPr>
              <w:spacing w:after="0"/>
              <w:rPr>
                <w:sz w:val="24"/>
                <w:szCs w:val="24"/>
                <w:color w:val="auto"/>
              </w:rPr>
            </w:pPr>
          </w:p>
        </w:tc>
      </w:tr>
      <w:tr>
        <w:trPr>
          <w:trHeight w:val="122"/>
        </w:trPr>
        <w:tc>
          <w:tcPr>
            <w:tcW w:w="4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30"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Arial" w:cs="Arial" w:eastAsia="Arial" w:hAnsi="Arial"/>
                <w:sz w:val="17"/>
                <w:szCs w:val="17"/>
                <w:color w:val="auto"/>
              </w:rPr>
              <w:t>Catherine MacGregor</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44</w:t>
            </w:r>
          </w:p>
        </w:tc>
        <w:tc>
          <w:tcPr>
            <w:tcW w:w="8840" w:type="dxa"/>
            <w:vAlign w:val="bottom"/>
          </w:tcPr>
          <w:p>
            <w:pPr>
              <w:ind w:left="100"/>
              <w:spacing w:after="0"/>
              <w:rPr>
                <w:sz w:val="20"/>
                <w:szCs w:val="20"/>
                <w:color w:val="auto"/>
              </w:rPr>
            </w:pPr>
            <w:r>
              <w:rPr>
                <w:rFonts w:ascii="Arial" w:cs="Arial" w:eastAsia="Arial" w:hAnsi="Arial"/>
                <w:sz w:val="17"/>
                <w:szCs w:val="17"/>
                <w:color w:val="auto"/>
                <w:w w:val="94"/>
              </w:rPr>
              <w:t>President, Reservoir Characterization Group, since August 2016; President, Europe and Africa, July 2013 to July 2016; and</w:t>
            </w:r>
          </w:p>
        </w:tc>
      </w:tr>
      <w:tr>
        <w:trPr>
          <w:trHeight w:val="219"/>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Wireline President, May 2009 to June 2013.</w:t>
            </w: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Gerard Martellozo</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61</w:t>
            </w:r>
          </w:p>
        </w:tc>
        <w:tc>
          <w:tcPr>
            <w:tcW w:w="8840" w:type="dxa"/>
            <w:vAlign w:val="bottom"/>
          </w:tcPr>
          <w:p>
            <w:pPr>
              <w:ind w:left="100"/>
              <w:spacing w:after="0"/>
              <w:rPr>
                <w:sz w:val="20"/>
                <w:szCs w:val="20"/>
                <w:color w:val="auto"/>
              </w:rPr>
            </w:pPr>
            <w:r>
              <w:rPr>
                <w:rFonts w:ascii="Arial" w:cs="Arial" w:eastAsia="Arial" w:hAnsi="Arial"/>
                <w:sz w:val="17"/>
                <w:szCs w:val="17"/>
                <w:color w:val="auto"/>
                <w:w w:val="97"/>
              </w:rPr>
              <w:t>Vice President Human Resources, since June 2014; Senior Advisor to the CEO, August 2012 to May 2014; and Human</w:t>
            </w:r>
          </w:p>
        </w:tc>
      </w:tr>
      <w:tr>
        <w:trPr>
          <w:trHeight w:val="219"/>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Resources Manager, Drilling Group, May 2010 to July 2012.</w:t>
            </w: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Abdellah Merad</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43</w:t>
            </w:r>
          </w:p>
        </w:tc>
        <w:tc>
          <w:tcPr>
            <w:tcW w:w="8840" w:type="dxa"/>
            <w:vAlign w:val="bottom"/>
          </w:tcPr>
          <w:p>
            <w:pPr>
              <w:ind w:left="100"/>
              <w:spacing w:after="0"/>
              <w:rPr>
                <w:sz w:val="20"/>
                <w:szCs w:val="20"/>
                <w:color w:val="auto"/>
              </w:rPr>
            </w:pPr>
            <w:r>
              <w:rPr>
                <w:rFonts w:ascii="Arial" w:cs="Arial" w:eastAsia="Arial" w:hAnsi="Arial"/>
                <w:sz w:val="17"/>
                <w:szCs w:val="17"/>
                <w:color w:val="auto"/>
                <w:w w:val="96"/>
              </w:rPr>
              <w:t>Vice President Controller, Operations, since December 2016; Vice President, Global Shared Services Organization, from</w:t>
            </w:r>
          </w:p>
        </w:tc>
      </w:tr>
      <w:tr>
        <w:trPr>
          <w:trHeight w:val="207"/>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w w:val="94"/>
              </w:rPr>
              <w:t>November 2013 to December 2016; GeoMarket Cost Management Project Manager, from August 2013 to November 2013;</w:t>
            </w:r>
          </w:p>
        </w:tc>
      </w:tr>
      <w:tr>
        <w:trPr>
          <w:trHeight w:val="219"/>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and North Africa GeoMarket Manager, from June 2010 to July 2013.</w:t>
            </w: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R. Scott Rowe</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45</w:t>
            </w:r>
          </w:p>
        </w:tc>
        <w:tc>
          <w:tcPr>
            <w:tcW w:w="8840" w:type="dxa"/>
            <w:vAlign w:val="bottom"/>
          </w:tcPr>
          <w:p>
            <w:pPr>
              <w:ind w:left="100"/>
              <w:spacing w:after="0"/>
              <w:rPr>
                <w:sz w:val="20"/>
                <w:szCs w:val="20"/>
                <w:color w:val="auto"/>
              </w:rPr>
            </w:pPr>
            <w:r>
              <w:rPr>
                <w:rFonts w:ascii="Arial" w:cs="Arial" w:eastAsia="Arial" w:hAnsi="Arial"/>
                <w:sz w:val="17"/>
                <w:szCs w:val="17"/>
                <w:color w:val="auto"/>
                <w:w w:val="94"/>
              </w:rPr>
              <w:t>President, Cameron Group, since April 2016; President and Chief Executive Officer, Cameron, October 2015 to April 2016;</w:t>
            </w:r>
          </w:p>
        </w:tc>
      </w:tr>
      <w:tr>
        <w:trPr>
          <w:trHeight w:val="207"/>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w w:val="95"/>
              </w:rPr>
              <w:t>President and Chief Operating Officer, Cameron, October 2014 to September 2015; Chief Executive Officer, OneSubsea,</w:t>
            </w:r>
          </w:p>
        </w:tc>
      </w:tr>
      <w:tr>
        <w:trPr>
          <w:trHeight w:val="207"/>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w w:val="95"/>
              </w:rPr>
              <w:t>March 2014 to September 2014; President, Subsea System, August 2012 to February 2014; and President, Engineered &amp;</w:t>
            </w:r>
          </w:p>
        </w:tc>
      </w:tr>
      <w:tr>
        <w:trPr>
          <w:trHeight w:val="219"/>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Process Values, April 2010 to August 2012.</w:t>
            </w:r>
          </w:p>
        </w:tc>
      </w:tr>
      <w:tr>
        <w:trPr>
          <w:trHeight w:val="401"/>
        </w:trPr>
        <w:tc>
          <w:tcPr>
            <w:tcW w:w="1900" w:type="dxa"/>
            <w:vAlign w:val="bottom"/>
          </w:tcPr>
          <w:p>
            <w:pPr>
              <w:spacing w:after="0"/>
              <w:rPr>
                <w:sz w:val="20"/>
                <w:szCs w:val="20"/>
                <w:color w:val="auto"/>
              </w:rPr>
            </w:pPr>
            <w:r>
              <w:rPr>
                <w:rFonts w:ascii="Arial" w:cs="Arial" w:eastAsia="Arial" w:hAnsi="Arial"/>
                <w:sz w:val="17"/>
                <w:szCs w:val="17"/>
                <w:color w:val="auto"/>
              </w:rPr>
              <w:t>Patrick Schorn</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48</w:t>
            </w:r>
          </w:p>
        </w:tc>
        <w:tc>
          <w:tcPr>
            <w:tcW w:w="8840" w:type="dxa"/>
            <w:vAlign w:val="bottom"/>
          </w:tcPr>
          <w:p>
            <w:pPr>
              <w:ind w:left="100"/>
              <w:spacing w:after="0"/>
              <w:rPr>
                <w:sz w:val="20"/>
                <w:szCs w:val="20"/>
                <w:color w:val="auto"/>
              </w:rPr>
            </w:pPr>
            <w:r>
              <w:rPr>
                <w:rFonts w:ascii="Arial" w:cs="Arial" w:eastAsia="Arial" w:hAnsi="Arial"/>
                <w:sz w:val="17"/>
                <w:szCs w:val="17"/>
                <w:color w:val="auto"/>
                <w:w w:val="95"/>
              </w:rPr>
              <w:t>President, Operations, since August 2015; President, Operations &amp; Integration, July 2013 to August 2015; and President,</w:t>
            </w:r>
          </w:p>
        </w:tc>
      </w:tr>
      <w:tr>
        <w:trPr>
          <w:trHeight w:val="219"/>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40" w:type="dxa"/>
            <w:vAlign w:val="bottom"/>
          </w:tcPr>
          <w:p>
            <w:pPr>
              <w:ind w:left="100"/>
              <w:spacing w:after="0"/>
              <w:rPr>
                <w:sz w:val="20"/>
                <w:szCs w:val="20"/>
                <w:color w:val="auto"/>
              </w:rPr>
            </w:pPr>
            <w:r>
              <w:rPr>
                <w:rFonts w:ascii="Arial" w:cs="Arial" w:eastAsia="Arial" w:hAnsi="Arial"/>
                <w:sz w:val="17"/>
                <w:szCs w:val="17"/>
                <w:color w:val="auto"/>
              </w:rPr>
              <w:t>Production Group, January 2011 to June 2013.</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Schlumberger Internet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uses its Investor Relations website,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as a routine channel for distribution of important information, including news releases, analyst presentations, and financial information. Schlumberger makes available free of charge through its Investor Relations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Reports on Form 10-K, Quarterly Reports 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are also available, without charge, from Schlumberger Investor Relations, 5599 San Felipe, 17</w:t>
      </w:r>
      <w:r>
        <w:rPr>
          <w:rFonts w:ascii="Arial" w:cs="Arial" w:eastAsia="Arial" w:hAnsi="Arial"/>
          <w:sz w:val="13"/>
          <w:szCs w:val="13"/>
          <w:color w:val="auto"/>
        </w:rPr>
        <w:t>th</w:t>
      </w:r>
      <w:r>
        <w:rPr>
          <w:rFonts w:ascii="Arial" w:cs="Arial" w:eastAsia="Arial" w:hAnsi="Arial"/>
          <w:sz w:val="16"/>
          <w:szCs w:val="16"/>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12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xml:space="preserve"> and related notes included in this Form 10-K.</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Demand for the majority of our services is substantially dependent on the levels of expenditures by our customers. The current significant oil and gas industry downturn has resulted in reduced demand for oilfield services, which has had, and may continue to have, a material adverse impact on our financial condition, results of operations and cash flows. If these conditions worsen or oil and gas prices do not improve, it could have a further material adverse effect on our financial condition, results of operations and cash flows.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Demand for the majority of our services depends substantially on the level of expenditures by our customers for the exploration, development and production of oil and natural gas reserves. These expenditures are generally dependent on our customers’ views of future oil and natural gas prices and are sensitive to our customers’ views of future economic growth and the resulting impact on demand for oil and natural gas. Since 2014, oil and gas prices have declined significantly, resulting in lower expenditures by our customers. As a result, many of our customers have reduced or delayed their oil and gas exploration and production spending, reducing the demand for our products and services and exerting downward pressure on the prices that we charge. These conditions have had, and may continue to have, an adverse impact on our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7"/>
          <w:szCs w:val="17"/>
          <w:color w:val="auto"/>
        </w:rPr>
        <w:t>The continued low oil and gas prices have caused a reduction in cash flows for our customers, which has had a significant adverse effect on the financial condition of some of our customers. This has resulted, in and may continue to result in, project modifications, delays and cancellations, general business disruptions, and delays in payment of, or nonpayment of, amounts that are owed to us. These effects could have a material adverse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prices for oil and natural gas have historically been volatile and can be affected by a variety of factors, including:</w:t>
      </w:r>
    </w:p>
    <w:p>
      <w:pPr>
        <w:spacing w:after="0" w:line="115" w:lineRule="exact"/>
        <w:rPr>
          <w:sz w:val="20"/>
          <w:szCs w:val="20"/>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demand for hydrocarbons, which is affected by general economic and business conditions;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or willingness of the Organization of Petroleum Exporting Countries (“OPEC”) to set and maintain production levels for oil;</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oil and gas production levels by non-OPEC countries;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level of excess production capacity;</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political and economic uncertainty and geopolitical unrest;</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level of worldwide oil and gas exploration and production activity;</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access to potential resources;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governmental policies and subsidies;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of exploring for, producing and delivering oil and gas;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technological advances affecting energy consumption; and</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218"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There can be no assurance that the demand or pricing for oil and natural gas will follow historic patterns or recover meaningfully in the near term. Continued or worsening conditions in the oil and gas industry could have a further material adverse affect our financial condition, results of operations and cash flows.</w:t>
      </w:r>
    </w:p>
    <w:p>
      <w:pPr>
        <w:spacing w:after="0" w:line="235"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A significant portion of our revenue is derived from our non-United States operations, which exposes us to risks inherent in doing business in each of the over 85 countries in which we operate.</w:t>
      </w:r>
    </w:p>
    <w:p>
      <w:pPr>
        <w:spacing w:after="0" w:line="5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Our non-United States operations accounted for approximately 80% of our consolidated revenue in 2016, 76% in 2015 and 71% in 2014. Operations in countries other than the United States are subject to various risks, including:</w:t>
      </w:r>
    </w:p>
    <w:p>
      <w:pPr>
        <w:spacing w:after="0" w:line="56" w:lineRule="exact"/>
        <w:rPr>
          <w:sz w:val="20"/>
          <w:szCs w:val="20"/>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volatility in political, social and economic conditions;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to expropriation of our assets or other governmental actions;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social unrest, acts of terrorism, war or other armed conflict;</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confiscatory taxation or other adverse tax policies;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deprivation of contract rights;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trade and economic sanctions or other restrictions imposed by the United States, the European Union or other countries;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under the United States Foreign Corrupt Practices Act (FCPA) or similar legislation;</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on the repatriation of income or capital;</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currency exchange controls;</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inflation; and</w:t>
      </w:r>
    </w:p>
    <w:p>
      <w:pPr>
        <w:spacing w:after="0" w:line="114" w:lineRule="exact"/>
        <w:rPr>
          <w:rFonts w:ascii="Arial" w:cs="Arial" w:eastAsia="Arial" w:hAnsi="Arial"/>
          <w:sz w:val="17"/>
          <w:szCs w:val="17"/>
          <w:color w:val="auto"/>
        </w:rPr>
      </w:pPr>
    </w:p>
    <w:p>
      <w:pPr>
        <w:ind w:left="760" w:hanging="382"/>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currency exchange rate fluctuations and devaluations.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comply with complex US and foreign laws and regulations could have a material adverse effect on our operations.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are subject to complex US and foreign laws and regulations, such as the FCPA, the U.K. Bribery Act and various other anti-bribery and anti-corruption laws. We are also subject to trade control regulations and trade sanctions laws that restrict the movement of certain goods to, and certain operations in, various countries or with certain persons. Our ability to transfer people and products among certain countries is subject to maintaining required licenses and complying with these laws and regulations. The internal controls, policies and procedures, and employee training and compliance programs we have implemented to deter prohibited practices may not be effective in preventing employees, contractors or agents from violating or circumventing such internal policies or violating applicable laws and regulations. Any determination that we have violated or are responsible for violations of anti-bribery, trade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7"/>
          <w:szCs w:val="17"/>
          <w:color w:val="auto"/>
        </w:rPr>
        <w:t>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reputation and our business,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compliance costs and liabilities could reduce our earnings and cash available for operations.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are subject to increasingly stringent laws and regulations relating to importation and use of hazardous materials, radioactive materials, chemicals and explosives and to environmental protection, including laws and regulations governing air emissions, hydraulic fracturing,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for new or increased liabilities that could reduce our earnings and our cash available for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be subject to substantial liability claims, which could adversely affect our financial condition, results of operations and cash flows.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technical complexities of our operations expose us to a wide range of significant health, safety and environmental risks. Our offerings involve production-related activities, radioactive materials, chemicals,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Demand for our products and services could be reduced by existing and future legislation or regulations.</w:t>
      </w:r>
    </w:p>
    <w:p>
      <w:pPr>
        <w:spacing w:after="0" w:line="1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Environmental advocacy groups and regulatory agencies in the United States and other countries have been focusing considerable attention on the emissions of carbon dioxide, methane and other greenhouse gasses and their potential role in climate change. Existing or future legislation and regulations related to greenhouse gas emissions and climate change, as well as government initiatives to conserve energy or promote the use of alternative energy sources, may significantly curtail demand for and production of fossil fuels such as oil and gas in areas of the world where our customers operate and thus adversely affect future demand for our services. This may, in turn, adversely affect our financial condition, results of operations and cash flows.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Some international, national, state and local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 fluids are pumped at high pressure and rate into the reservoir interval to be treated, causing cracks in the target formation. Proppant, such as sand of a particular size, is mixed with the treatment fluid to keep the cracks open when the treatment is complete. Future hydraulic fracturing-related legislation or regulations could limit or ban hydraulic fracturing, or lead to operational delays and increased costs, and therefore reduce demand for our pressure pumping services. If such additional international, national, state or local legislation or regulations are enacted, it could adversely affect our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maintain technology leadership, this could adversely affect any competitive advantage we hold.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oilfield service industry is highly competitive. Our ability to continually provide competitive technology and services can impact our ability to defend, maintain or increase prices for our services, maintain market share, and negotiate acceptable contract terms with our customers. 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7"/>
          <w:szCs w:val="17"/>
          <w:b w:val="1"/>
          <w:bCs w:val="1"/>
          <w:color w:val="auto"/>
        </w:rPr>
        <w:t>Limitations on our ability to protect our intellectual property rights, including our trade secrets, could cause a loss in revenue and any competitive advantage we hold.</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litigation if another party claims that we have infringed upon its intellectual property rights.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Additionally, developing non-infringing technologies would increase our costs. If a license were not available, we might not be able to continue providing a particular service or product, which could adversely affect our financial condition, results of operations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obtain and retain skilled technical personnel could impede our operations.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Severe weather conditions may adversely affect our operations.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Cybersecurity risks and threats could adversely affect our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rely heavily on information systems to conduct our business. There can be no assurance that the systems we have designed to prevent or limit the effects of cyber incidents or attacks will be sufficient to prevent or detect such incidents or attacks, or to avoid a material impact on our systems when such incidents or attacks do occur. If our systems for protecting against cybersecurity risks are circumvented or breached, this could result in the loss of our intellectual property or other proprietary information, including customer data, and disruption of our business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Properties.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Schlumberger’s principal owned or leased facilities:</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Beijing, China; Beziers and Clamart, France; Fuchinobe, Japan; Kleppestø and Stavanger, Norway; Singapore; Abingdon and Cambridge, United Kingdom; Moscow, Russia; Johor, Malaysia; and within the United States: Boston, Massachusetts; Houston, Katy, Rosharon and Sugar Land, Texas; Berwick, Louisiana; Battle Mountain, Nevada and Greybull, Wyoming.</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information with respect to this Item 3. Legal Proceedings is set forth in Note 16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Item 4. Mine Safety Disclosures.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Form 10-K.</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PART II</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5. Market for Schlumberger’s Common Stock, Related Stockholder Matters and Issuer Purchases of Equity Securities.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December 31, 2016, there were 26,201 stockholders of record. The principal United States market for Schlumberger’s common stock is the New York Stock Exchange (NYSE), where it is traded under the symbol “SLB,” although it is traded on other exchanges in and outside the United States, including the Euronext Paris, the London Stock Exchange and the SIX Swiss Exchange.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Common Stock, Market Prices and Dividends Declared per Share</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Quarterly high and low prices for Schlumberger’s common stock as reported by the NYSE (composite transactions), together with dividends declared per share in each quarter of 2016 and 2015,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Price Range</w:t>
            </w:r>
          </w:p>
        </w:tc>
        <w:tc>
          <w:tcPr>
            <w:tcW w:w="9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Dividends</w:t>
            </w:r>
          </w:p>
        </w:tc>
      </w:tr>
      <w:tr>
        <w:trPr>
          <w:trHeight w:val="213"/>
        </w:trPr>
        <w:tc>
          <w:tcPr>
            <w:tcW w:w="3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High</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34"/>
              <w:spacing w:after="0"/>
              <w:rPr>
                <w:sz w:val="20"/>
                <w:szCs w:val="20"/>
                <w:color w:val="auto"/>
              </w:rPr>
            </w:pPr>
            <w:r>
              <w:rPr>
                <w:rFonts w:ascii="Arial" w:cs="Arial" w:eastAsia="Arial" w:hAnsi="Arial"/>
                <w:sz w:val="17"/>
                <w:szCs w:val="17"/>
                <w:color w:val="auto"/>
              </w:rPr>
              <w:t>Low</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Declared</w:t>
            </w:r>
          </w:p>
        </w:tc>
      </w:tr>
      <w:tr>
        <w:trPr>
          <w:trHeight w:val="21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2016</w:t>
            </w:r>
          </w:p>
        </w:tc>
        <w:tc>
          <w:tcPr>
            <w:tcW w:w="29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7"/>
                <w:szCs w:val="17"/>
                <w:b w:val="1"/>
                <w:bCs w:val="1"/>
                <w:color w:val="auto"/>
              </w:rPr>
              <w:t>QUARTERS</w:t>
            </w:r>
          </w:p>
        </w:tc>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First</w:t>
            </w:r>
          </w:p>
        </w:tc>
        <w:tc>
          <w:tcPr>
            <w:tcW w:w="3800" w:type="dxa"/>
            <w:vAlign w:val="bottom"/>
            <w:gridSpan w:val="2"/>
            <w:shd w:val="clear" w:color="auto" w:fill="CFF0FC"/>
          </w:tcPr>
          <w:p>
            <w:pPr>
              <w:jc w:val="right"/>
              <w:ind w:right="734"/>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8"/>
              </w:rPr>
              <w:t>76.16</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59.60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shd w:val="clear" w:color="auto" w:fill="CFF0FC"/>
          </w:tcPr>
          <w:p>
            <w:pPr>
              <w:spacing w:after="0"/>
              <w:rPr>
                <w:sz w:val="19"/>
                <w:szCs w:val="19"/>
                <w:color w:val="auto"/>
              </w:rPr>
            </w:pPr>
          </w:p>
        </w:tc>
      </w:tr>
      <w:tr>
        <w:trPr>
          <w:trHeight w:val="220"/>
        </w:trPr>
        <w:tc>
          <w:tcPr>
            <w:tcW w:w="3840" w:type="dxa"/>
            <w:vAlign w:val="bottom"/>
          </w:tcPr>
          <w:p>
            <w:pPr>
              <w:ind w:left="240"/>
              <w:spacing w:after="0"/>
              <w:rPr>
                <w:sz w:val="20"/>
                <w:szCs w:val="20"/>
                <w:color w:val="auto"/>
              </w:rPr>
            </w:pPr>
            <w:r>
              <w:rPr>
                <w:rFonts w:ascii="Arial" w:cs="Arial" w:eastAsia="Arial" w:hAnsi="Arial"/>
                <w:sz w:val="17"/>
                <w:szCs w:val="17"/>
                <w:b w:val="1"/>
                <w:bCs w:val="1"/>
                <w:color w:val="auto"/>
              </w:rPr>
              <w:t>Second</w:t>
            </w:r>
          </w:p>
        </w:tc>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8"/>
              </w:rPr>
              <w:t>81.96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71.69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tcPr>
          <w:p>
            <w:pPr>
              <w:spacing w:after="0"/>
              <w:rPr>
                <w:sz w:val="19"/>
                <w:szCs w:val="19"/>
                <w:color w:val="auto"/>
              </w:rPr>
            </w:pPr>
          </w:p>
        </w:tc>
      </w:tr>
      <w:tr>
        <w:trPr>
          <w:trHeight w:val="220"/>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Third</w:t>
            </w:r>
          </w:p>
        </w:tc>
        <w:tc>
          <w:tcPr>
            <w:tcW w:w="2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8"/>
              </w:rPr>
              <w:t>83.97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74.33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shd w:val="clear" w:color="auto" w:fill="CFF0FC"/>
          </w:tcPr>
          <w:p>
            <w:pPr>
              <w:spacing w:after="0"/>
              <w:rPr>
                <w:sz w:val="19"/>
                <w:szCs w:val="19"/>
                <w:color w:val="auto"/>
              </w:rPr>
            </w:pPr>
          </w:p>
        </w:tc>
      </w:tr>
      <w:tr>
        <w:trPr>
          <w:trHeight w:val="220"/>
        </w:trPr>
        <w:tc>
          <w:tcPr>
            <w:tcW w:w="3840" w:type="dxa"/>
            <w:vAlign w:val="bottom"/>
          </w:tcPr>
          <w:p>
            <w:pPr>
              <w:ind w:left="240"/>
              <w:spacing w:after="0"/>
              <w:rPr>
                <w:sz w:val="20"/>
                <w:szCs w:val="20"/>
                <w:color w:val="auto"/>
              </w:rPr>
            </w:pPr>
            <w:r>
              <w:rPr>
                <w:rFonts w:ascii="Arial" w:cs="Arial" w:eastAsia="Arial" w:hAnsi="Arial"/>
                <w:sz w:val="17"/>
                <w:szCs w:val="17"/>
                <w:b w:val="1"/>
                <w:bCs w:val="1"/>
                <w:color w:val="auto"/>
              </w:rPr>
              <w:t>Fourth</w:t>
            </w:r>
          </w:p>
        </w:tc>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w w:val="98"/>
              </w:rPr>
              <w:t>87.00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77.48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0.50</w:t>
            </w:r>
          </w:p>
        </w:tc>
        <w:tc>
          <w:tcPr>
            <w:tcW w:w="100" w:type="dxa"/>
            <w:vAlign w:val="bottom"/>
          </w:tcPr>
          <w:p>
            <w:pPr>
              <w:spacing w:after="0"/>
              <w:rPr>
                <w:sz w:val="19"/>
                <w:szCs w:val="19"/>
                <w:color w:val="auto"/>
              </w:rPr>
            </w:pPr>
          </w:p>
        </w:tc>
      </w:tr>
      <w:tr>
        <w:trPr>
          <w:trHeight w:val="220"/>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2015</w:t>
            </w:r>
          </w:p>
        </w:tc>
        <w:tc>
          <w:tcPr>
            <w:tcW w:w="2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840" w:type="dxa"/>
            <w:vAlign w:val="bottom"/>
          </w:tcPr>
          <w:p>
            <w:pPr>
              <w:spacing w:after="0"/>
              <w:rPr>
                <w:sz w:val="20"/>
                <w:szCs w:val="20"/>
                <w:color w:val="auto"/>
              </w:rPr>
            </w:pPr>
            <w:r>
              <w:rPr>
                <w:rFonts w:ascii="Arial" w:cs="Arial" w:eastAsia="Arial" w:hAnsi="Arial"/>
                <w:sz w:val="17"/>
                <w:szCs w:val="17"/>
                <w:color w:val="auto"/>
              </w:rPr>
              <w:t>QUARTERS</w:t>
            </w:r>
          </w:p>
        </w:tc>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First</w:t>
            </w:r>
          </w:p>
        </w:tc>
        <w:tc>
          <w:tcPr>
            <w:tcW w:w="3800" w:type="dxa"/>
            <w:vAlign w:val="bottom"/>
            <w:gridSpan w:val="2"/>
            <w:shd w:val="clear" w:color="auto" w:fill="CFF0FC"/>
          </w:tcPr>
          <w:p>
            <w:pPr>
              <w:jc w:val="right"/>
              <w:ind w:right="7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89.00</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FF0FC"/>
          </w:tcPr>
          <w:p>
            <w:pPr>
              <w:spacing w:after="0"/>
              <w:rPr>
                <w:sz w:val="19"/>
                <w:szCs w:val="19"/>
                <w:color w:val="auto"/>
              </w:rPr>
            </w:pPr>
          </w:p>
        </w:tc>
      </w:tr>
      <w:tr>
        <w:trPr>
          <w:trHeight w:val="220"/>
        </w:trPr>
        <w:tc>
          <w:tcPr>
            <w:tcW w:w="3840" w:type="dxa"/>
            <w:vAlign w:val="bottom"/>
          </w:tcPr>
          <w:p>
            <w:pPr>
              <w:ind w:left="240"/>
              <w:spacing w:after="0"/>
              <w:rPr>
                <w:sz w:val="20"/>
                <w:szCs w:val="20"/>
                <w:color w:val="auto"/>
              </w:rPr>
            </w:pPr>
            <w:r>
              <w:rPr>
                <w:rFonts w:ascii="Arial" w:cs="Arial" w:eastAsia="Arial" w:hAnsi="Arial"/>
                <w:sz w:val="17"/>
                <w:szCs w:val="17"/>
                <w:color w:val="auto"/>
              </w:rPr>
              <w:t>Second</w:t>
            </w:r>
          </w:p>
        </w:tc>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95.13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r>
      <w:tr>
        <w:trPr>
          <w:trHeight w:val="220"/>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Third</w:t>
            </w:r>
          </w:p>
        </w:tc>
        <w:tc>
          <w:tcPr>
            <w:tcW w:w="2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86.69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100" w:type="dxa"/>
            <w:vAlign w:val="bottom"/>
            <w:shd w:val="clear" w:color="auto" w:fill="CFF0FC"/>
          </w:tcPr>
          <w:p>
            <w:pPr>
              <w:spacing w:after="0"/>
              <w:rPr>
                <w:sz w:val="19"/>
                <w:szCs w:val="19"/>
                <w:color w:val="auto"/>
              </w:rPr>
            </w:pPr>
          </w:p>
        </w:tc>
      </w:tr>
      <w:tr>
        <w:trPr>
          <w:trHeight w:val="220"/>
        </w:trPr>
        <w:tc>
          <w:tcPr>
            <w:tcW w:w="3840" w:type="dxa"/>
            <w:vAlign w:val="bottom"/>
          </w:tcPr>
          <w:p>
            <w:pPr>
              <w:ind w:left="240"/>
              <w:spacing w:after="0"/>
              <w:rPr>
                <w:sz w:val="20"/>
                <w:szCs w:val="20"/>
                <w:color w:val="auto"/>
              </w:rPr>
            </w:pPr>
            <w:r>
              <w:rPr>
                <w:rFonts w:ascii="Arial" w:cs="Arial" w:eastAsia="Arial" w:hAnsi="Arial"/>
                <w:sz w:val="17"/>
                <w:szCs w:val="17"/>
                <w:color w:val="auto"/>
              </w:rPr>
              <w:t>Fourth</w:t>
            </w:r>
          </w:p>
        </w:tc>
        <w:tc>
          <w:tcPr>
            <w:tcW w:w="2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82.43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Pr>
          <w:p>
            <w:pPr>
              <w:spacing w:after="0"/>
              <w:rPr>
                <w:sz w:val="19"/>
                <w:szCs w:val="19"/>
                <w:color w:val="auto"/>
              </w:rPr>
            </w:pPr>
          </w:p>
        </w:tc>
      </w:tr>
    </w:tbl>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11" w:name="page12"/>
    <w:bookmarkEnd w:id="11"/>
    <w:p>
      <w:pPr>
        <w:jc w:val="both"/>
        <w:spacing w:after="0" w:line="278" w:lineRule="auto"/>
        <w:rPr>
          <w:sz w:val="20"/>
          <w:szCs w:val="20"/>
          <w:color w:val="auto"/>
        </w:rPr>
      </w:pPr>
      <w:r>
        <w:rPr>
          <w:rFonts w:ascii="Arial" w:cs="Arial" w:eastAsia="Arial" w:hAnsi="Arial"/>
          <w:sz w:val="16"/>
          <w:szCs w:val="16"/>
          <w:color w:val="auto"/>
        </w:rPr>
        <w:t>The following graph compares the cumulative total stockholder return on Schlumberger common stock with the cumulative total return on the Standard &amp; Poor’s 500 Index (“S&amp;P 500 Index”) and the cumulative total return on the Philadelphia Oil Service Index. It assumes $100 was invested on December 31, 2011 in Schlumberger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Five-Year Cumulative Total Return Among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Schlumberger Common Stock, the S&amp;P 500 Index and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138430</wp:posOffset>
            </wp:positionV>
            <wp:extent cx="5020945" cy="3404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2094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 Repurchases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July 18, 2013, the Schlumberger Board of Directors (the “Board”) approved a $10 billion share repurchase program for Schlumberger common stock, to be completed at the latest by June 30, 2018.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Schlumberger’s common stock repurchase program activity for the three months ended December 31, 2016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2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404"/>
        </w:trPr>
        <w:tc>
          <w:tcPr>
            <w:tcW w:w="5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Maximum Value</w:t>
            </w:r>
          </w:p>
        </w:tc>
      </w:tr>
      <w:tr>
        <w:trPr>
          <w:trHeight w:val="19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Shares Purchased</w:t>
            </w:r>
          </w:p>
        </w:tc>
        <w:tc>
          <w:tcPr>
            <w:tcW w:w="24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6"/>
              </w:rPr>
              <w:t>of Shares that may</w:t>
            </w:r>
          </w:p>
        </w:tc>
      </w:tr>
      <w:tr>
        <w:trPr>
          <w:trHeight w:val="19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as Part of Publicly</w:t>
            </w:r>
          </w:p>
        </w:tc>
        <w:tc>
          <w:tcPr>
            <w:tcW w:w="24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3"/>
              </w:rPr>
              <w:t>yet be Purchased</w:t>
            </w:r>
          </w:p>
        </w:tc>
      </w:tr>
      <w:tr>
        <w:trPr>
          <w:trHeight w:val="194"/>
        </w:trPr>
        <w:tc>
          <w:tcPr>
            <w:tcW w:w="59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4"/>
              </w:rPr>
              <w:t>Total 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97"/>
              <w:spacing w:after="0"/>
              <w:rPr>
                <w:sz w:val="20"/>
                <w:szCs w:val="20"/>
                <w:color w:val="auto"/>
              </w:rPr>
            </w:pPr>
            <w:r>
              <w:rPr>
                <w:rFonts w:ascii="Arial" w:cs="Arial" w:eastAsia="Arial" w:hAnsi="Arial"/>
                <w:sz w:val="16"/>
                <w:szCs w:val="16"/>
                <w:color w:val="auto"/>
                <w:w w:val="89"/>
              </w:rPr>
              <w:t>Average 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5"/>
              </w:rPr>
              <w:t>Under the</w:t>
            </w:r>
          </w:p>
        </w:tc>
      </w:tr>
      <w:tr>
        <w:trPr>
          <w:trHeight w:val="199"/>
        </w:trPr>
        <w:tc>
          <w:tcPr>
            <w:tcW w:w="590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Shares Purchased</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color w:val="auto"/>
                <w:w w:val="84"/>
              </w:rPr>
              <w:t>Paid per Share</w:t>
            </w:r>
          </w:p>
        </w:tc>
        <w:tc>
          <w:tcPr>
            <w:tcW w:w="22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Program</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6"/>
                <w:szCs w:val="16"/>
                <w:color w:val="auto"/>
                <w:w w:val="84"/>
              </w:rPr>
              <w:t>Program</w:t>
            </w:r>
          </w:p>
        </w:tc>
        <w:tc>
          <w:tcPr>
            <w:tcW w:w="100" w:type="dxa"/>
            <w:vAlign w:val="bottom"/>
            <w:tcBorders>
              <w:bottom w:val="single" w:sz="8" w:color="CFF0FC"/>
            </w:tcBorders>
          </w:tcPr>
          <w:p>
            <w:pPr>
              <w:spacing w:after="0"/>
              <w:rPr>
                <w:sz w:val="17"/>
                <w:szCs w:val="17"/>
                <w:color w:val="auto"/>
              </w:rPr>
            </w:pPr>
          </w:p>
        </w:tc>
      </w:t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October 1 through October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327.5</w:t>
            </w:r>
          </w:p>
        </w:tc>
        <w:tc>
          <w:tcPr>
            <w:tcW w:w="420" w:type="dxa"/>
            <w:vAlign w:val="bottom"/>
            <w:gridSpan w:val="2"/>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735,996</w:t>
            </w:r>
          </w:p>
        </w:tc>
        <w:tc>
          <w:tcPr>
            <w:tcW w:w="100" w:type="dxa"/>
            <w:vAlign w:val="bottom"/>
            <w:shd w:val="clear" w:color="auto" w:fill="CFF0FC"/>
          </w:tcPr>
          <w:p>
            <w:pPr>
              <w:spacing w:after="0"/>
              <w:rPr>
                <w:sz w:val="18"/>
                <w:szCs w:val="18"/>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November 1 through November 30, 2016</w:t>
            </w:r>
          </w:p>
        </w:tc>
        <w:tc>
          <w:tcPr>
            <w:tcW w:w="1180" w:type="dxa"/>
            <w:vAlign w:val="bottom"/>
          </w:tcPr>
          <w:p>
            <w:pPr>
              <w:jc w:val="right"/>
              <w:spacing w:after="0"/>
              <w:rPr>
                <w:sz w:val="20"/>
                <w:szCs w:val="20"/>
                <w:color w:val="auto"/>
              </w:rPr>
            </w:pPr>
            <w:r>
              <w:rPr>
                <w:rFonts w:ascii="Arial" w:cs="Arial" w:eastAsia="Arial" w:hAnsi="Arial"/>
                <w:sz w:val="17"/>
                <w:szCs w:val="17"/>
                <w:color w:val="auto"/>
              </w:rPr>
              <w:t>1,091.0</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78.22</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1,091.0</w:t>
            </w:r>
          </w:p>
        </w:tc>
        <w:tc>
          <w:tcPr>
            <w:tcW w:w="42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650,653</w:t>
            </w:r>
          </w:p>
        </w:tc>
        <w:tc>
          <w:tcPr>
            <w:tcW w:w="100" w:type="dxa"/>
            <w:vAlign w:val="bottom"/>
          </w:tcPr>
          <w:p>
            <w:pPr>
              <w:spacing w:after="0"/>
              <w:rPr>
                <w:sz w:val="19"/>
                <w:szCs w:val="19"/>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December 1 through December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79.02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71.0</w:t>
            </w:r>
          </w:p>
        </w:tc>
        <w:tc>
          <w:tcPr>
            <w:tcW w:w="420" w:type="dxa"/>
            <w:vAlign w:val="bottom"/>
            <w:gridSpan w:val="2"/>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645,040</w:t>
            </w:r>
          </w:p>
        </w:tc>
        <w:tc>
          <w:tcPr>
            <w:tcW w:w="100" w:type="dxa"/>
            <w:vAlign w:val="bottom"/>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1,489.5</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73.86</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1,489.5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exercise of stock options under Schlumberger’s stock incentive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January 21, 2016, the Board approved a new $10 billion share repurchase program for Schlumberger common stock. This new program will take effect once the remaining $0.6 billion authorized to be repurchased under the July 18, 2013 program is exhausted.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 Selected Financial Data.</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gridSpan w:val="8"/>
          </w:tcPr>
          <w:p>
            <w:pPr>
              <w:spacing w:after="0"/>
              <w:rPr>
                <w:sz w:val="20"/>
                <w:szCs w:val="20"/>
                <w:color w:val="auto"/>
              </w:rPr>
            </w:pPr>
            <w:r>
              <w:rPr>
                <w:rFonts w:ascii="Arial" w:cs="Arial" w:eastAsia="Arial" w:hAnsi="Arial"/>
                <w:sz w:val="14"/>
                <w:szCs w:val="14"/>
                <w:i w:val="1"/>
                <w:iCs w:val="1"/>
                <w:color w:val="auto"/>
                <w:w w:val="92"/>
              </w:rPr>
              <w:t>(Stated in millions, except per share amounts)</w:t>
            </w:r>
          </w:p>
        </w:tc>
      </w:tr>
      <w:tr>
        <w:trPr>
          <w:trHeight w:val="425"/>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7"/>
                <w:szCs w:val="17"/>
                <w:color w:val="auto"/>
              </w:rPr>
              <w:t>Year Ended December 31,</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5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2013</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120" w:type="dxa"/>
            <w:vAlign w:val="bottom"/>
            <w:tcBorders>
              <w:bottom w:val="single" w:sz="8" w:color="CFF0FC"/>
            </w:tcBorders>
          </w:tcPr>
          <w:p>
            <w:pPr>
              <w:spacing w:after="0"/>
              <w:rPr>
                <w:sz w:val="18"/>
                <w:szCs w:val="18"/>
                <w:color w:val="auto"/>
              </w:rPr>
            </w:pPr>
          </w:p>
        </w:tc>
      </w:tr>
      <w:tr>
        <w:trPr>
          <w:trHeight w:val="213"/>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27,810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35,475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48,580</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41,731</w:t>
            </w:r>
          </w:p>
        </w:tc>
        <w:tc>
          <w:tcPr>
            <w:tcW w:w="120" w:type="dxa"/>
            <w:vAlign w:val="bottom"/>
            <w:shd w:val="clear" w:color="auto" w:fill="CFF0FC"/>
          </w:tcPr>
          <w:p>
            <w:pPr>
              <w:spacing w:after="0"/>
              <w:rPr>
                <w:sz w:val="18"/>
                <w:szCs w:val="18"/>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Income (loss) from continuing operations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(1,687)</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2,072</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5,643</w:t>
            </w: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6,801</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5,230</w:t>
            </w:r>
          </w:p>
        </w:tc>
        <w:tc>
          <w:tcPr>
            <w:tcW w:w="12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(loss) per share from continuing operations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(1.24)</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Cash</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2,929</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2,793</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3,130</w:t>
            </w: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3,472</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1,905</w:t>
            </w:r>
          </w:p>
        </w:tc>
        <w:tc>
          <w:tcPr>
            <w:tcW w:w="12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Short-term investments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10,241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4,371</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4,369</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Working capital</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8,868</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12,791</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10,518</w:t>
            </w: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12,700</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11,788</w:t>
            </w:r>
          </w:p>
        </w:tc>
        <w:tc>
          <w:tcPr>
            <w:tcW w:w="12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Fixed income investments, held to maturity</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77,956</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68,005</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66,904</w:t>
            </w: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67,100</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61,547</w:t>
            </w:r>
          </w:p>
        </w:tc>
        <w:tc>
          <w:tcPr>
            <w:tcW w:w="12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16,463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10,565</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9,509</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Total debt</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19,616</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18,999</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13,330</w:t>
            </w: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13,176</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11,630</w:t>
            </w:r>
          </w:p>
        </w:tc>
        <w:tc>
          <w:tcPr>
            <w:tcW w:w="12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Schlumberger stockholders' equity</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41,078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35,633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37,850</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34,751</w:t>
            </w:r>
          </w:p>
        </w:tc>
        <w:tc>
          <w:tcPr>
            <w:tcW w:w="120" w:type="dxa"/>
            <w:vAlign w:val="bottom"/>
            <w:shd w:val="clear" w:color="auto" w:fill="CFF0FC"/>
          </w:tcPr>
          <w:p>
            <w:pPr>
              <w:spacing w:after="0"/>
              <w:rPr>
                <w:sz w:val="19"/>
                <w:szCs w:val="19"/>
                <w:color w:val="auto"/>
              </w:rPr>
            </w:pPr>
          </w:p>
        </w:tc>
      </w:tr>
      <w:tr>
        <w:trPr>
          <w:trHeight w:val="225"/>
        </w:trPr>
        <w:tc>
          <w:tcPr>
            <w:tcW w:w="5240" w:type="dxa"/>
            <w:vAlign w:val="bottom"/>
          </w:tcPr>
          <w:p>
            <w:pPr>
              <w:spacing w:after="0"/>
              <w:rPr>
                <w:sz w:val="20"/>
                <w:szCs w:val="20"/>
                <w:color w:val="auto"/>
              </w:rPr>
            </w:pPr>
            <w:r>
              <w:rPr>
                <w:rFonts w:ascii="Arial" w:cs="Arial" w:eastAsia="Arial" w:hAnsi="Arial"/>
                <w:sz w:val="17"/>
                <w:szCs w:val="17"/>
                <w:color w:val="auto"/>
              </w:rPr>
              <w:t>Cash dividends declared per share</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2.00</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1.60</w:t>
            </w:r>
          </w:p>
        </w:tc>
        <w:tc>
          <w:tcPr>
            <w:tcW w:w="5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1.25</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2016 Executive Overview</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 2016, Schlumberger completed its acquisition of Cameron, combining their complementary portfolios into a pore-to-pipeline products and services offering for the world’s oil and gas industry. The transaction enables the creation of technology-driven growth by integrating Schlumberger reservoir and well technology with Cameron wellhead and surface equipment, flow control and processing technology.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revenue of $27.8 billion in 2016 represented a decrease of 22% from 2015, despite three quarters of activity from the acquired Cameron Group, which contributed $4.2 billion in revenue. Excluding the Cameron Group, revenue declined 34%. This revenue drop was due to continued weakness in exploration and production spending as a result of the deepest and longest industry crisis in more than 30 years.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year began with Brent crude prices experiencing the sharpest fall in 30 years to $26 per barrel in January 2016, thus continuing the downturn that the oil and gas industry endured during the previous year.</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Given two successive years of investment cuts, oil supply growth slowed significantly despite record OPEC production. Non-OPEC production fell sharply, largely due to a significant drop in US light tight oil production. However, robust global demand enabled the oil markets to tighten and draw down on the vast accumulation of crude and product stocks by mid-year.</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year’s end was marked by OPEC and certain non-OPEC countries, including Russia, agreeing to cut production by a combined 1.7 million barrels per day. These agreements are expected to accelerate the drawdown of stocks in 2017 and have subsequently spurred a recovery in oil prices, which reached $55 per barrel at the end of 2016.</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natural gas markets, US production declined during 2016 as a result of the drop in gas drilling activity, while demand growth was robust throughout the year. Low gas prices during most of 2016 encouraged the power sector to continue to favor gas over coal. The year was also marked by the start-up of the Sabine Pass liquefied natural gas (LNG) plant in Texas, which exported its first shipment in early 2016, thus starting a trend that should make the US the third largest exporter of LNG by the end of 2020.</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Europe continued to see modest demand growth due in part to coal plant retirements. Gas prices, however, fell to a seven-year low as supplies from Russia, Norway and North Africa reached record highs. The Asian markets continued to be in slow growth mode, albeit with slight improvements in China. Nonetheless, oversupply persisted as Australian LNG exports ramped up, driving LNG prices down even further from the already low-levels of 2015. The global outlook for LNG is largely unchanged, with continued oversupply and low prices.</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Schlumberger’s financial performance in 2016 was severely impacted by the significant decrease in land-based activity, particularly in North America where the average land rig count dropped 46% as compared to the previous year. Supply overcapacity in the land market remained high for most of 2016, resulting in pricing pressure across a broad range of oilfield services. As a result, North America revenue, excluding the impact of the Cameron Group, declined 48% due to a decrease in US land revenue of 52%. Including the Cameron Group, North America revenue decreased 32%. Internationally, revenue declined 28%, excluding the impact of Cameron (17% including the Cameron Group) due to customer budget cuts, activity disruptions and a shift in revenue mix that impacted Schlumberger’s results in most basins and market segments around the world. Revenue in the Europe, CIS &amp; Africa Area decreased due to lower demand for exploration and development-related products and services as E&amp;P budgets were reduced, particularly in Sub-Saharan Africa. In Latin America, revenue declined due to customer budget constraints across the Area and, more specifically, in Venezuela where operations were scaled back to align with collections. Middle East &amp; Asia revenue decreased primarily due to reduced activity in Asia-Pacific countries, while robust activity in the Middle East was more than offset by pricing concessions.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Since the start of this downturn, and as it deepened during 2016, Schlumberger has navigated the commercial landscape by balancing pricing concessions and market share and also by proactively removing significant costs through workforce reductions, internal efficiency improvements and strong supply chain management. As a result, Schlumberger has delivered superior financial results by maintaining pretax operating margins well above 10% and delivering sufficient free cash flow to cover a range of strategic capital investments, as well as our ongoing dividend commitments.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both"/>
        <w:spacing w:after="0" w:line="283" w:lineRule="auto"/>
        <w:rPr>
          <w:sz w:val="20"/>
          <w:szCs w:val="20"/>
          <w:color w:val="auto"/>
        </w:rPr>
      </w:pPr>
      <w:r>
        <w:rPr>
          <w:rFonts w:ascii="Arial" w:cs="Arial" w:eastAsia="Arial" w:hAnsi="Arial"/>
          <w:sz w:val="17"/>
          <w:szCs w:val="17"/>
          <w:color w:val="auto"/>
        </w:rPr>
        <w:t>After nine quarters of unprecedented activity decline, the business environment stabilized in the third quarter of 2016 and revenue increased slightly in the fourth quarter, suggesting that the bottom of this cycle has been reached.</w:t>
      </w:r>
    </w:p>
    <w:p>
      <w:pPr>
        <w:spacing w:after="0" w:line="159"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Schlumberger expects the growth in E&amp;P investments in 2017 to be led initially by land operators in North America. E&amp;P spending surveys currently indicate that 2017 E&amp;P investments in North America will increase by approximately 30%, which should lead to both higher activity and a recovery in service industry pricing.</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Schlumberger expects the 2017 recovery in the international markets to proceed more slowly than in North America. This will likely lead to a third successive year of underinvestment, with a continued low rate of new project approvals and an accelerating production decline in the aging production base. These factors taken together are increasing the likelihood of a significant supply deficit in the medium term, which can only be avoided by a broad-based global increase in E&amp;P spending, which is expected to start unfolding in the later parts of 2017 and leading into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Fourth Quarter 2016 Results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r>
      <w:tr>
        <w:trPr>
          <w:trHeight w:val="425"/>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7"/>
                <w:szCs w:val="17"/>
                <w:b w:val="1"/>
                <w:bCs w:val="1"/>
                <w:color w:val="auto"/>
              </w:rPr>
              <w:t>Fourth Quarter 2016</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7"/>
                <w:szCs w:val="17"/>
                <w:color w:val="auto"/>
              </w:rPr>
              <w:t>Third Quarter 2016</w:t>
            </w:r>
          </w:p>
        </w:tc>
        <w:tc>
          <w:tcPr>
            <w:tcW w:w="100" w:type="dxa"/>
            <w:vAlign w:val="bottom"/>
          </w:tcPr>
          <w:p>
            <w:pPr>
              <w:spacing w:after="0"/>
              <w:rPr>
                <w:sz w:val="24"/>
                <w:szCs w:val="24"/>
                <w:color w:val="auto"/>
              </w:rPr>
            </w:pPr>
          </w:p>
        </w:tc>
      </w:tr>
      <w:tr>
        <w:trPr>
          <w:trHeight w:val="207"/>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Income</w:t>
            </w:r>
          </w:p>
        </w:tc>
      </w:tr>
      <w:tr>
        <w:trPr>
          <w:trHeight w:val="220"/>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Before</w:t>
            </w:r>
          </w:p>
        </w:tc>
      </w:tr>
      <w:tr>
        <w:trPr>
          <w:trHeight w:val="225"/>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8"/>
              </w:rPr>
              <w:t>Revenue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2"/>
              </w:rPr>
              <w:t>Taxes</w:t>
            </w: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w w:val="99"/>
              </w:rPr>
              <w:t>Revenue</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Taxes</w:t>
            </w:r>
          </w:p>
        </w:tc>
      </w:tr>
      <w:tr>
        <w:trPr>
          <w:trHeight w:val="21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1,699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316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1,689</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Drilling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9"/>
                <w:szCs w:val="19"/>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FF0FC"/>
          </w:tcPr>
          <w:p>
            <w:pPr>
              <w:spacing w:after="0"/>
              <w:rPr>
                <w:sz w:val="19"/>
                <w:szCs w:val="19"/>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Cameron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(60)</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w:t>
            </w:r>
          </w:p>
        </w:tc>
      </w:tr>
      <w:tr>
        <w:trPr>
          <w:trHeight w:val="213"/>
        </w:trPr>
        <w:tc>
          <w:tcPr>
            <w:tcW w:w="590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w:t>
            </w:r>
          </w:p>
        </w:tc>
        <w:tc>
          <w:tcPr>
            <w:tcW w:w="100" w:type="dxa"/>
            <w:vAlign w:val="bottom"/>
          </w:tcPr>
          <w:p>
            <w:pPr>
              <w:spacing w:after="0"/>
              <w:rPr>
                <w:sz w:val="18"/>
                <w:szCs w:val="18"/>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(245)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(267)</w:t>
            </w: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(126)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(135)</w:t>
            </w: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(675)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(237)</w:t>
            </w:r>
          </w:p>
        </w:tc>
      </w:tr>
      <w:tr>
        <w:trPr>
          <w:trHeight w:val="213"/>
        </w:trPr>
        <w:tc>
          <w:tcPr>
            <w:tcW w:w="5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7,019</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ind w:left="380" w:hanging="377"/>
        <w:spacing w:after="0" w:line="198" w:lineRule="auto"/>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0" w:lineRule="exact"/>
        <w:rPr>
          <w:rFonts w:ascii="Arial" w:cs="Arial" w:eastAsia="Arial" w:hAnsi="Arial"/>
          <w:sz w:val="25"/>
          <w:szCs w:val="25"/>
          <w:color w:val="auto"/>
          <w:vertAlign w:val="superscript"/>
        </w:rPr>
      </w:pPr>
    </w:p>
    <w:p>
      <w:pPr>
        <w:ind w:left="380" w:hanging="377"/>
        <w:spacing w:after="0"/>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Excludes interest income included in the segments’ income (fourth quarter 2016: $7 million; third quarter 2016: $7 million).</w:t>
      </w:r>
    </w:p>
    <w:p>
      <w:pPr>
        <w:spacing w:after="0" w:line="125" w:lineRule="exact"/>
        <w:rPr>
          <w:rFonts w:ascii="Arial" w:cs="Arial" w:eastAsia="Arial" w:hAnsi="Arial"/>
          <w:sz w:val="25"/>
          <w:szCs w:val="25"/>
          <w:color w:val="auto"/>
          <w:vertAlign w:val="superscript"/>
        </w:rPr>
      </w:pPr>
    </w:p>
    <w:p>
      <w:pPr>
        <w:ind w:left="380" w:hanging="377"/>
        <w:spacing w:after="0" w:line="183" w:lineRule="auto"/>
        <w:tabs>
          <w:tab w:leader="none" w:pos="3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Excludes interest expense included in the segments’ income (fourth quarter 2016: $13 million; third quarter 2016: $14 million).</w:t>
      </w:r>
    </w:p>
    <w:p>
      <w:pPr>
        <w:spacing w:after="0" w:line="125" w:lineRule="exact"/>
        <w:rPr>
          <w:rFonts w:ascii="Arial" w:cs="Arial" w:eastAsia="Arial" w:hAnsi="Arial"/>
          <w:sz w:val="21"/>
          <w:szCs w:val="21"/>
          <w:color w:val="auto"/>
          <w:vertAlign w:val="superscript"/>
        </w:rPr>
      </w:pPr>
    </w:p>
    <w:p>
      <w:pPr>
        <w:ind w:left="380" w:hanging="377"/>
        <w:spacing w:after="0" w:line="183" w:lineRule="auto"/>
        <w:tabs>
          <w:tab w:leader="none" w:pos="3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 xml:space="preserve">Charges and credits are described in detail in Note 3 to the </w:t>
      </w:r>
      <w:r>
        <w:rPr>
          <w:rFonts w:ascii="Arial" w:cs="Arial" w:eastAsia="Arial" w:hAnsi="Arial"/>
          <w:sz w:val="13"/>
          <w:szCs w:val="13"/>
          <w:i w:val="1"/>
          <w:iCs w:val="1"/>
          <w:color w:val="auto"/>
        </w:rPr>
        <w:t>Consolidated Financial Statements</w:t>
      </w:r>
      <w:r>
        <w:rPr>
          <w:rFonts w:ascii="Arial" w:cs="Arial" w:eastAsia="Arial" w:hAnsi="Arial"/>
          <w:sz w:val="13"/>
          <w:szCs w:val="13"/>
          <w:color w:val="auto"/>
        </w:rPr>
        <w:t>.</w:t>
      </w:r>
    </w:p>
    <w:p>
      <w:pPr>
        <w:spacing w:after="0" w:line="20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Fourth-quarter revenue of $7.1 billion increased 1% sequentially. This increase was primarily driven by the Production Group, which grew 5% due to increased hydraulic fracturing activity in the Middle East and in North America land.</w:t>
      </w:r>
    </w:p>
    <w:p>
      <w:pPr>
        <w:spacing w:after="0" w:line="15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Fourth-quarter pretax operating margin was essentially flat sequentially at 11.4% as margin improvements in the Production and Drilling Groups were balanced by contractions in the Cameron and Reservoir Characterization Groups.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Reservoir Characterization Group</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Fourth-quarter revenue of $1.7 billion increased 1% sequentially due to the ramp-up in Testing &amp; Process activity in Kuwait and increased software license and maintenance sales. These effects were slightly offset by the seasonal decrease in Wireline activity in Norway and Russia.</w:t>
      </w:r>
    </w:p>
    <w:p>
      <w:pPr>
        <w:spacing w:after="0" w:line="15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Pretax operating margin of 19% decreased 49 basis points (bps) sequentially as the increased contribution from software and maintenance sales was more than offset by the decline in high-margin Wireline activities.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Drilling Group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Fourth-quarter revenue of $2.0 billion was flat sequentially as the continued strong directional drilling activity in North America land was offset by lower drilling activity in the International Areas. The improvement in North America revenue primarily came from increased uptake of Drilling &amp; Measurements, Bits &amp; Drilling Tools technologies. The lower revenue in the International Areas was primarily due to completed Drilling &amp; Measurement projects, while the winter slowdown in Russia and Norway affected Drilling &amp; Measurements and M-I SWACO activity.</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Pretax operating margin of 12% expanded 81 bps sequentially despite revenue being flat. This was largely due to pricing improvements from greater uptake of drilling technologies on increasing activity on land in the US, which mainly affected Drilling &amp; Measurements and Bits &amp; Drilling Tools.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 Group</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Fourth-quarter revenue of $2.2 billion increased 5% sequentially as a result of strong fracturing activity on unconventional resource developments on land in the Middle East, mainly in Saudi Arabia, and in North America where the land rig count and fracturing stage count increased. Revenue on land in the US increased both on volume and on a modest pricing recovery.</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Pretax operating margin of 6% increased 134 bps sequentially on increased activity, which drove efficiency and better operational execution in the Middle East. The modest pricing recovery on land in the US also contributed to the margin expansion.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Cameron Group</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Fourth-quarter revenue of $1.3 billion was flat sequentially. Among the Group’s businesses, OneSubsea reported an 11% sequential increase from strong project activity and execution, while Surface Systems posted strong sales in the Middle East. These increases, however, were offset by a decline in revenue in Drilling Systems driven by a declining backlog and lower bookings. Valves &amp; Measurement was also lower following the prior quarter’s strong international shipments.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Pretax operating margin of 14% declined 207 bps sequentially due to the drop in high-margin Drilling Systems project volume.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Full-Year 2016 Results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425"/>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7"/>
                <w:szCs w:val="17"/>
                <w:b w:val="1"/>
                <w:bCs w:val="1"/>
                <w:color w:val="auto"/>
              </w:rPr>
              <w:t>2016</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2015</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Income</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Before</w:t>
            </w:r>
          </w:p>
        </w:tc>
        <w:tc>
          <w:tcPr>
            <w:tcW w:w="0" w:type="dxa"/>
            <w:vAlign w:val="bottom"/>
          </w:tcPr>
          <w:p>
            <w:pPr>
              <w:spacing w:after="0"/>
              <w:rPr>
                <w:sz w:val="1"/>
                <w:szCs w:val="1"/>
                <w:color w:val="auto"/>
              </w:rPr>
            </w:pPr>
          </w:p>
        </w:tc>
      </w:tr>
      <w:tr>
        <w:trPr>
          <w:trHeight w:val="225"/>
        </w:trPr>
        <w:tc>
          <w:tcPr>
            <w:tcW w:w="59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8"/>
              </w:rPr>
              <w:t>Revenue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82"/>
              </w:rPr>
              <w:t>Taxes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99"/>
              </w:rPr>
              <w:t>Revenue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6"/>
              </w:rPr>
              <w:t>Taxes</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6,743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1,228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Drilling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8,561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8,709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Cameron</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(414)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(130)</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3"/>
        </w:trPr>
        <w:tc>
          <w:tcPr>
            <w:tcW w:w="590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(925)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(517)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(3,820)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(2,575)</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27,810</w:t>
            </w:r>
          </w:p>
        </w:tc>
        <w:tc>
          <w:tcPr>
            <w:tcW w:w="14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(1,905)</w:t>
            </w:r>
          </w:p>
        </w:tc>
        <w:tc>
          <w:tcPr>
            <w:tcW w:w="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35,475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left="380" w:hanging="377"/>
        <w:spacing w:after="0" w:line="213" w:lineRule="auto"/>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Full-year 2016 includes $189 million of amortization expense associated with intangible assets recorded as a result of the acquisition of Cameron, which was completed on April 1, 2016.</w:t>
      </w:r>
    </w:p>
    <w:p>
      <w:pPr>
        <w:spacing w:after="0" w:line="11" w:lineRule="exact"/>
        <w:rPr>
          <w:rFonts w:ascii="Arial" w:cs="Arial" w:eastAsia="Arial" w:hAnsi="Arial"/>
          <w:sz w:val="25"/>
          <w:szCs w:val="25"/>
          <w:color w:val="auto"/>
          <w:vertAlign w:val="superscript"/>
        </w:rPr>
      </w:pPr>
    </w:p>
    <w:p>
      <w:pPr>
        <w:ind w:left="380" w:hanging="377"/>
        <w:spacing w:after="0"/>
        <w:tabs>
          <w:tab w:leader="none" w:pos="38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Excludes interest income included in the segments’ income (2016: $26 million; 2015: $22 million).</w:t>
      </w:r>
    </w:p>
    <w:p>
      <w:pPr>
        <w:spacing w:after="0" w:line="113" w:lineRule="exact"/>
        <w:rPr>
          <w:rFonts w:ascii="Arial" w:cs="Arial" w:eastAsia="Arial" w:hAnsi="Arial"/>
          <w:sz w:val="25"/>
          <w:szCs w:val="25"/>
          <w:color w:val="auto"/>
          <w:vertAlign w:val="superscript"/>
        </w:rPr>
      </w:pPr>
    </w:p>
    <w:p>
      <w:pPr>
        <w:ind w:left="380" w:hanging="377"/>
        <w:spacing w:after="0" w:line="183" w:lineRule="auto"/>
        <w:tabs>
          <w:tab w:leader="none" w:pos="38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Excludes interest expense included in the segments’ income (2016: $53 million; 2015: $30 million).</w:t>
      </w:r>
    </w:p>
    <w:p>
      <w:pPr>
        <w:spacing w:after="0" w:line="113" w:lineRule="exact"/>
        <w:rPr>
          <w:rFonts w:ascii="Arial" w:cs="Arial" w:eastAsia="Arial" w:hAnsi="Arial"/>
          <w:sz w:val="21"/>
          <w:szCs w:val="21"/>
          <w:color w:val="auto"/>
          <w:vertAlign w:val="superscript"/>
        </w:rPr>
      </w:pPr>
    </w:p>
    <w:p>
      <w:pPr>
        <w:ind w:left="380" w:hanging="377"/>
        <w:spacing w:after="0" w:line="183" w:lineRule="auto"/>
        <w:tabs>
          <w:tab w:leader="none" w:pos="38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 xml:space="preserve">Charges and credits are described in detail in Note 3 to the </w:t>
      </w:r>
      <w:r>
        <w:rPr>
          <w:rFonts w:ascii="Arial" w:cs="Arial" w:eastAsia="Arial" w:hAnsi="Arial"/>
          <w:sz w:val="13"/>
          <w:szCs w:val="13"/>
          <w:i w:val="1"/>
          <w:iCs w:val="1"/>
          <w:color w:val="auto"/>
        </w:rPr>
        <w:t>Consolidated Financial Statements</w:t>
      </w:r>
      <w:r>
        <w:rPr>
          <w:rFonts w:ascii="Arial" w:cs="Arial" w:eastAsia="Arial" w:hAnsi="Arial"/>
          <w:sz w:val="13"/>
          <w:szCs w:val="13"/>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16" w:name="page17"/>
    <w:bookmarkEnd w:id="16"/>
    <w:p>
      <w:pPr>
        <w:jc w:val="both"/>
        <w:spacing w:after="0" w:line="283" w:lineRule="auto"/>
        <w:rPr>
          <w:sz w:val="20"/>
          <w:szCs w:val="20"/>
          <w:color w:val="auto"/>
        </w:rPr>
      </w:pPr>
      <w:r>
        <w:rPr>
          <w:rFonts w:ascii="Arial" w:cs="Arial" w:eastAsia="Arial" w:hAnsi="Arial"/>
          <w:sz w:val="17"/>
          <w:szCs w:val="17"/>
          <w:color w:val="auto"/>
        </w:rPr>
        <w:t>Full-year 2016 revenue of $27.8 billion decreased 22% year-on-year. This included nine months of activity from the acquired Cameron Group, which contributed $4.2 billion of revenue.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Full-year 2016 revenue from the Reservoir Characterization and Production Groups declined by 31% and 29%, respectively, as a result of lower demand for exploration- and development-related products and services as E&amp;P budgets were further reduced. Drilling Group revenue fell 37% due to the rig count decline in both North America and internationally.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Full-year 2016 pretax operating income margin decreased 658 bps to 12% as a result of the overall decline in activity and pervasive pricing concessions. The margin decrease was highest in the Reservoir Characterization Group, which contracted by 710 bps to 18%. Drilling Group pretax operating margin fell 710 bps to 12%, while the Production Group decreased 669 bps to 6%. The Cameron Group posted a pretax margin of 16%.</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Reservoir Characterization Group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Full-year 2016 revenue of $6.7 billion decreased 31% year-on-year primarily due to sustained cuts in exploration and discretionary spending.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decreased 710 bps to 18% due to reduced high-margin Wireline and Testing Services activities.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Drilling Group</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Full-year 2016 revenue of $8.6 billion decreased 37% year-on-year primarily due to the severe drop in rig count in both North America and internationally combined with pricing pressure that mainly affected Drilling &amp; Measurements and M-I SWACO activity.</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Year-on-year, pretax operating margin decreased 710 bps to 12% primarily due to the significant decline in higher-margin activities of Drilling &amp; Measurements combined with pricing weakness.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 Group</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Full-year 2016 revenue of $8.7 billion decreased 29% year-on-year with most of the decrease attributable to a decline in North America, particularly on Well Services pressure pumping technologies driven by activity declines and pricing pressure as the land rig count declined dramatically.</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Year-on-year, pretax operating margin decreased 669 bps to 6% as a result of lower activity and increasing pricing pressure, which continued to impact North America land.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Cameron Group</w:t>
      </w:r>
    </w:p>
    <w:p>
      <w:pPr>
        <w:spacing w:after="0" w:line="121"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Cameron Group contributed nine-month revenue of $4.2 billion and pretax operating margin of 16%. Revenue was impacted by a declining project backlog as well as a further slowdown in North America land activity, which also affected the short-cycle businesses of the Valves &amp; Measurement and Surface product lines.</w:t>
      </w:r>
    </w:p>
    <w:p>
      <w:pPr>
        <w:spacing w:after="0" w:line="13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Pretax operating margin of 16% was driven by strong project execution and manufacturing efficiency in OneSubsea and overall cost control across the Group.</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u w:val="single" w:color="auto"/>
          <w:color w:val="auto"/>
        </w:rPr>
        <w:t>Full-Year 2015 Results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r>
      <w:tr>
        <w:trPr>
          <w:trHeight w:val="425"/>
        </w:trPr>
        <w:tc>
          <w:tcPr>
            <w:tcW w:w="5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7"/>
                <w:szCs w:val="17"/>
                <w:b w:val="1"/>
                <w:bCs w:val="1"/>
                <w:color w:val="auto"/>
              </w:rPr>
              <w:t>2015</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2014</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color w:val="auto"/>
                <w:w w:val="93"/>
              </w:rPr>
              <w:t>Income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Income</w:t>
            </w:r>
          </w:p>
        </w:tc>
      </w:tr>
      <w:tr>
        <w:trPr>
          <w:trHeight w:val="220"/>
        </w:trPr>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color w:val="auto"/>
                <w:w w:val="95"/>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Before</w:t>
            </w:r>
          </w:p>
        </w:tc>
      </w:tr>
      <w:tr>
        <w:trPr>
          <w:trHeight w:val="219"/>
        </w:trPr>
        <w:tc>
          <w:tcPr>
            <w:tcW w:w="59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99"/>
              </w:rPr>
              <w:t>Revenue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86"/>
              </w:rPr>
              <w:t>Taxes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99"/>
              </w:rPr>
              <w:t>Revenue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6"/>
              </w:rPr>
              <w:t>Taxes</w:t>
            </w:r>
          </w:p>
        </w:tc>
        <w:tc>
          <w:tcPr>
            <w:tcW w:w="100" w:type="dxa"/>
            <w:vAlign w:val="bottom"/>
            <w:tcBorders>
              <w:bottom w:val="single" w:sz="8" w:color="CFF0FC"/>
            </w:tcBorders>
          </w:tcPr>
          <w:p>
            <w:pPr>
              <w:spacing w:after="0"/>
              <w:rPr>
                <w:sz w:val="19"/>
                <w:szCs w:val="19"/>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9,738</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13,339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3,770</w:t>
            </w:r>
          </w:p>
        </w:tc>
        <w:tc>
          <w:tcPr>
            <w:tcW w:w="100" w:type="dxa"/>
            <w:vAlign w:val="bottom"/>
            <w:shd w:val="clear" w:color="auto" w:fill="CFF0FC"/>
          </w:tcPr>
          <w:p>
            <w:pPr>
              <w:spacing w:after="0"/>
              <w:rPr>
                <w:sz w:val="18"/>
                <w:szCs w:val="18"/>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Drilling</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13,563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Pr>
          <w:p>
            <w:pPr>
              <w:spacing w:after="0"/>
              <w:rPr>
                <w:sz w:val="19"/>
                <w:szCs w:val="19"/>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17,329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3,130</w:t>
            </w:r>
          </w:p>
        </w:tc>
        <w:tc>
          <w:tcPr>
            <w:tcW w:w="100" w:type="dxa"/>
            <w:vAlign w:val="bottom"/>
            <w:shd w:val="clear" w:color="auto" w:fill="CFF0FC"/>
          </w:tcPr>
          <w:p>
            <w:pPr>
              <w:spacing w:after="0"/>
              <w:rPr>
                <w:sz w:val="19"/>
                <w:szCs w:val="19"/>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Eliminations &amp; other</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(129)</w:t>
            </w:r>
          </w:p>
        </w:tc>
      </w:tr>
      <w:tr>
        <w:trPr>
          <w:trHeight w:val="213"/>
        </w:trPr>
        <w:tc>
          <w:tcPr>
            <w:tcW w:w="5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Pretax operating income</w:t>
            </w: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6,510</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(768)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(848)</w:t>
            </w: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FF0FC"/>
          </w:tcPr>
          <w:p>
            <w:pPr>
              <w:spacing w:after="0"/>
              <w:rPr>
                <w:sz w:val="19"/>
                <w:szCs w:val="19"/>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(316)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(347)</w:t>
            </w: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Charges and credits </w:t>
            </w:r>
            <w:r>
              <w:rPr>
                <w:rFonts w:ascii="Arial" w:cs="Arial" w:eastAsia="Arial" w:hAnsi="Arial"/>
                <w:sz w:val="14"/>
                <w:szCs w:val="14"/>
                <w:color w:val="auto"/>
              </w:rPr>
              <w:t>(4)</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(2,575)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(1,773)</w:t>
            </w:r>
          </w:p>
        </w:tc>
      </w:tr>
      <w:tr>
        <w:trPr>
          <w:trHeight w:val="20"/>
        </w:trPr>
        <w:tc>
          <w:tcPr>
            <w:tcW w:w="5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59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35,475</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2,881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48,580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7,639</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ind w:left="380" w:hanging="377"/>
        <w:spacing w:after="0" w:line="198" w:lineRule="auto"/>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0" w:lineRule="exact"/>
        <w:rPr>
          <w:rFonts w:ascii="Arial" w:cs="Arial" w:eastAsia="Arial" w:hAnsi="Arial"/>
          <w:sz w:val="25"/>
          <w:szCs w:val="25"/>
          <w:color w:val="auto"/>
          <w:vertAlign w:val="superscript"/>
        </w:rPr>
      </w:pPr>
    </w:p>
    <w:p>
      <w:pPr>
        <w:ind w:left="380" w:hanging="377"/>
        <w:spacing w:after="0"/>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Excludes interest income included in the segments’ income (2015: $22 million; 2014: $20 million).</w:t>
      </w:r>
    </w:p>
    <w:p>
      <w:pPr>
        <w:spacing w:after="0" w:line="113" w:lineRule="exact"/>
        <w:rPr>
          <w:rFonts w:ascii="Arial" w:cs="Arial" w:eastAsia="Arial" w:hAnsi="Arial"/>
          <w:sz w:val="25"/>
          <w:szCs w:val="25"/>
          <w:color w:val="auto"/>
          <w:vertAlign w:val="superscript"/>
        </w:rPr>
      </w:pPr>
    </w:p>
    <w:p>
      <w:pPr>
        <w:ind w:left="380" w:hanging="377"/>
        <w:spacing w:after="0" w:line="183" w:lineRule="auto"/>
        <w:tabs>
          <w:tab w:leader="none" w:pos="3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Excludes interest expense included in the segments’ income (2015: $30 million; 2014: $22 million).</w:t>
      </w:r>
    </w:p>
    <w:p>
      <w:pPr>
        <w:spacing w:after="0" w:line="113" w:lineRule="exact"/>
        <w:rPr>
          <w:rFonts w:ascii="Arial" w:cs="Arial" w:eastAsia="Arial" w:hAnsi="Arial"/>
          <w:sz w:val="21"/>
          <w:szCs w:val="21"/>
          <w:color w:val="auto"/>
          <w:vertAlign w:val="superscript"/>
        </w:rPr>
      </w:pPr>
    </w:p>
    <w:p>
      <w:pPr>
        <w:ind w:left="380" w:hanging="377"/>
        <w:spacing w:after="0" w:line="183" w:lineRule="auto"/>
        <w:tabs>
          <w:tab w:leader="none" w:pos="3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 xml:space="preserve">Charges and credits are described in detail in Note 3 to the </w:t>
      </w:r>
      <w:r>
        <w:rPr>
          <w:rFonts w:ascii="Arial" w:cs="Arial" w:eastAsia="Arial" w:hAnsi="Arial"/>
          <w:sz w:val="13"/>
          <w:szCs w:val="13"/>
          <w:i w:val="1"/>
          <w:iCs w:val="1"/>
          <w:color w:val="auto"/>
        </w:rPr>
        <w:t>Consolidated Financial Statements</w:t>
      </w:r>
      <w:r>
        <w:rPr>
          <w:rFonts w:ascii="Arial" w:cs="Arial" w:eastAsia="Arial" w:hAnsi="Arial"/>
          <w:sz w:val="13"/>
          <w:szCs w:val="13"/>
          <w:color w:val="auto"/>
        </w:rPr>
        <w:t>.</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Full-year 2015 revenue of $35.5 billion decreased 27% year-on-year. This decrease was primarily due to customer budget cuts and pricing concessions as customers responded to lower commodity prices. Revenue was also impacted by the fall of certain currencies against the US dollar, which accounted for approximately 20% of the revenue decline.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Full-year 2015 revenue from the Reservoir Characterization and Drilling Groups declined by 27% and 25%, respectively, as a result of lower demand as E&amp;P budgets were reduced due to lower commodity prices. Production Group revenue fell by 29% due to activity reductions and pricing pressure as the land rig count dropped drastically in North America.</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Full-year 2015 pretax operating income margin decreased 342 bps to 18% as a result of the overall decline in activity combined with the pricing pressure which most notably impacted the businesses in North America.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Reservoir Characterization Group</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Full-year 2015 revenue of $9.7 billion was 27% lower than the same period last year primarily due to sustained customer cuts in exploration and discretionary spending that impacted all Technologies.</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Year-on-year, pretax operating margin decreased 295 bps to 25% as a result of an unfavorable overall revenue mix reflecting the decline in high-margin exploration activity as well as lower high-margin multiclient and software sales.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Drilling Group</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Full-year 2015 revenue of $13.6 billion was 25% lower than the previous year primarily due to the severe drop in rig count in North America, reduced activity levels and service pricing concessions internationally. Unfavorable currency effects in Russia and Venezuela also contributed to the decline.</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Year-on-year, pretax operating margin decreased 228 bps to 19%, primarily due to a decrease in higher-margin activities of Drilling &amp; Measurements as well as pricing concessions. Despite the revenue decline, prompt action on cost management and the benefit of a local cost structure that minimized the impact of unfavorable currency effects on pretax operating income helped limit the operating margin decline.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Production Group</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Full-year 2015 revenue of $12.3 billion decreased 29% year-on-year, with approximately two-thirds of the decline attributable to Well Services pressure pumping technologies as a result of activity reductions and pricing pressure as the land rig count declined dramatically in North America.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declined 531 bps to 13% as lower activity and increasing pricing pressure continued in North America land.</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Interest and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&amp; other income </w:t>
      </w:r>
      <w:r>
        <w:rPr>
          <w:rFonts w:ascii="Arial" w:cs="Arial" w:eastAsia="Arial" w:hAnsi="Arial"/>
          <w:sz w:val="17"/>
          <w:szCs w:val="17"/>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720" w:type="dxa"/>
            <w:vAlign w:val="bottom"/>
            <w:tcBorders>
              <w:bottom w:val="single" w:sz="8" w:color="CFF0FC"/>
            </w:tcBorders>
          </w:tcPr>
          <w:p>
            <w:pPr>
              <w:spacing w:after="0"/>
              <w:rPr>
                <w:sz w:val="24"/>
                <w:szCs w:val="24"/>
                <w:color w:val="auto"/>
              </w:rPr>
            </w:pPr>
          </w:p>
        </w:tc>
        <w:tc>
          <w:tcPr>
            <w:tcW w:w="20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2016</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20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FF0FC"/>
          </w:tcPr>
          <w:p>
            <w:pPr>
              <w:spacing w:after="0"/>
              <w:rPr>
                <w:sz w:val="18"/>
                <w:szCs w:val="18"/>
                <w:color w:val="auto"/>
              </w:rPr>
            </w:pPr>
          </w:p>
        </w:tc>
      </w:tr>
      <w:tr>
        <w:trPr>
          <w:trHeight w:val="220"/>
        </w:trPr>
        <w:tc>
          <w:tcPr>
            <w:tcW w:w="4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Earnings of equity method investments</w:t>
            </w:r>
          </w:p>
        </w:tc>
        <w:tc>
          <w:tcPr>
            <w:tcW w:w="20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FF0FC"/>
            </w:tcBorders>
          </w:tcPr>
          <w:p>
            <w:pPr>
              <w:spacing w:after="0"/>
              <w:rPr>
                <w:sz w:val="19"/>
                <w:szCs w:val="19"/>
                <w:color w:val="auto"/>
              </w:rPr>
            </w:pPr>
          </w:p>
        </w:tc>
      </w:tr>
      <w:tr>
        <w:trPr>
          <w:trHeight w:val="213"/>
        </w:trPr>
        <w:tc>
          <w:tcPr>
            <w:tcW w:w="47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200</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FF0FC"/>
          </w:tcPr>
          <w:p>
            <w:pPr>
              <w:spacing w:after="0"/>
              <w:rPr>
                <w:sz w:val="18"/>
                <w:szCs w:val="18"/>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9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increase in interest income in 2016 as compared to 2015 and 2014 is primarily attributable to the higher cash and short-term investment balances as a result of the issuance of $6.0 billion of Senior Notes during the fourth quarter of 2015.</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decrease in earnings of equity method investments primarily reflects the effects of the downturn in the oil and gas industry, which has negatively impacted the majority of Schlumberger’s investments in affiliates, particularly those in North America. The decrease in 2016 also reflects the fact that Schlumberger stopped recording equity income from the OneSubsea joint venture in April 2016 as a result of Schlumberger’s acquisition of Cameron.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Interest Expense</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Interest expense of $570 million in 2016 increased by $224 million compared to 2015 primarily due to the issuance of $6.0 billion of Senior Notes during the fourth quarter of 2015 and the impact of the $3.0 billion of debt assumed in the acquisition of Cameron.</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Interest expense of $346 million in 2015 decreased by $23 million compared to 2014, as the impact of a higher weighted average debt balance of approximately $0.5 billion was more than offset by a 30 bps decrease in the weighted average borrowing rates from 2.8% in 2014 to 2.5% in 2015.</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Research &amp; engineering </w:t>
      </w:r>
      <w:r>
        <w:rPr>
          <w:rFonts w:ascii="Arial" w:cs="Arial" w:eastAsia="Arial" w:hAnsi="Arial"/>
          <w:sz w:val="17"/>
          <w:szCs w:val="17"/>
          <w:color w:val="auto"/>
        </w:rPr>
        <w:t>and</w:t>
      </w:r>
      <w:r>
        <w:rPr>
          <w:rFonts w:ascii="Arial" w:cs="Arial" w:eastAsia="Arial" w:hAnsi="Arial"/>
          <w:sz w:val="17"/>
          <w:szCs w:val="17"/>
          <w:i w:val="1"/>
          <w:iCs w:val="1"/>
          <w:color w:val="auto"/>
        </w:rPr>
        <w:t xml:space="preserve"> General &amp; administrative </w:t>
      </w:r>
      <w:r>
        <w:rPr>
          <w:rFonts w:ascii="Arial" w:cs="Arial" w:eastAsia="Arial" w:hAnsi="Arial"/>
          <w:sz w:val="17"/>
          <w:szCs w:val="17"/>
          <w:color w:val="auto"/>
        </w:rPr>
        <w:t>expenses, as a percentage of</w:t>
      </w:r>
      <w:r>
        <w:rPr>
          <w:rFonts w:ascii="Arial" w:cs="Arial" w:eastAsia="Arial" w:hAnsi="Arial"/>
          <w:sz w:val="17"/>
          <w:szCs w:val="17"/>
          <w:i w:val="1"/>
          <w:iCs w:val="1"/>
          <w:color w:val="auto"/>
        </w:rPr>
        <w:t xml:space="preserve"> Revenue</w:t>
      </w:r>
      <w:r>
        <w:rPr>
          <w:rFonts w:ascii="Arial" w:cs="Arial" w:eastAsia="Arial" w:hAnsi="Arial"/>
          <w:sz w:val="17"/>
          <w:szCs w:val="17"/>
          <w:color w:val="auto"/>
        </w:rPr>
        <w: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2015</w:t>
            </w:r>
          </w:p>
        </w:tc>
        <w:tc>
          <w:tcPr>
            <w:tcW w:w="18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2014</w:t>
            </w:r>
          </w:p>
        </w:tc>
        <w:tc>
          <w:tcPr>
            <w:tcW w:w="160" w:type="dxa"/>
            <w:vAlign w:val="bottom"/>
            <w:tcBorders>
              <w:bottom w:val="single" w:sz="8" w:color="CFF0FC"/>
            </w:tcBorders>
          </w:tcPr>
          <w:p>
            <w:pPr>
              <w:spacing w:after="0"/>
              <w:rPr>
                <w:sz w:val="19"/>
                <w:szCs w:val="19"/>
                <w:color w:val="auto"/>
              </w:rPr>
            </w:pPr>
          </w:p>
        </w:tc>
      </w:tr>
      <w:tr>
        <w:trPr>
          <w:trHeight w:val="213"/>
        </w:trPr>
        <w:tc>
          <w:tcPr>
            <w:tcW w:w="754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Research &amp; engineering</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3.6%</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w:t>
            </w: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w:t>
            </w:r>
          </w:p>
        </w:tc>
      </w:tr>
      <w:tr>
        <w:trPr>
          <w:trHeight w:val="225"/>
        </w:trPr>
        <w:tc>
          <w:tcPr>
            <w:tcW w:w="7540" w:type="dxa"/>
            <w:vAlign w:val="bottom"/>
            <w:gridSpan w:val="2"/>
          </w:tcPr>
          <w:p>
            <w:pPr>
              <w:spacing w:after="0"/>
              <w:rPr>
                <w:sz w:val="20"/>
                <w:szCs w:val="20"/>
                <w:color w:val="auto"/>
              </w:rPr>
            </w:pPr>
            <w:r>
              <w:rPr>
                <w:rFonts w:ascii="Arial" w:cs="Arial" w:eastAsia="Arial" w:hAnsi="Arial"/>
                <w:sz w:val="17"/>
                <w:szCs w:val="17"/>
                <w:i w:val="1"/>
                <w:iCs w:val="1"/>
                <w:color w:val="auto"/>
              </w:rPr>
              <w:t>General &amp; administrative</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1.4%</w:t>
            </w: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r>
    </w:tbl>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Although </w:t>
      </w:r>
      <w:r>
        <w:rPr>
          <w:rFonts w:ascii="Arial" w:cs="Arial" w:eastAsia="Arial" w:hAnsi="Arial"/>
          <w:sz w:val="17"/>
          <w:szCs w:val="17"/>
          <w:i w:val="1"/>
          <w:iCs w:val="1"/>
          <w:color w:val="auto"/>
        </w:rPr>
        <w:t>Research &amp; engineering</w:t>
      </w:r>
      <w:r>
        <w:rPr>
          <w:rFonts w:ascii="Arial" w:cs="Arial" w:eastAsia="Arial" w:hAnsi="Arial"/>
          <w:sz w:val="17"/>
          <w:szCs w:val="17"/>
          <w:color w:val="auto"/>
        </w:rPr>
        <w:t xml:space="preserve"> and </w:t>
      </w:r>
      <w:r>
        <w:rPr>
          <w:rFonts w:ascii="Arial" w:cs="Arial" w:eastAsia="Arial" w:hAnsi="Arial"/>
          <w:sz w:val="17"/>
          <w:szCs w:val="17"/>
          <w:i w:val="1"/>
          <w:iCs w:val="1"/>
          <w:color w:val="auto"/>
        </w:rPr>
        <w:t>General &amp; administrative</w:t>
      </w:r>
      <w:r>
        <w:rPr>
          <w:rFonts w:ascii="Arial" w:cs="Arial" w:eastAsia="Arial" w:hAnsi="Arial"/>
          <w:sz w:val="17"/>
          <w:szCs w:val="17"/>
          <w:color w:val="auto"/>
        </w:rPr>
        <w:t xml:space="preserve"> costs have either increased or remained flat as a percentage of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in 2016 as compared to 2015, they have decreased in absolute dollar terms as a result of cost control measures that have been implemented, offset in part by the impact of the Cameron acquisition.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Schlumberger effective tax rate was 14.6% in 2016, 25.9% in 2015, and 25.2% in 2014.</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19" w:name="page20"/>
    <w:bookmarkEnd w:id="19"/>
    <w:p>
      <w:pPr>
        <w:jc w:val="both"/>
        <w:ind w:right="40"/>
        <w:spacing w:after="0" w:line="263" w:lineRule="auto"/>
        <w:rPr>
          <w:sz w:val="20"/>
          <w:szCs w:val="20"/>
          <w:color w:val="auto"/>
        </w:rPr>
      </w:pPr>
      <w:r>
        <w:rPr>
          <w:rFonts w:ascii="Arial" w:cs="Arial" w:eastAsia="Arial" w:hAnsi="Arial"/>
          <w:sz w:val="17"/>
          <w:szCs w:val="17"/>
          <w:color w:val="auto"/>
        </w:rPr>
        <w:t xml:space="preserve">The effective tax rate for each of 2016, 2015 and 2014 was significantly impacted by the charges and credits described in Note 3 to the </w:t>
      </w:r>
      <w:r>
        <w:rPr>
          <w:rFonts w:ascii="Arial" w:cs="Arial" w:eastAsia="Arial" w:hAnsi="Arial"/>
          <w:sz w:val="17"/>
          <w:szCs w:val="17"/>
          <w:i w:val="1"/>
          <w:iCs w:val="1"/>
          <w:color w:val="auto"/>
        </w:rPr>
        <w:t>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because they were only partially tax effective. Excluding the impact of these charges and credits, the effective tax rate was 15.9% in 2016, 20.2%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and 21.9% in 2014. The decrease in the effective tax rate, excluding the impact of charges and credits, was primarily attributable to a change in the geographic mix of earnings and the favorable resolution of tax examinations in certain jurisdictions.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It is expected that the effective tax rate will gradually increase over the course of 2017 as a result of the expected improvement in activity in North America.</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Charges and Credits</w:t>
      </w:r>
    </w:p>
    <w:p>
      <w:pPr>
        <w:spacing w:after="0" w:line="121"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 xml:space="preserve">Schlumberger recorded significant charges and credits in continuing operations during 2016, 2015 and 2014. These charges and credits, which are summarized below, are more fully described in Note 3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is a summary of the 2016 charges and credits, of which $3.172 billion were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and $648 million were classified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Merger &amp; integration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5160" w:type="dxa"/>
            <w:vAlign w:val="bottom"/>
            <w:tcBorders>
              <w:bottom w:val="single" w:sz="8" w:color="CFF0FC"/>
            </w:tcBorders>
          </w:tcPr>
          <w:p>
            <w:pPr>
              <w:spacing w:after="0"/>
              <w:rPr>
                <w:sz w:val="24"/>
                <w:szCs w:val="24"/>
                <w:color w:val="auto"/>
              </w:rPr>
            </w:pPr>
          </w:p>
        </w:tc>
        <w:tc>
          <w:tcPr>
            <w:tcW w:w="15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Tax</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r>
      <w:tr>
        <w:trPr>
          <w:trHeight w:val="21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reductions</w:t>
            </w:r>
          </w:p>
        </w:tc>
        <w:tc>
          <w:tcPr>
            <w:tcW w:w="250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811</w:t>
            </w:r>
          </w:p>
        </w:tc>
        <w:tc>
          <w:tcPr>
            <w:tcW w:w="100" w:type="dxa"/>
            <w:vAlign w:val="bottom"/>
            <w:shd w:val="clear" w:color="auto" w:fill="CFF0FC"/>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Fixed asset impairments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684</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Inventory write-downs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Amortization of inventory fair value adjustment</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299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Facility closure costs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North America pressure pumping asset impairments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209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Multiclient seismic data impairment</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Facility impairments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Other merger and integration-related</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Costs associated with exiting certain activities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Merger-related employee benefits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Currency devaluation loss in Egypt</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Other restructuring charges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Professional fees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Contract termination costs</w:t>
            </w:r>
          </w:p>
        </w:tc>
        <w:tc>
          <w:tcPr>
            <w:tcW w:w="15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18"/>
                <w:szCs w:val="18"/>
                <w:color w:val="auto"/>
              </w:rPr>
            </w:pPr>
          </w:p>
        </w:tc>
        <w:tc>
          <w:tcPr>
            <w:tcW w:w="2500" w:type="dxa"/>
            <w:vAlign w:val="bottom"/>
            <w:gridSpan w:val="2"/>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3,820</w:t>
            </w:r>
          </w:p>
        </w:tc>
        <w:tc>
          <w:tcPr>
            <w:tcW w:w="1200" w:type="dxa"/>
            <w:vAlign w:val="bottom"/>
            <w:gridSpan w:val="2"/>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583</w:t>
            </w:r>
          </w:p>
        </w:tc>
        <w:tc>
          <w:tcPr>
            <w:tcW w:w="2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3,237</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is a summary of the 2015 charges and credits, all of which were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180" w:type="dxa"/>
            <w:vAlign w:val="bottom"/>
            <w:tcBorders>
              <w:bottom w:val="single" w:sz="8" w:color="CFF0FC"/>
            </w:tcBorders>
          </w:tcPr>
          <w:p>
            <w:pPr>
              <w:spacing w:after="0"/>
              <w:rPr>
                <w:sz w:val="24"/>
                <w:szCs w:val="24"/>
                <w:color w:val="auto"/>
              </w:rPr>
            </w:pPr>
          </w:p>
        </w:tc>
        <w:tc>
          <w:tcPr>
            <w:tcW w:w="256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Tax</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reductions</w:t>
            </w:r>
          </w:p>
        </w:tc>
        <w:tc>
          <w:tcPr>
            <w:tcW w:w="348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Fixed asset impairments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776</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Inventory write-downs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Impairment of SPM project</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Facility closures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Geopolitical events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Currency devaluation loss in Venezuela</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Contract termination costs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5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3480" w:type="dxa"/>
            <w:vAlign w:val="bottom"/>
            <w:gridSpan w:val="2"/>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2,575</w:t>
            </w:r>
          </w:p>
        </w:tc>
        <w:tc>
          <w:tcPr>
            <w:tcW w:w="1200" w:type="dxa"/>
            <w:vAlign w:val="bottom"/>
            <w:gridSpan w:val="2"/>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357</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60" w:type="dxa"/>
            <w:vAlign w:val="bottom"/>
            <w:vMerge w:val="restart"/>
          </w:tcPr>
          <w:p>
            <w:pPr>
              <w:jc w:val="right"/>
              <w:ind w:right="854"/>
              <w:spacing w:after="0"/>
              <w:rPr>
                <w:sz w:val="20"/>
                <w:szCs w:val="20"/>
                <w:color w:val="auto"/>
              </w:rPr>
            </w:pPr>
            <w:r>
              <w:rPr>
                <w:rFonts w:ascii="Arial" w:cs="Arial" w:eastAsia="Arial" w:hAnsi="Arial"/>
                <w:sz w:val="17"/>
                <w:szCs w:val="17"/>
                <w:color w:val="auto"/>
              </w:rPr>
              <w:t>20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1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 xml:space="preserve">The following is a summary of the 2014 charges and credits, all of which were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740" w:type="dxa"/>
            <w:vAlign w:val="bottom"/>
            <w:tcBorders>
              <w:bottom w:val="single" w:sz="8" w:color="CFF0FC"/>
            </w:tcBorders>
          </w:tcPr>
          <w:p>
            <w:pPr>
              <w:spacing w:after="0"/>
              <w:rPr>
                <w:sz w:val="24"/>
                <w:szCs w:val="24"/>
                <w:color w:val="auto"/>
              </w:rPr>
            </w:pPr>
          </w:p>
        </w:tc>
        <w:tc>
          <w:tcPr>
            <w:tcW w:w="200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Tax</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WesternGeco restructuring</w:t>
            </w:r>
          </w:p>
        </w:tc>
        <w:tc>
          <w:tcPr>
            <w:tcW w:w="292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FF0FC"/>
          </w:tcPr>
          <w:p>
            <w:pPr>
              <w:spacing w:after="0"/>
              <w:rPr>
                <w:sz w:val="18"/>
                <w:szCs w:val="18"/>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Currency devaluation loss in Venezuela</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472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9"/>
                <w:szCs w:val="19"/>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FF0FC"/>
          </w:tcPr>
          <w:p>
            <w:pPr>
              <w:spacing w:after="0"/>
              <w:rPr>
                <w:sz w:val="19"/>
                <w:szCs w:val="19"/>
                <w:color w:val="auto"/>
              </w:rPr>
            </w:pPr>
          </w:p>
        </w:tc>
      </w:tr>
      <w:tr>
        <w:trPr>
          <w:trHeight w:val="220"/>
        </w:trPr>
        <w:tc>
          <w:tcPr>
            <w:tcW w:w="4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Impairment of SPM project</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FF0FC"/>
            </w:tcBorders>
          </w:tcPr>
          <w:p>
            <w:pPr>
              <w:spacing w:after="0"/>
              <w:rPr>
                <w:sz w:val="19"/>
                <w:szCs w:val="19"/>
                <w:color w:val="auto"/>
              </w:rPr>
            </w:pPr>
          </w:p>
        </w:tc>
      </w:tr>
      <w:tr>
        <w:trPr>
          <w:trHeight w:val="213"/>
        </w:trPr>
        <w:tc>
          <w:tcPr>
            <w:tcW w:w="4740" w:type="dxa"/>
            <w:vAlign w:val="bottom"/>
            <w:shd w:val="clear" w:color="auto" w:fill="CFF0FC"/>
          </w:tcPr>
          <w:p>
            <w:pPr>
              <w:spacing w:after="0"/>
              <w:rPr>
                <w:sz w:val="18"/>
                <w:szCs w:val="18"/>
                <w:color w:val="auto"/>
              </w:rPr>
            </w:pPr>
          </w:p>
        </w:tc>
        <w:tc>
          <w:tcPr>
            <w:tcW w:w="292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1,773</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FF0FC"/>
          </w:tcPr>
          <w:p>
            <w:pPr>
              <w:spacing w:after="0"/>
              <w:rPr>
                <w:sz w:val="18"/>
                <w:szCs w:val="18"/>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4" w:lineRule="exact"/>
        <w:rPr>
          <w:sz w:val="20"/>
          <w:szCs w:val="20"/>
          <w:color w:val="auto"/>
        </w:rPr>
      </w:pPr>
    </w:p>
    <w:p>
      <w:pPr>
        <w:jc w:val="both"/>
        <w:ind w:right="40"/>
        <w:spacing w:after="0" w:line="315" w:lineRule="auto"/>
        <w:rPr>
          <w:sz w:val="20"/>
          <w:szCs w:val="20"/>
          <w:color w:val="auto"/>
        </w:rPr>
      </w:pPr>
      <w:r>
        <w:rPr>
          <w:rFonts w:ascii="Arial" w:cs="Arial" w:eastAsia="Arial" w:hAnsi="Arial"/>
          <w:sz w:val="16"/>
          <w:szCs w:val="16"/>
          <w:color w:val="auto"/>
        </w:rPr>
        <w:t xml:space="preserve">Schlumberger had total </w:t>
      </w:r>
      <w:r>
        <w:rPr>
          <w:rFonts w:ascii="Arial" w:cs="Arial" w:eastAsia="Arial" w:hAnsi="Arial"/>
          <w:sz w:val="16"/>
          <w:szCs w:val="16"/>
          <w:i w:val="1"/>
          <w:iCs w:val="1"/>
          <w:color w:val="auto"/>
        </w:rPr>
        <w:t>Cash</w:t>
      </w:r>
      <w:r>
        <w:rPr>
          <w:rFonts w:ascii="Arial" w:cs="Arial" w:eastAsia="Arial" w:hAnsi="Arial"/>
          <w:sz w:val="16"/>
          <w:szCs w:val="16"/>
          <w:color w:val="auto"/>
        </w:rPr>
        <w:t xml:space="preserve">,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of $9.5 billion, $13.5 billion and $7.9 billion at December 31, 2016, 2015 and 2014, respectively. Total debt was $19.6 billion, $19.0 billion and $13.3 billion at December 31, 2016, 2015 and 2014,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components of liquidity as well as changes in liquidity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5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Dec. 31,</w:t>
            </w:r>
          </w:p>
        </w:tc>
        <w:tc>
          <w:tcPr>
            <w:tcW w:w="24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Dec. 31,</w:t>
            </w:r>
          </w:p>
        </w:tc>
        <w:tc>
          <w:tcPr>
            <w:tcW w:w="1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Dec.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Components of Liquidity:</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2014</w:t>
            </w:r>
          </w:p>
        </w:tc>
        <w:tc>
          <w:tcPr>
            <w:tcW w:w="8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Short-term investments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6,328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10,241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Fixed income investments, held to maturity</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Long-term debt – current portion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(1,975)</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(3,011)</w:t>
            </w: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(1,244)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Short-term borrowings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(1,178)</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(1,546)</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Long-term debt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(16,463)</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(14,442)</w:t>
            </w: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(10,565)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 xml:space="preserve">Net debt </w:t>
            </w:r>
            <w:r>
              <w:rPr>
                <w:rFonts w:ascii="Arial" w:cs="Arial" w:eastAsia="Arial" w:hAnsi="Arial"/>
                <w:sz w:val="14"/>
                <w:szCs w:val="14"/>
                <w:color w:val="auto"/>
              </w:rPr>
              <w:t>(1)</w:t>
            </w:r>
          </w:p>
        </w:tc>
        <w:tc>
          <w:tcPr>
            <w:tcW w:w="116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(10,121)</w:t>
            </w:r>
          </w:p>
        </w:tc>
        <w:tc>
          <w:tcPr>
            <w:tcW w:w="2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(5,547)</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5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Changes in Liquidity:</w:t>
            </w:r>
          </w:p>
        </w:tc>
        <w:tc>
          <w:tcPr>
            <w:tcW w:w="11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2014</w:t>
            </w:r>
          </w:p>
        </w:tc>
        <w:tc>
          <w:tcPr>
            <w:tcW w:w="8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Income (loss) from continuing operations before noncontrolling interests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(1,627)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5,711</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Impairments and other charges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3,820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14"/>
                <w:szCs w:val="14"/>
                <w:color w:val="auto"/>
              </w:rPr>
              <w:t>(2)</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4,094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4,094</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Earnings of equity method investments, less dividends received</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(60)</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(125)</w:t>
            </w: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benefits expense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benefits funding</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(174)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(346)</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 xml:space="preserve">Decrease (increase) in working capital </w:t>
            </w:r>
            <w:r>
              <w:rPr>
                <w:rFonts w:ascii="Arial" w:cs="Arial" w:eastAsia="Arial" w:hAnsi="Arial"/>
                <w:sz w:val="14"/>
                <w:szCs w:val="14"/>
                <w:color w:val="auto"/>
              </w:rPr>
              <w:t>(3)</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(478)</w:t>
            </w: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(662)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Cash flow from operations</w:t>
            </w:r>
          </w:p>
        </w:tc>
        <w:tc>
          <w:tcPr>
            <w:tcW w:w="11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6,261</w:t>
            </w:r>
          </w:p>
        </w:tc>
        <w:tc>
          <w:tcPr>
            <w:tcW w:w="2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8,805</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11,195</w:t>
            </w:r>
          </w:p>
        </w:tc>
        <w:tc>
          <w:tcPr>
            <w:tcW w:w="8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Capital expenditures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(2,055)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(2,410)</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SPM investments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(1,031)</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(953)</w:t>
            </w: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Multiclient seismic data capitalized</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(630)</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(486)</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14"/>
                <w:szCs w:val="14"/>
                <w:b w:val="1"/>
                <w:bCs w:val="1"/>
                <w:color w:val="auto"/>
              </w:rPr>
              <w:t>(4)</w:t>
            </w:r>
          </w:p>
        </w:tc>
        <w:tc>
          <w:tcPr>
            <w:tcW w:w="11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2,545</w:t>
            </w:r>
          </w:p>
        </w:tc>
        <w:tc>
          <w:tcPr>
            <w:tcW w:w="2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4,956</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6,158</w:t>
            </w:r>
          </w:p>
        </w:tc>
        <w:tc>
          <w:tcPr>
            <w:tcW w:w="8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Dividends paid</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(2,647)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(2,419)</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Proceeds from employee stock plans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Stock repurchase program</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(778)</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(2,182)</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(465)</w:t>
            </w:r>
          </w:p>
        </w:tc>
        <w:tc>
          <w:tcPr>
            <w:tcW w:w="2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8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w w:val="91"/>
              </w:rPr>
              <w:t>Business acquisitions and investments, net of cash acquired plus debt assumed</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(4,022)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(478)</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 xml:space="preserve">Discontinued operations - settlement with U.S. Department of Justice </w:t>
            </w:r>
            <w:r>
              <w:rPr>
                <w:rFonts w:ascii="Arial" w:cs="Arial" w:eastAsia="Arial" w:hAnsi="Arial"/>
                <w:sz w:val="14"/>
                <w:szCs w:val="14"/>
                <w:color w:val="auto"/>
              </w:rPr>
              <w:t>(5)</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(233)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(87)</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(252)</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Increase in Net Debt</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(4,574)</w:t>
            </w: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Net Debt, Beginning of period</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b w:val="1"/>
                <w:bCs w:val="1"/>
                <w:color w:val="auto"/>
              </w:rPr>
              <w:t>(5,547)</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(5,387)</w:t>
            </w: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(4,443)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Net Debt, End of period</w:t>
            </w:r>
          </w:p>
        </w:tc>
        <w:tc>
          <w:tcPr>
            <w:tcW w:w="1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(10,121)</w:t>
            </w:r>
          </w:p>
        </w:tc>
        <w:tc>
          <w:tcPr>
            <w:tcW w:w="28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(5,547)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60" w:type="dxa"/>
            <w:vAlign w:val="bottom"/>
            <w:vMerge w:val="restart"/>
          </w:tcPr>
          <w:p>
            <w:pPr>
              <w:jc w:val="right"/>
              <w:ind w:right="794"/>
              <w:spacing w:after="0"/>
              <w:rPr>
                <w:sz w:val="20"/>
                <w:szCs w:val="20"/>
                <w:color w:val="auto"/>
              </w:rPr>
            </w:pPr>
            <w:r>
              <w:rPr>
                <w:rFonts w:ascii="Arial" w:cs="Arial" w:eastAsia="Arial" w:hAnsi="Arial"/>
                <w:sz w:val="17"/>
                <w:szCs w:val="17"/>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5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5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1" w:name="page22"/>
    <w:bookmarkEnd w:id="21"/>
    <w:p>
      <w:pPr>
        <w:jc w:val="both"/>
        <w:ind w:left="520" w:right="40" w:hanging="517"/>
        <w:spacing w:after="0" w:line="211" w:lineRule="auto"/>
        <w:tabs>
          <w:tab w:leader="none" w:pos="520" w:val="left"/>
        </w:tabs>
        <w:numPr>
          <w:ilvl w:val="0"/>
          <w:numId w:val="13"/>
        </w:numPr>
        <w:rPr>
          <w:rFonts w:ascii="Arial" w:cs="Arial" w:eastAsia="Arial" w:hAnsi="Arial"/>
          <w:sz w:val="26"/>
          <w:szCs w:val="26"/>
          <w:color w:val="auto"/>
          <w:vertAlign w:val="superscript"/>
        </w:rPr>
      </w:pPr>
      <w:r>
        <w:rPr>
          <w:rFonts w:ascii="Arial" w:cs="Arial" w:eastAsia="Arial" w:hAnsi="Arial"/>
          <w:sz w:val="26"/>
          <w:szCs w:val="26"/>
          <w:color w:val="auto"/>
          <w:vertAlign w:val="superscript"/>
        </w:rPr>
        <w:t>“</w:t>
      </w: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6"/>
          <w:szCs w:val="26"/>
          <w:color w:val="auto"/>
          <w:vertAlign w:val="superscript"/>
        </w:rPr>
      </w:pPr>
    </w:p>
    <w:p>
      <w:pPr>
        <w:ind w:left="520" w:hanging="517"/>
        <w:spacing w:after="0" w:line="194" w:lineRule="auto"/>
        <w:tabs>
          <w:tab w:leader="none" w:pos="52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1" w:lineRule="exact"/>
        <w:rPr>
          <w:rFonts w:ascii="Arial" w:cs="Arial" w:eastAsia="Arial" w:hAnsi="Arial"/>
          <w:sz w:val="25"/>
          <w:szCs w:val="25"/>
          <w:color w:val="auto"/>
          <w:vertAlign w:val="superscript"/>
        </w:rPr>
      </w:pPr>
    </w:p>
    <w:p>
      <w:pPr>
        <w:ind w:left="520" w:hanging="517"/>
        <w:spacing w:after="0" w:line="183" w:lineRule="auto"/>
        <w:tabs>
          <w:tab w:leader="none" w:pos="52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Includes severance payments of approximately $850 million during 2016 and $810 million during 2015.</w:t>
      </w:r>
    </w:p>
    <w:p>
      <w:pPr>
        <w:spacing w:after="0" w:line="113" w:lineRule="exact"/>
        <w:rPr>
          <w:rFonts w:ascii="Arial" w:cs="Arial" w:eastAsia="Arial" w:hAnsi="Arial"/>
          <w:sz w:val="21"/>
          <w:szCs w:val="21"/>
          <w:color w:val="auto"/>
          <w:vertAlign w:val="superscript"/>
        </w:rPr>
      </w:pPr>
    </w:p>
    <w:p>
      <w:pPr>
        <w:jc w:val="both"/>
        <w:ind w:left="520" w:right="40" w:hanging="517"/>
        <w:spacing w:after="0" w:line="235" w:lineRule="auto"/>
        <w:tabs>
          <w:tab w:leader="none" w:pos="52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 w:lineRule="exact"/>
        <w:rPr>
          <w:rFonts w:ascii="Arial" w:cs="Arial" w:eastAsia="Arial" w:hAnsi="Arial"/>
          <w:sz w:val="25"/>
          <w:szCs w:val="25"/>
          <w:color w:val="auto"/>
          <w:vertAlign w:val="superscript"/>
        </w:rPr>
      </w:pPr>
    </w:p>
    <w:p>
      <w:pPr>
        <w:ind w:left="520" w:hanging="517"/>
        <w:spacing w:after="0" w:line="238" w:lineRule="auto"/>
        <w:tabs>
          <w:tab w:leader="none" w:pos="5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 xml:space="preserve">Refer to Note 20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Key liquidity events during 2016, 2015 and 2014 included:</w:t>
      </w:r>
    </w:p>
    <w:p>
      <w:pPr>
        <w:spacing w:after="0" w:line="244" w:lineRule="exact"/>
        <w:rPr>
          <w:sz w:val="20"/>
          <w:szCs w:val="20"/>
          <w:color w:val="auto"/>
        </w:rPr>
      </w:pPr>
    </w:p>
    <w:p>
      <w:pPr>
        <w:ind w:left="760" w:right="40" w:hanging="382"/>
        <w:spacing w:after="0" w:line="315"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Cash flow from operations was $6.3 billion in 2016, $8.8 billion in 2015 and $11.2 billion in 2014. The decrease in operating cash flows in each of the last two years is largely attributable to lower earnings before non-cash charges and credits and depreciation and amortization expense.</w:t>
      </w:r>
    </w:p>
    <w:p>
      <w:pPr>
        <w:spacing w:after="0" w:line="33" w:lineRule="exact"/>
        <w:rPr>
          <w:rFonts w:ascii="Arial" w:cs="Arial" w:eastAsia="Arial" w:hAnsi="Arial"/>
          <w:sz w:val="16"/>
          <w:szCs w:val="16"/>
          <w:color w:val="auto"/>
        </w:rPr>
      </w:pPr>
    </w:p>
    <w:p>
      <w:pPr>
        <w:jc w:val="both"/>
        <w:ind w:left="760" w:right="40" w:hanging="382"/>
        <w:spacing w:after="0" w:line="26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Schlumberger paid $2.8 billion of cash in connection with the April 1, 2016 acquisition of Cameron. Additionally, as a result of the acquisition of Cameron, Schlumberger assumed $3.0 billion of debt (including a $244 million adjustment to increase Cameron’s long-term fixed rate debt to its estimated fair value) and $2.2 billion of cash and short-term investments.</w:t>
      </w:r>
    </w:p>
    <w:p>
      <w:pPr>
        <w:spacing w:after="0" w:line="68" w:lineRule="exact"/>
        <w:rPr>
          <w:rFonts w:ascii="Arial" w:cs="Arial" w:eastAsia="Arial" w:hAnsi="Arial"/>
          <w:sz w:val="17"/>
          <w:szCs w:val="17"/>
          <w:color w:val="auto"/>
        </w:rPr>
      </w:pPr>
    </w:p>
    <w:p>
      <w:pPr>
        <w:ind w:left="760" w:hanging="382"/>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the second quarter of 2016, Schlumberger repurchased approximately $1.4 billion of Cameron’s long-term fixed-rate debt.</w:t>
      </w:r>
    </w:p>
    <w:p>
      <w:pPr>
        <w:spacing w:after="0" w:line="217" w:lineRule="exact"/>
        <w:rPr>
          <w:rFonts w:ascii="Arial" w:cs="Arial" w:eastAsia="Arial" w:hAnsi="Arial"/>
          <w:sz w:val="17"/>
          <w:szCs w:val="17"/>
          <w:color w:val="auto"/>
        </w:rPr>
      </w:pPr>
    </w:p>
    <w:p>
      <w:pPr>
        <w:jc w:val="both"/>
        <w:ind w:left="760" w:right="40" w:hanging="382"/>
        <w:spacing w:after="0" w:line="309"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connection with Schlumberger’s acquisition of Cameron, Cameron merged with Schlumberger Holdings Corporation (SHC), an indirect wholly-owned United States subsidiary of Schlumberger. Under the terms of the agreement, Cameron shareholders received 0.716 shares of Schlumberger Limited common stock and a cash payment of $14.44 in exchange for each Cameron share of common stock outstanding. In connection with this transaction, SHC acquired approximately 138 million shares of common stock from Schlumberger Limited and transferred those shares to Cameron’s shareholders.</w:t>
      </w:r>
    </w:p>
    <w:p>
      <w:pPr>
        <w:spacing w:after="0" w:line="145" w:lineRule="exact"/>
        <w:rPr>
          <w:rFonts w:ascii="Arial" w:cs="Arial" w:eastAsia="Arial" w:hAnsi="Arial"/>
          <w:sz w:val="15"/>
          <w:szCs w:val="15"/>
          <w:color w:val="auto"/>
        </w:rPr>
      </w:pPr>
    </w:p>
    <w:p>
      <w:pPr>
        <w:ind w:left="760" w:right="40"/>
        <w:spacing w:after="0" w:line="283" w:lineRule="auto"/>
        <w:rPr>
          <w:rFonts w:ascii="Arial" w:cs="Arial" w:eastAsia="Arial" w:hAnsi="Arial"/>
          <w:sz w:val="15"/>
          <w:szCs w:val="15"/>
          <w:color w:val="auto"/>
        </w:rPr>
      </w:pPr>
      <w:r>
        <w:rPr>
          <w:rFonts w:ascii="Arial" w:cs="Arial" w:eastAsia="Arial" w:hAnsi="Arial"/>
          <w:sz w:val="17"/>
          <w:szCs w:val="17"/>
          <w:color w:val="auto"/>
        </w:rPr>
        <w:t>In order to partially fund the purchase of the 138 million shares of common stock from Schlumberger Limited that were transferred to Cameron stockholders, SHC issued $6 billion of notes during the fourth quarter of 2015 consisting of the following:</w:t>
      </w:r>
    </w:p>
    <w:p>
      <w:pPr>
        <w:spacing w:after="0" w:line="55" w:lineRule="exact"/>
        <w:rPr>
          <w:rFonts w:ascii="Arial" w:cs="Arial" w:eastAsia="Arial" w:hAnsi="Arial"/>
          <w:sz w:val="15"/>
          <w:szCs w:val="15"/>
          <w:color w:val="auto"/>
        </w:rPr>
      </w:pPr>
    </w:p>
    <w:p>
      <w:pPr>
        <w:ind w:left="1520" w:hanging="380"/>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$500 million of 1.90% Senior Notes due 2017;</w:t>
      </w:r>
    </w:p>
    <w:p>
      <w:pPr>
        <w:spacing w:after="0" w:line="23" w:lineRule="exact"/>
        <w:rPr>
          <w:rFonts w:ascii="Arial" w:cs="Arial" w:eastAsia="Arial" w:hAnsi="Arial"/>
          <w:sz w:val="17"/>
          <w:szCs w:val="17"/>
          <w:color w:val="auto"/>
        </w:rPr>
      </w:pPr>
    </w:p>
    <w:p>
      <w:pPr>
        <w:ind w:left="1520" w:hanging="380"/>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$1.3 billion of 2.35% Senior Notes due 2018;</w:t>
      </w:r>
    </w:p>
    <w:p>
      <w:pPr>
        <w:spacing w:after="0" w:line="11" w:lineRule="exact"/>
        <w:rPr>
          <w:rFonts w:ascii="Arial" w:cs="Arial" w:eastAsia="Arial" w:hAnsi="Arial"/>
          <w:sz w:val="17"/>
          <w:szCs w:val="17"/>
          <w:color w:val="auto"/>
        </w:rPr>
      </w:pPr>
    </w:p>
    <w:p>
      <w:pPr>
        <w:ind w:left="1520" w:hanging="380"/>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$1.6 billion of 3.00% Senior Notes due 2020;</w:t>
      </w:r>
    </w:p>
    <w:p>
      <w:pPr>
        <w:spacing w:after="0" w:line="11" w:lineRule="exact"/>
        <w:rPr>
          <w:rFonts w:ascii="Arial" w:cs="Arial" w:eastAsia="Arial" w:hAnsi="Arial"/>
          <w:sz w:val="17"/>
          <w:szCs w:val="17"/>
          <w:color w:val="auto"/>
        </w:rPr>
      </w:pPr>
    </w:p>
    <w:p>
      <w:pPr>
        <w:ind w:left="1520" w:hanging="380"/>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$850 million of 3.63% Senior Notes due 2022; and</w:t>
      </w:r>
    </w:p>
    <w:p>
      <w:pPr>
        <w:spacing w:after="0" w:line="11" w:lineRule="exact"/>
        <w:rPr>
          <w:rFonts w:ascii="Arial" w:cs="Arial" w:eastAsia="Arial" w:hAnsi="Arial"/>
          <w:sz w:val="17"/>
          <w:szCs w:val="17"/>
          <w:color w:val="auto"/>
        </w:rPr>
      </w:pPr>
    </w:p>
    <w:p>
      <w:pPr>
        <w:ind w:left="1520" w:hanging="380"/>
        <w:spacing w:after="0"/>
        <w:tabs>
          <w:tab w:leader="none" w:pos="15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$1.75 billion of 4.00% Senior Notes due 2025.</w:t>
      </w:r>
    </w:p>
    <w:p>
      <w:pPr>
        <w:spacing w:after="0" w:line="76" w:lineRule="exact"/>
        <w:rPr>
          <w:rFonts w:ascii="Arial" w:cs="Arial" w:eastAsia="Arial" w:hAnsi="Arial"/>
          <w:sz w:val="17"/>
          <w:szCs w:val="17"/>
          <w:color w:val="auto"/>
        </w:rPr>
      </w:pPr>
    </w:p>
    <w:p>
      <w:pPr>
        <w:ind w:left="760" w:right="40" w:hanging="382"/>
        <w:spacing w:after="0" w:line="283"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July 18, 2013, the Board approved a new $10 billion share repurchase program to be completed at the latest by June 30, 2018. Schlumberger had repurchased $9.4 billion of shares under this share repurchase program as of December 31, 2016.</w:t>
      </w:r>
    </w:p>
    <w:p>
      <w:pPr>
        <w:spacing w:after="0" w:line="146"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The following table summarizes the activity under this share repurchase program during 2016, 2015 and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1"/>
              </w:rPr>
              <w:t>(Stated in thousands, except per share amounts)</w:t>
            </w:r>
          </w:p>
        </w:tc>
        <w:tc>
          <w:tcPr>
            <w:tcW w:w="840" w:type="dxa"/>
            <w:vAlign w:val="bottom"/>
          </w:tcPr>
          <w:p>
            <w:pPr>
              <w:spacing w:after="0"/>
              <w:rPr>
                <w:sz w:val="15"/>
                <w:szCs w:val="15"/>
                <w:color w:val="auto"/>
              </w:rPr>
            </w:pPr>
          </w:p>
        </w:tc>
      </w:tr>
      <w:tr>
        <w:trPr>
          <w:trHeight w:val="419"/>
        </w:trPr>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8"/>
              <w:spacing w:after="0"/>
              <w:rPr>
                <w:sz w:val="20"/>
                <w:szCs w:val="20"/>
                <w:color w:val="auto"/>
              </w:rPr>
            </w:pPr>
            <w:r>
              <w:rPr>
                <w:rFonts w:ascii="Arial" w:cs="Arial" w:eastAsia="Arial" w:hAnsi="Arial"/>
                <w:sz w:val="16"/>
                <w:szCs w:val="16"/>
                <w:color w:val="auto"/>
                <w:w w:val="87"/>
              </w:rPr>
              <w:t>Total Cost</w:t>
            </w: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Total Number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Average Price</w:t>
            </w:r>
          </w:p>
        </w:tc>
        <w:tc>
          <w:tcPr>
            <w:tcW w:w="840" w:type="dxa"/>
            <w:vAlign w:val="bottom"/>
          </w:tcPr>
          <w:p>
            <w:pPr>
              <w:spacing w:after="0"/>
              <w:rPr>
                <w:sz w:val="24"/>
                <w:szCs w:val="24"/>
                <w:color w:val="auto"/>
              </w:rPr>
            </w:pPr>
          </w:p>
        </w:tc>
      </w:tr>
      <w:tr>
        <w:trPr>
          <w:trHeight w:val="207"/>
        </w:trPr>
        <w:tc>
          <w:tcPr>
            <w:tcW w:w="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8"/>
              <w:spacing w:after="0"/>
              <w:rPr>
                <w:sz w:val="20"/>
                <w:szCs w:val="20"/>
                <w:color w:val="auto"/>
              </w:rPr>
            </w:pPr>
            <w:r>
              <w:rPr>
                <w:rFonts w:ascii="Arial" w:cs="Arial" w:eastAsia="Arial" w:hAnsi="Arial"/>
                <w:sz w:val="16"/>
                <w:szCs w:val="16"/>
                <w:color w:val="auto"/>
                <w:w w:val="84"/>
              </w:rPr>
              <w:t>of Shares</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of 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3"/>
              </w:rPr>
              <w:t>Paid per</w:t>
            </w:r>
          </w:p>
        </w:tc>
        <w:tc>
          <w:tcPr>
            <w:tcW w:w="840" w:type="dxa"/>
            <w:vAlign w:val="bottom"/>
          </w:tcPr>
          <w:p>
            <w:pPr>
              <w:spacing w:after="0"/>
              <w:rPr>
                <w:sz w:val="17"/>
                <w:szCs w:val="17"/>
                <w:color w:val="auto"/>
              </w:rPr>
            </w:pPr>
          </w:p>
        </w:tc>
      </w:tr>
      <w:tr>
        <w:trPr>
          <w:trHeight w:val="210"/>
        </w:trPr>
        <w:tc>
          <w:tcPr>
            <w:tcW w:w="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8"/>
              <w:spacing w:after="0"/>
              <w:rPr>
                <w:sz w:val="20"/>
                <w:szCs w:val="20"/>
                <w:color w:val="auto"/>
              </w:rPr>
            </w:pPr>
            <w:r>
              <w:rPr>
                <w:rFonts w:ascii="Arial" w:cs="Arial" w:eastAsia="Arial" w:hAnsi="Arial"/>
                <w:sz w:val="16"/>
                <w:szCs w:val="16"/>
                <w:color w:val="auto"/>
                <w:w w:val="83"/>
              </w:rPr>
              <w:t>Purchased</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Purchased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79"/>
              </w:rPr>
              <w:t>Share</w:t>
            </w:r>
          </w:p>
        </w:tc>
        <w:tc>
          <w:tcPr>
            <w:tcW w:w="840" w:type="dxa"/>
            <w:vAlign w:val="bottom"/>
          </w:tcPr>
          <w:p>
            <w:pPr>
              <w:spacing w:after="0"/>
              <w:rPr>
                <w:sz w:val="18"/>
                <w:szCs w:val="18"/>
                <w:color w:val="auto"/>
              </w:rPr>
            </w:pPr>
          </w:p>
        </w:tc>
      </w:tr>
      <w:tr>
        <w:trPr>
          <w:trHeight w:val="215"/>
        </w:trPr>
        <w:tc>
          <w:tcPr>
            <w:tcW w:w="760" w:type="dxa"/>
            <w:vAlign w:val="bottom"/>
          </w:tcPr>
          <w:p>
            <w:pPr>
              <w:spacing w:after="0"/>
              <w:rPr>
                <w:sz w:val="18"/>
                <w:szCs w:val="18"/>
                <w:color w:val="auto"/>
              </w:rPr>
            </w:pPr>
          </w:p>
        </w:tc>
        <w:tc>
          <w:tcPr>
            <w:tcW w:w="2600" w:type="dxa"/>
            <w:vAlign w:val="bottom"/>
            <w:tcBorders>
              <w:top w:val="single" w:sz="8" w:color="CFF0FC"/>
            </w:tcBorders>
            <w:shd w:val="clear" w:color="auto" w:fill="CFF0FC"/>
          </w:tcPr>
          <w:p>
            <w:pPr>
              <w:jc w:val="right"/>
              <w:ind w:right="2174"/>
              <w:spacing w:after="0"/>
              <w:rPr>
                <w:sz w:val="20"/>
                <w:szCs w:val="20"/>
                <w:color w:val="auto"/>
              </w:rPr>
            </w:pPr>
            <w:r>
              <w:rPr>
                <w:rFonts w:ascii="Arial" w:cs="Arial" w:eastAsia="Arial" w:hAnsi="Arial"/>
                <w:sz w:val="17"/>
                <w:szCs w:val="17"/>
                <w:b w:val="1"/>
                <w:bCs w:val="1"/>
                <w:color w:val="auto"/>
                <w:w w:val="84"/>
              </w:rPr>
              <w:t>2016</w:t>
            </w:r>
          </w:p>
        </w:tc>
        <w:tc>
          <w:tcPr>
            <w:tcW w:w="3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778,018</w:t>
            </w:r>
          </w:p>
        </w:tc>
        <w:tc>
          <w:tcPr>
            <w:tcW w:w="2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10,988.5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70.80</w:t>
            </w:r>
          </w:p>
        </w:tc>
        <w:tc>
          <w:tcPr>
            <w:tcW w:w="80" w:type="dxa"/>
            <w:vAlign w:val="bottom"/>
            <w:tcBorders>
              <w:top w:val="single" w:sz="8" w:color="CFF0FC"/>
            </w:tcBorders>
            <w:shd w:val="clear" w:color="auto" w:fill="CFF0FC"/>
          </w:tcPr>
          <w:p>
            <w:pPr>
              <w:spacing w:after="0"/>
              <w:rPr>
                <w:sz w:val="18"/>
                <w:szCs w:val="18"/>
                <w:color w:val="auto"/>
              </w:rPr>
            </w:pPr>
          </w:p>
        </w:tc>
        <w:tc>
          <w:tcPr>
            <w:tcW w:w="840" w:type="dxa"/>
            <w:vAlign w:val="bottom"/>
          </w:tcPr>
          <w:p>
            <w:pPr>
              <w:spacing w:after="0"/>
              <w:rPr>
                <w:sz w:val="18"/>
                <w:szCs w:val="18"/>
                <w:color w:val="auto"/>
              </w:rPr>
            </w:pPr>
          </w:p>
        </w:tc>
      </w:tr>
      <w:tr>
        <w:trPr>
          <w:trHeight w:val="233"/>
        </w:trPr>
        <w:tc>
          <w:tcPr>
            <w:tcW w:w="3360" w:type="dxa"/>
            <w:vAlign w:val="bottom"/>
            <w:gridSpan w:val="2"/>
          </w:tcPr>
          <w:p>
            <w:pPr>
              <w:jc w:val="right"/>
              <w:ind w:right="2174"/>
              <w:spacing w:after="0"/>
              <w:rPr>
                <w:sz w:val="20"/>
                <w:szCs w:val="20"/>
                <w:color w:val="auto"/>
              </w:rPr>
            </w:pPr>
            <w:r>
              <w:rPr>
                <w:rFonts w:ascii="Arial" w:cs="Arial" w:eastAsia="Arial" w:hAnsi="Arial"/>
                <w:sz w:val="17"/>
                <w:szCs w:val="17"/>
                <w:color w:val="auto"/>
              </w:rPr>
              <w:t>2015</w:t>
            </w:r>
          </w:p>
        </w:tc>
        <w:tc>
          <w:tcPr>
            <w:tcW w:w="336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2,182,180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26,751.0</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81.57</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8"/>
        </w:trPr>
        <w:tc>
          <w:tcPr>
            <w:tcW w:w="760" w:type="dxa"/>
            <w:vAlign w:val="bottom"/>
          </w:tcPr>
          <w:p>
            <w:pPr>
              <w:spacing w:after="0"/>
              <w:rPr>
                <w:sz w:val="22"/>
                <w:szCs w:val="22"/>
                <w:color w:val="auto"/>
              </w:rPr>
            </w:pPr>
          </w:p>
        </w:tc>
        <w:tc>
          <w:tcPr>
            <w:tcW w:w="2600" w:type="dxa"/>
            <w:vAlign w:val="bottom"/>
            <w:shd w:val="clear" w:color="auto" w:fill="CFF0FC"/>
          </w:tcPr>
          <w:p>
            <w:pPr>
              <w:jc w:val="right"/>
              <w:ind w:right="2174"/>
              <w:spacing w:after="0"/>
              <w:rPr>
                <w:sz w:val="20"/>
                <w:szCs w:val="20"/>
                <w:color w:val="auto"/>
              </w:rPr>
            </w:pPr>
            <w:r>
              <w:rPr>
                <w:rFonts w:ascii="Arial" w:cs="Arial" w:eastAsia="Arial" w:hAnsi="Arial"/>
                <w:sz w:val="17"/>
                <w:szCs w:val="17"/>
                <w:color w:val="auto"/>
                <w:w w:val="84"/>
              </w:rPr>
              <w:t>2014</w:t>
            </w:r>
          </w:p>
        </w:tc>
        <w:tc>
          <w:tcPr>
            <w:tcW w:w="336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4,677,687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47,545.9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98.38</w:t>
            </w:r>
          </w:p>
        </w:tc>
        <w:tc>
          <w:tcPr>
            <w:tcW w:w="80" w:type="dxa"/>
            <w:vAlign w:val="bottom"/>
            <w:shd w:val="clear" w:color="auto" w:fill="CFF0FC"/>
          </w:tcPr>
          <w:p>
            <w:pPr>
              <w:spacing w:after="0"/>
              <w:rPr>
                <w:sz w:val="22"/>
                <w:szCs w:val="22"/>
                <w:color w:val="auto"/>
              </w:rPr>
            </w:pPr>
          </w:p>
        </w:tc>
        <w:tc>
          <w:tcPr>
            <w:tcW w:w="840" w:type="dxa"/>
            <w:vAlign w:val="bottom"/>
          </w:tcPr>
          <w:p>
            <w:pPr>
              <w:spacing w:after="0"/>
              <w:rPr>
                <w:sz w:val="22"/>
                <w:szCs w:val="22"/>
                <w:color w:val="auto"/>
              </w:rPr>
            </w:pPr>
          </w:p>
        </w:tc>
      </w:tr>
      <w:tr>
        <w:trPr>
          <w:trHeight w:val="530"/>
        </w:trPr>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00" w:type="dxa"/>
            <w:vAlign w:val="bottom"/>
          </w:tcPr>
          <w:p>
            <w:pPr>
              <w:jc w:val="right"/>
              <w:ind w:right="674"/>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2"/>
        </w:trPr>
        <w:tc>
          <w:tcPr>
            <w:tcW w:w="7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8" w:right="199" w:bottom="1440" w:gutter="0" w:footer="0" w:header="0"/>
        </w:sectPr>
      </w:pPr>
    </w:p>
    <w:bookmarkStart w:id="22" w:name="page23"/>
    <w:bookmarkEnd w:id="22"/>
    <w:p>
      <w:pPr>
        <w:ind w:left="760"/>
        <w:spacing w:after="0" w:line="283" w:lineRule="auto"/>
        <w:rPr>
          <w:sz w:val="20"/>
          <w:szCs w:val="20"/>
          <w:color w:val="auto"/>
        </w:rPr>
      </w:pPr>
      <w:r>
        <w:rPr>
          <w:rFonts w:ascii="Arial" w:cs="Arial" w:eastAsia="Arial" w:hAnsi="Arial"/>
          <w:sz w:val="17"/>
          <w:szCs w:val="17"/>
          <w:color w:val="auto"/>
        </w:rPr>
        <w:t>On January 21, 2016, the Board approved a new $10 billion share repurchase program for Schlumberger common stock. This new program will take effect once the remaining $0.6 billion authorized to be repurchased under the July 18, 2013 program is exhausted.</w:t>
      </w:r>
    </w:p>
    <w:p>
      <w:pPr>
        <w:spacing w:after="0" w:line="366" w:lineRule="exact"/>
        <w:rPr>
          <w:sz w:val="20"/>
          <w:szCs w:val="20"/>
          <w:color w:val="auto"/>
        </w:rPr>
      </w:pPr>
    </w:p>
    <w:p>
      <w:pPr>
        <w:ind w:left="760" w:hanging="382"/>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Dividends paid during 2016, 2015 and 2014 were $2.6 billion, $2.4 billion and $2.0 billion, respectively.</w:t>
      </w:r>
    </w:p>
    <w:p>
      <w:pPr>
        <w:spacing w:after="0" w:line="11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On January 15, 2015, Schlumberger announced that the Board approved a 25% increase in the quarterly dividend, to $0.50 per share.</w:t>
      </w:r>
    </w:p>
    <w:p>
      <w:pPr>
        <w:spacing w:after="0" w:line="114"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Capital expenditures were $2.1 billion in 2016, $2.4 billion in 2015 and $4.0 billion in 2014. Capital expenditures are expected to be approximately $2.2 billion in 2017.</w:t>
      </w:r>
    </w:p>
    <w:p>
      <w:pPr>
        <w:spacing w:after="0" w:line="56" w:lineRule="exact"/>
        <w:rPr>
          <w:sz w:val="20"/>
          <w:szCs w:val="20"/>
          <w:color w:val="auto"/>
        </w:rPr>
      </w:pPr>
    </w:p>
    <w:p>
      <w:pPr>
        <w:ind w:left="760" w:hanging="382"/>
        <w:spacing w:after="0" w:line="352" w:lineRule="auto"/>
        <w:tabs>
          <w:tab w:leader="none" w:pos="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During 2016, 2015 and 2014 Schlumberger made contributions of $174 million, $346 million and $390 million, respectively, to its postretirement benefit plans. The US pension plans were 85% funded at December 31, 2016 and 86% funded at December 31, 2015 based on the projected benefit obligation.</w:t>
      </w:r>
    </w:p>
    <w:p>
      <w:pPr>
        <w:spacing w:after="0" w:line="10" w:lineRule="exact"/>
        <w:rPr>
          <w:rFonts w:ascii="Arial" w:cs="Arial" w:eastAsia="Arial" w:hAnsi="Arial"/>
          <w:sz w:val="15"/>
          <w:szCs w:val="15"/>
          <w:color w:val="auto"/>
        </w:rPr>
      </w:pPr>
    </w:p>
    <w:p>
      <w:pPr>
        <w:ind w:left="760"/>
        <w:spacing w:after="0" w:line="283" w:lineRule="auto"/>
        <w:rPr>
          <w:rFonts w:ascii="Arial" w:cs="Arial" w:eastAsia="Arial" w:hAnsi="Arial"/>
          <w:sz w:val="15"/>
          <w:szCs w:val="15"/>
          <w:color w:val="auto"/>
        </w:rPr>
      </w:pPr>
      <w:r>
        <w:rPr>
          <w:rFonts w:ascii="Arial" w:cs="Arial" w:eastAsia="Arial" w:hAnsi="Arial"/>
          <w:sz w:val="17"/>
          <w:szCs w:val="17"/>
          <w:color w:val="auto"/>
        </w:rPr>
        <w:t>Schlumberger’s international defined benefit pension plans were a combined 92% funded at December 31, 2016 based on the projected benefit obligation. This compares to 93% funded at December 31, 2015.</w:t>
      </w:r>
    </w:p>
    <w:p>
      <w:pPr>
        <w:spacing w:after="0" w:line="55"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6"/>
          <w:szCs w:val="16"/>
          <w:color w:val="auto"/>
        </w:rPr>
        <w:t>Schlumberger expects to contribute approximately $200 million to its postretirement benefit plans in 2017, subject to market and business conditions.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April 2016, Schlumberger announced that it would reduce its activity in Venezuela to align operations with cash collections as a result of insufficient payments received in recent quarters and a lack of progress in establishing new mechanisms that address past and future accounts receivable. Schlumberger continues to experience delays in payment from its national oil company customer in Venezuela. Venezuela represented less than 5% of Schlumberger’s consolidated revenue for each of the years ended December 31, 2016, 2015 and 2014. Schlumberger’s net receivable balance in Venezuela as of December 31, 2016 was approximately $1.2 billion.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Although accounts receivable collections improved during the fourth quarter of 2016, Schlumberger continues to experience payment delays from many of its customers. This is attributable to the impact of lower oil and gas prices on the industry. In this regard, Ecuador now represents approximately 12% of Schlumberger’s accounts receivable balance at December 31, 2016.</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Schlumberger operates in more than 85 countries. At December 31, 2016, only five of those countries individually accounted for greater than 5% of Schlumberger’s accounts receivable balances, of which only three (the United States, Ecuador and Venezuela) accounted for greater than 10%.</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maintains a €5.0 billion Guaranteed Euro Medium Term Note program. This program provides for the issuance of various types of debt instruments such as fixed or floating rate notes in Euro, US dollar or other currencies. Schlumberger has issued €0.5 billion 1.50% Guaranteed Notes due 2019 under this program.</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2016, Schlumberger had $9.3 billion of cash and short-term investments on hand. Schlumberger also has separate committed debt facility agreements aggregating $6.6 billion with commercial banks, of which $4.0 billion was available and unused as of December 31, 2016. The $6.6 billion of committed debt facility agreements included $6.3 billion of committed facilities which support commercial paper programs. Schlumberger believes that these amounts are sufficient to meet future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total outstanding commercial paper borrowings were $2.571 billion as of December 31, 2016 and $2.383 billion as of December 31, 2015.</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Contractual Obligations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5"/>
          </w:tcPr>
          <w:p>
            <w:pPr>
              <w:ind w:left="880"/>
              <w:spacing w:after="0"/>
              <w:rPr>
                <w:sz w:val="20"/>
                <w:szCs w:val="20"/>
                <w:color w:val="auto"/>
              </w:rPr>
            </w:pPr>
            <w:r>
              <w:rPr>
                <w:rFonts w:ascii="Arial" w:cs="Arial" w:eastAsia="Arial" w:hAnsi="Arial"/>
                <w:sz w:val="17"/>
                <w:szCs w:val="17"/>
                <w:i w:val="1"/>
                <w:iCs w:val="1"/>
                <w:color w:val="auto"/>
              </w:rPr>
              <w:t>(Stated in millions)</w:t>
            </w:r>
          </w:p>
        </w:tc>
      </w:tr>
      <w:tr>
        <w:trPr>
          <w:trHeight w:val="43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80"/>
              <w:spacing w:after="0"/>
              <w:rPr>
                <w:sz w:val="20"/>
                <w:szCs w:val="20"/>
                <w:color w:val="auto"/>
              </w:rPr>
            </w:pPr>
            <w:r>
              <w:rPr>
                <w:rFonts w:ascii="Arial" w:cs="Arial" w:eastAsia="Arial" w:hAnsi="Arial"/>
                <w:sz w:val="17"/>
                <w:szCs w:val="17"/>
                <w:color w:val="auto"/>
              </w:rPr>
              <w:t>Payment Period</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5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0"/>
              </w:rPr>
              <w:t>2018-2019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3"/>
              </w:rPr>
              <w:t>2020-2021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6"/>
              </w:rPr>
              <w:t>After 2021</w:t>
            </w:r>
          </w:p>
        </w:tc>
        <w:tc>
          <w:tcPr>
            <w:tcW w:w="120" w:type="dxa"/>
            <w:vAlign w:val="bottom"/>
            <w:tcBorders>
              <w:bottom w:val="single" w:sz="8" w:color="CFF0FC"/>
            </w:tcBorders>
          </w:tcPr>
          <w:p>
            <w:pPr>
              <w:spacing w:after="0"/>
              <w:rPr>
                <w:sz w:val="18"/>
                <w:szCs w:val="18"/>
                <w:color w:val="auto"/>
              </w:rPr>
            </w:pPr>
          </w:p>
        </w:tc>
      </w:tr>
      <w:tr>
        <w:trPr>
          <w:trHeight w:val="213"/>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Debt </w:t>
            </w:r>
            <w:r>
              <w:rPr>
                <w:rFonts w:ascii="Arial" w:cs="Arial" w:eastAsia="Arial" w:hAnsi="Arial"/>
                <w:sz w:val="14"/>
                <w:szCs w:val="14"/>
                <w:color w:val="auto"/>
              </w:rPr>
              <w:t>(1)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5,750</w:t>
            </w:r>
          </w:p>
        </w:tc>
        <w:tc>
          <w:tcPr>
            <w:tcW w:w="120" w:type="dxa"/>
            <w:vAlign w:val="bottom"/>
            <w:shd w:val="clear" w:color="auto" w:fill="CFF0FC"/>
          </w:tcPr>
          <w:p>
            <w:pPr>
              <w:spacing w:after="0"/>
              <w:rPr>
                <w:sz w:val="18"/>
                <w:szCs w:val="18"/>
                <w:color w:val="auto"/>
              </w:rPr>
            </w:pP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 xml:space="preserve">Interest on fixed rate debt obligations </w:t>
            </w:r>
            <w:r>
              <w:rPr>
                <w:rFonts w:ascii="Arial" w:cs="Arial" w:eastAsia="Arial" w:hAnsi="Arial"/>
                <w:sz w:val="14"/>
                <w:szCs w:val="14"/>
                <w:color w:val="auto"/>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854</w:t>
            </w:r>
          </w:p>
        </w:tc>
        <w:tc>
          <w:tcPr>
            <w:tcW w:w="120" w:type="dxa"/>
            <w:vAlign w:val="bottom"/>
          </w:tcPr>
          <w:p>
            <w:pPr>
              <w:spacing w:after="0"/>
              <w:rPr>
                <w:sz w:val="19"/>
                <w:szCs w:val="19"/>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471</w:t>
            </w:r>
          </w:p>
        </w:tc>
        <w:tc>
          <w:tcPr>
            <w:tcW w:w="120" w:type="dxa"/>
            <w:vAlign w:val="bottom"/>
            <w:shd w:val="clear" w:color="auto" w:fill="CFF0FC"/>
          </w:tcPr>
          <w:p>
            <w:pPr>
              <w:spacing w:after="0"/>
              <w:rPr>
                <w:sz w:val="19"/>
                <w:szCs w:val="19"/>
                <w:color w:val="auto"/>
              </w:rPr>
            </w:pPr>
          </w:p>
        </w:tc>
      </w:tr>
      <w:tr>
        <w:trPr>
          <w:trHeight w:val="220"/>
        </w:trPr>
        <w:tc>
          <w:tcPr>
            <w:tcW w:w="5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(3)</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FF0FC"/>
            </w:tcBorders>
          </w:tcPr>
          <w:p>
            <w:pPr>
              <w:spacing w:after="0"/>
              <w:rPr>
                <w:sz w:val="19"/>
                <w:szCs w:val="19"/>
                <w:color w:val="auto"/>
              </w:rPr>
            </w:pPr>
          </w:p>
        </w:tc>
      </w:tr>
      <w:tr>
        <w:trPr>
          <w:trHeight w:val="213"/>
        </w:trPr>
        <w:tc>
          <w:tcPr>
            <w:tcW w:w="5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6,290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4,780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7,119</w:t>
            </w:r>
          </w:p>
        </w:tc>
        <w:tc>
          <w:tcPr>
            <w:tcW w:w="120" w:type="dxa"/>
            <w:vAlign w:val="bottom"/>
            <w:shd w:val="clear" w:color="auto" w:fill="CFF0FC"/>
          </w:tcPr>
          <w:p>
            <w:pPr>
              <w:spacing w:after="0"/>
              <w:rPr>
                <w:sz w:val="18"/>
                <w:szCs w:val="18"/>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6"/>
          <w:szCs w:val="16"/>
          <w:color w:val="auto"/>
        </w:rPr>
        <w:t>Excludes future payments for interest.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3" w:name="page24"/>
    <w:bookmarkEnd w:id="23"/>
    <w:p>
      <w:pPr>
        <w:ind w:left="380" w:hanging="377"/>
        <w:spacing w:after="0"/>
        <w:tabs>
          <w:tab w:leader="none" w:pos="38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Excludes interest on $4.9 billion of variable rate debt, which had a weighted average interest rate of 1.7% as of December 31, 2016.</w:t>
      </w:r>
    </w:p>
    <w:p>
      <w:pPr>
        <w:spacing w:after="0" w:line="113" w:lineRule="exact"/>
        <w:rPr>
          <w:rFonts w:ascii="Arial" w:cs="Arial" w:eastAsia="Arial" w:hAnsi="Arial"/>
          <w:sz w:val="26"/>
          <w:szCs w:val="26"/>
          <w:color w:val="auto"/>
          <w:vertAlign w:val="superscript"/>
        </w:rPr>
      </w:pPr>
    </w:p>
    <w:p>
      <w:pPr>
        <w:ind w:left="380" w:hanging="377"/>
        <w:spacing w:after="0" w:line="197" w:lineRule="auto"/>
        <w:tabs>
          <w:tab w:leader="none" w:pos="38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20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Refer to Note 18, </w:t>
      </w:r>
      <w:r>
        <w:rPr>
          <w:rFonts w:ascii="Arial" w:cs="Arial" w:eastAsia="Arial" w:hAnsi="Arial"/>
          <w:sz w:val="17"/>
          <w:szCs w:val="17"/>
          <w:i w:val="1"/>
          <w:iCs w:val="1"/>
          <w:color w:val="auto"/>
        </w:rPr>
        <w:t>Pension and Other Benefit Plans,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for details regarding Schlumberger’s pension and other postretirement benefit obligations.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As discussed in Note 14,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the Schlumberger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at December 31, 2016 is approximately $1.4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77"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Multiclient Seismic Data</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Schlumberger capitalizes the costs associated with obtaining multiclient seismic data. The carrying value of the multiclient seismic data library at December 31, 2016 and 2015 was $1.07 billion and $1.03 billion, respectively. Such costs are charged to </w:t>
      </w:r>
      <w:r>
        <w:rPr>
          <w:rFonts w:ascii="Arial" w:cs="Arial" w:eastAsia="Arial" w:hAnsi="Arial"/>
          <w:sz w:val="17"/>
          <w:szCs w:val="17"/>
          <w:i w:val="1"/>
          <w:iCs w:val="1"/>
          <w:color w:val="auto"/>
        </w:rPr>
        <w:t>Cost of revenue</w:t>
      </w:r>
      <w:r>
        <w:rPr>
          <w:rFonts w:ascii="Arial" w:cs="Arial" w:eastAsia="Arial" w:hAnsi="Arial"/>
          <w:sz w:val="17"/>
          <w:szCs w:val="17"/>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larger surveys (which are typically prefunded by customers) are analyzed for impairment on a survey-by-survey basis and smaller surveys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Allowance for Doubtful Accounts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9"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Goodwill, Intangible Assets and Long-Lived Assets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18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Schlumberger has the option to bypass the qualitative assessment for any reporting unit in any period and proceed directly to performing the first step of the two-step goodwill impairment test.</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 purposes of performing the impairment test for goodwill, Schlumberger’s reporting units are its four Groups: Reservoir Characterization, Drilling, Production and Cameron. Schlumberger elected to perform the qualitative assessment described above for purposes of its annual goodwill impairment test in 2016. Based on this assessment, Schlumberger concluded that it was more likely than not that the fair value of each of its reporting units was greater than its carrying amount. Accordingly, no further testing was required.</w:t>
      </w:r>
    </w:p>
    <w:p>
      <w:pPr>
        <w:spacing w:after="0" w:line="17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Long-lived assets, including fixed assets, intangible assets and investments in SPM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Percentage-of-Completion Revenue Recognition</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Schlumberger uses the percentage-of-completion method to account for certain long-term construction-type contracts, primarily in the Cameron Group. These contracts involve significant design and engineering efforts in order to satisfy custom designs for customer-specific applications. Under the percentage-of-completion method, revenue is recognized as work progresses on each contract. Progress is measured by the ratio of actual costs incurred to date on the project in relation to total estimated project costs.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Approximately 6% of Schlumberger’s revenue in 2016 was recognized under the percentage-of-completion method.</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and Postretirement Benefits</w:t>
      </w:r>
    </w:p>
    <w:p>
      <w:pPr>
        <w:spacing w:after="0" w:line="115"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 xml:space="preserve">Schlumberger’s pension and postretirement benefit obligations are described in detail in Note 18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77"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The discount rate that Schlumberger uses reflects the prevailing market rate of a portfolio of high-quality debt instruments with maturities matching the expected timing of payment of the related benefit obligations. The following summarizes the discount rates utilized by Schlumberger for its various pension and postretirement benefit plans:</w:t>
      </w:r>
    </w:p>
    <w:p>
      <w:pPr>
        <w:spacing w:after="0" w:line="69" w:lineRule="exact"/>
        <w:rPr>
          <w:sz w:val="20"/>
          <w:szCs w:val="20"/>
          <w:color w:val="auto"/>
        </w:rPr>
      </w:pPr>
    </w:p>
    <w:p>
      <w:pPr>
        <w:ind w:left="1040" w:right="40" w:hanging="391"/>
        <w:spacing w:after="0" w:line="283"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discount rate utilized to determine the liability for Schlumberger’s United States pension plans and postretirement medical plan was 4.20% at December 31, 2016 and 4.50% at December 31, 2015.</w:t>
      </w:r>
    </w:p>
    <w:p>
      <w:pPr>
        <w:spacing w:after="0" w:line="55" w:lineRule="exact"/>
        <w:rPr>
          <w:rFonts w:ascii="Arial" w:cs="Arial" w:eastAsia="Arial" w:hAnsi="Arial"/>
          <w:sz w:val="17"/>
          <w:szCs w:val="17"/>
          <w:color w:val="auto"/>
        </w:rPr>
      </w:pPr>
    </w:p>
    <w:p>
      <w:pPr>
        <w:ind w:left="1040" w:right="40" w:hanging="391"/>
        <w:spacing w:after="0" w:line="283"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weighted-average discount rate utilized to determine the liability for Schlumberger’s international pension plans was 4.13% at December 31, 2016 and 4.36% at December 31, 2015.</w:t>
      </w:r>
    </w:p>
    <w:p>
      <w:pPr>
        <w:spacing w:after="0" w:line="55" w:lineRule="exact"/>
        <w:rPr>
          <w:rFonts w:ascii="Arial" w:cs="Arial" w:eastAsia="Arial" w:hAnsi="Arial"/>
          <w:sz w:val="17"/>
          <w:szCs w:val="17"/>
          <w:color w:val="auto"/>
        </w:rPr>
      </w:pPr>
    </w:p>
    <w:p>
      <w:pPr>
        <w:ind w:left="1040" w:right="40" w:hanging="391"/>
        <w:spacing w:after="0" w:line="283"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weighted-average discount rate utilized to determine expense for Schlumberger’s United States pension plans and postretirement medical plan decreased from 4.85% in 2015 to 4.15% in 2016.</w:t>
      </w:r>
    </w:p>
    <w:p>
      <w:pPr>
        <w:spacing w:after="0" w:line="55" w:lineRule="exact"/>
        <w:rPr>
          <w:rFonts w:ascii="Arial" w:cs="Arial" w:eastAsia="Arial" w:hAnsi="Arial"/>
          <w:sz w:val="17"/>
          <w:szCs w:val="17"/>
          <w:color w:val="auto"/>
        </w:rPr>
      </w:pPr>
    </w:p>
    <w:p>
      <w:pPr>
        <w:ind w:left="1040" w:right="40" w:hanging="391"/>
        <w:spacing w:after="0" w:line="283"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weighted-average discount rate utilized to determine expense for Schlumberger’s international pension plans increased from 4.07% in 2015 to 4.36% in 2016.</w:t>
      </w:r>
    </w:p>
    <w:p>
      <w:pPr>
        <w:spacing w:after="0" w:line="159"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The expected rate of return for Schlumberger’s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expected rates of return for the investment portfolio, with consideration given to the distribution of investments by asset class and historical rates of return for each individual asset class. The weighted average expected rate of return on plan assets for the United States pension plans was 7.25% in both 2016 and 2015. The weighted average expected rate of return on plan assets for the international pension plans was 7.40% in both 2016 and 2015. A lower expected rate of return would increase pension expense.</w:t>
      </w:r>
    </w:p>
    <w:p>
      <w:pPr>
        <w:spacing w:after="0" w:line="181"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Schlumberger’s medical cost trend rate assumptions are developed based on historical cost data, the near-term outlook and an assessment of likely long-term trends. The overall medical cost trend rate assumption utilized to determine the 2016 postretirement medical expense was 7.50% graded to 5.0% over the next ten years. The overall medical trend rate assumption utilized to determine the postretirement medical liability at December 31, 2016 was 7.25% graded to 5.0% over the next ten years.</w:t>
      </w:r>
    </w:p>
    <w:p>
      <w:pPr>
        <w:spacing w:after="0" w:line="177"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The following illustrates the sensitivity to changes in certain assumptions, holding all other assumptions constant, for Schlumberger’s United States and international pension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ind w:left="54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Effect on 2016</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Effect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7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Change in Assumption</w:t>
            </w:r>
          </w:p>
        </w:tc>
        <w:tc>
          <w:tcPr>
            <w:tcW w:w="3060" w:type="dxa"/>
            <w:vAlign w:val="bottom"/>
          </w:tcPr>
          <w:p>
            <w:pPr>
              <w:spacing w:after="0"/>
              <w:rPr>
                <w:sz w:val="19"/>
                <w:szCs w:val="19"/>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Pretax Pension</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Dec. 31, 2016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760" w:type="dxa"/>
            <w:vAlign w:val="bottom"/>
            <w:gridSpan w:val="2"/>
            <w:vMerge w:val="continue"/>
          </w:tcPr>
          <w:p>
            <w:pPr>
              <w:spacing w:after="0"/>
              <w:rPr>
                <w:sz w:val="15"/>
                <w:szCs w:val="15"/>
                <w:color w:val="auto"/>
              </w:rPr>
            </w:pPr>
          </w:p>
        </w:tc>
        <w:tc>
          <w:tcPr>
            <w:tcW w:w="3060" w:type="dxa"/>
            <w:vAlign w:val="bottom"/>
          </w:tcPr>
          <w:p>
            <w:pPr>
              <w:spacing w:after="0"/>
              <w:rPr>
                <w:sz w:val="15"/>
                <w:szCs w:val="15"/>
                <w:color w:val="auto"/>
              </w:rPr>
            </w:pPr>
          </w:p>
        </w:tc>
        <w:tc>
          <w:tcPr>
            <w:tcW w:w="1900" w:type="dxa"/>
            <w:vAlign w:val="bottom"/>
            <w:gridSpan w:val="2"/>
          </w:tcPr>
          <w:p>
            <w:pPr>
              <w:jc w:val="center"/>
              <w:ind w:right="200"/>
              <w:spacing w:after="0" w:line="180" w:lineRule="exact"/>
              <w:rPr>
                <w:sz w:val="20"/>
                <w:szCs w:val="20"/>
                <w:color w:val="auto"/>
              </w:rPr>
            </w:pPr>
            <w:r>
              <w:rPr>
                <w:rFonts w:ascii="Arial" w:cs="Arial" w:eastAsia="Arial" w:hAnsi="Arial"/>
                <w:sz w:val="17"/>
                <w:szCs w:val="17"/>
                <w:color w:val="auto"/>
                <w:w w:val="87"/>
              </w:rPr>
              <w:t>Expense</w:t>
            </w:r>
          </w:p>
        </w:tc>
        <w:tc>
          <w:tcPr>
            <w:tcW w:w="1700" w:type="dxa"/>
            <w:vAlign w:val="bottom"/>
            <w:gridSpan w:val="2"/>
          </w:tcPr>
          <w:p>
            <w:pPr>
              <w:jc w:val="center"/>
              <w:ind w:right="100"/>
              <w:spacing w:after="0" w:line="180" w:lineRule="exact"/>
              <w:rPr>
                <w:sz w:val="20"/>
                <w:szCs w:val="20"/>
                <w:color w:val="auto"/>
              </w:rPr>
            </w:pPr>
            <w:r>
              <w:rPr>
                <w:rFonts w:ascii="Arial" w:cs="Arial" w:eastAsia="Arial" w:hAnsi="Arial"/>
                <w:sz w:val="17"/>
                <w:szCs w:val="17"/>
                <w:color w:val="auto"/>
              </w:rPr>
              <w:t>Liability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CFF0FC"/>
            </w:tcBorders>
          </w:tcPr>
          <w:p>
            <w:pPr>
              <w:spacing w:after="0" w:line="20" w:lineRule="exact"/>
              <w:rPr>
                <w:sz w:val="1"/>
                <w:szCs w:val="1"/>
                <w:color w:val="auto"/>
              </w:rPr>
            </w:pPr>
          </w:p>
        </w:tc>
        <w:tc>
          <w:tcPr>
            <w:tcW w:w="3080" w:type="dxa"/>
            <w:vAlign w:val="bottom"/>
            <w:tcBorders>
              <w:bottom w:val="single" w:sz="8" w:color="CFF0FC"/>
            </w:tcBorders>
          </w:tcPr>
          <w:p>
            <w:pPr>
              <w:spacing w:after="0" w:line="20" w:lineRule="exact"/>
              <w:rPr>
                <w:sz w:val="1"/>
                <w:szCs w:val="1"/>
                <w:color w:val="auto"/>
              </w:rPr>
            </w:pPr>
          </w:p>
        </w:tc>
        <w:tc>
          <w:tcPr>
            <w:tcW w:w="306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25 basis point decrease in discount rate</w:t>
            </w:r>
          </w:p>
        </w:tc>
        <w:tc>
          <w:tcPr>
            <w:tcW w:w="4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7"/>
                <w:szCs w:val="17"/>
                <w:color w:val="auto"/>
              </w:rPr>
              <w:t>25 basis point increase in discount rate</w:t>
            </w:r>
          </w:p>
        </w:tc>
        <w:tc>
          <w:tcPr>
            <w:tcW w:w="478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25 basis point decrease in expected return on plan assets</w:t>
            </w:r>
          </w:p>
        </w:tc>
        <w:tc>
          <w:tcPr>
            <w:tcW w:w="4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7"/>
                <w:szCs w:val="17"/>
                <w:color w:val="auto"/>
              </w:rPr>
              <w:t>25 basis point increase in expected return on plan assets</w:t>
            </w:r>
          </w:p>
        </w:tc>
        <w:tc>
          <w:tcPr>
            <w:tcW w:w="478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1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tcPr>
          <w:p>
            <w:pPr>
              <w:jc w:val="right"/>
              <w:ind w:right="1934"/>
              <w:spacing w:after="0"/>
              <w:rPr>
                <w:sz w:val="20"/>
                <w:szCs w:val="20"/>
                <w:color w:val="auto"/>
              </w:rPr>
            </w:pPr>
            <w:r>
              <w:rPr>
                <w:rFonts w:ascii="Arial" w:cs="Arial" w:eastAsia="Arial" w:hAnsi="Arial"/>
                <w:sz w:val="17"/>
                <w:szCs w:val="17"/>
                <w:color w:val="auto"/>
              </w:rPr>
              <w:t>26</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26" w:name="page27"/>
    <w:bookmarkEnd w:id="26"/>
    <w:p>
      <w:pPr>
        <w:jc w:val="both"/>
        <w:spacing w:after="0" w:line="283" w:lineRule="auto"/>
        <w:rPr>
          <w:sz w:val="20"/>
          <w:szCs w:val="20"/>
          <w:color w:val="auto"/>
        </w:rPr>
      </w:pPr>
      <w:r>
        <w:rPr>
          <w:rFonts w:ascii="Arial" w:cs="Arial" w:eastAsia="Arial" w:hAnsi="Arial"/>
          <w:sz w:val="17"/>
          <w:szCs w:val="17"/>
          <w:color w:val="auto"/>
        </w:rPr>
        <w:t>The following illustrates the sensitivity to changes in certain assumptions, holding all other assumptions constant, for Schlumberger’s United States postretirement medical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5"/>
        </w:trPr>
        <w:tc>
          <w:tcPr>
            <w:tcW w:w="16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0" w:type="dxa"/>
            <w:vAlign w:val="bottom"/>
          </w:tcPr>
          <w:p>
            <w:pPr>
              <w:jc w:val="center"/>
              <w:ind w:left="214"/>
              <w:spacing w:after="0"/>
              <w:rPr>
                <w:sz w:val="20"/>
                <w:szCs w:val="20"/>
                <w:color w:val="auto"/>
              </w:rPr>
            </w:pPr>
            <w:r>
              <w:rPr>
                <w:rFonts w:ascii="Arial" w:cs="Arial" w:eastAsia="Arial" w:hAnsi="Arial"/>
                <w:sz w:val="17"/>
                <w:szCs w:val="17"/>
                <w:color w:val="auto"/>
                <w:w w:val="92"/>
              </w:rPr>
              <w:t>Effect on 2016</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5"/>
              </w:rPr>
              <w:t>Effect on</w:t>
            </w:r>
          </w:p>
        </w:tc>
        <w:tc>
          <w:tcPr>
            <w:tcW w:w="0" w:type="dxa"/>
            <w:vAlign w:val="bottom"/>
          </w:tcPr>
          <w:p>
            <w:pPr>
              <w:spacing w:after="0"/>
              <w:rPr>
                <w:sz w:val="1"/>
                <w:szCs w:val="1"/>
                <w:color w:val="auto"/>
              </w:rPr>
            </w:pPr>
          </w:p>
        </w:tc>
      </w:tr>
      <w:tr>
        <w:trPr>
          <w:trHeight w:val="220"/>
        </w:trPr>
        <w:tc>
          <w:tcPr>
            <w:tcW w:w="7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Change in Assumption</w:t>
            </w:r>
          </w:p>
        </w:tc>
        <w:tc>
          <w:tcPr>
            <w:tcW w:w="1400" w:type="dxa"/>
            <w:vAlign w:val="bottom"/>
          </w:tcPr>
          <w:p>
            <w:pPr>
              <w:jc w:val="center"/>
              <w:ind w:left="234"/>
              <w:spacing w:after="0"/>
              <w:rPr>
                <w:sz w:val="20"/>
                <w:szCs w:val="20"/>
                <w:color w:val="auto"/>
              </w:rPr>
            </w:pPr>
            <w:r>
              <w:rPr>
                <w:rFonts w:ascii="Arial" w:cs="Arial" w:eastAsia="Arial" w:hAnsi="Arial"/>
                <w:sz w:val="17"/>
                <w:szCs w:val="17"/>
                <w:color w:val="auto"/>
                <w:w w:val="90"/>
              </w:rPr>
              <w:t>Pretax Pension</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Dec. 31, 2016</w:t>
            </w:r>
          </w:p>
        </w:tc>
        <w:tc>
          <w:tcPr>
            <w:tcW w:w="0" w:type="dxa"/>
            <w:vAlign w:val="bottom"/>
          </w:tcPr>
          <w:p>
            <w:pPr>
              <w:spacing w:after="0"/>
              <w:rPr>
                <w:sz w:val="1"/>
                <w:szCs w:val="1"/>
                <w:color w:val="auto"/>
              </w:rPr>
            </w:pPr>
          </w:p>
        </w:tc>
      </w:tr>
      <w:tr>
        <w:trPr>
          <w:trHeight w:val="181"/>
        </w:trPr>
        <w:tc>
          <w:tcPr>
            <w:tcW w:w="7800" w:type="dxa"/>
            <w:vAlign w:val="bottom"/>
            <w:gridSpan w:val="2"/>
            <w:vMerge w:val="continue"/>
          </w:tcPr>
          <w:p>
            <w:pPr>
              <w:spacing w:after="0"/>
              <w:rPr>
                <w:sz w:val="15"/>
                <w:szCs w:val="15"/>
                <w:color w:val="auto"/>
              </w:rPr>
            </w:pPr>
          </w:p>
        </w:tc>
        <w:tc>
          <w:tcPr>
            <w:tcW w:w="1400" w:type="dxa"/>
            <w:vAlign w:val="bottom"/>
          </w:tcPr>
          <w:p>
            <w:pPr>
              <w:jc w:val="center"/>
              <w:ind w:left="234"/>
              <w:spacing w:after="0" w:line="180" w:lineRule="exact"/>
              <w:rPr>
                <w:sz w:val="20"/>
                <w:szCs w:val="20"/>
                <w:color w:val="auto"/>
              </w:rPr>
            </w:pPr>
            <w:r>
              <w:rPr>
                <w:rFonts w:ascii="Arial" w:cs="Arial" w:eastAsia="Arial" w:hAnsi="Arial"/>
                <w:sz w:val="17"/>
                <w:szCs w:val="17"/>
                <w:color w:val="auto"/>
                <w:w w:val="90"/>
              </w:rPr>
              <w:t>Expense</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center"/>
              <w:spacing w:after="0" w:line="180" w:lineRule="exact"/>
              <w:rPr>
                <w:sz w:val="20"/>
                <w:szCs w:val="20"/>
                <w:color w:val="auto"/>
              </w:rPr>
            </w:pPr>
            <w:r>
              <w:rPr>
                <w:rFonts w:ascii="Arial" w:cs="Arial" w:eastAsia="Arial" w:hAnsi="Arial"/>
                <w:sz w:val="17"/>
                <w:szCs w:val="17"/>
                <w:color w:val="auto"/>
              </w:rPr>
              <w:t>Liability</w:t>
            </w:r>
          </w:p>
        </w:tc>
        <w:tc>
          <w:tcPr>
            <w:tcW w:w="0" w:type="dxa"/>
            <w:vAlign w:val="bottom"/>
          </w:tcPr>
          <w:p>
            <w:pPr>
              <w:spacing w:after="0"/>
              <w:rPr>
                <w:sz w:val="1"/>
                <w:szCs w:val="1"/>
                <w:color w:val="auto"/>
              </w:rPr>
            </w:pPr>
          </w:p>
        </w:tc>
      </w:tr>
      <w:tr>
        <w:trPr>
          <w:trHeight w:val="20"/>
        </w:trPr>
        <w:tc>
          <w:tcPr>
            <w:tcW w:w="1680" w:type="dxa"/>
            <w:vAlign w:val="bottom"/>
            <w:tcBorders>
              <w:top w:val="single" w:sz="8" w:color="auto"/>
              <w:bottom w:val="single" w:sz="8" w:color="CFF0FC"/>
            </w:tcBorders>
          </w:tcPr>
          <w:p>
            <w:pPr>
              <w:spacing w:after="0" w:line="20" w:lineRule="exact"/>
              <w:rPr>
                <w:sz w:val="1"/>
                <w:szCs w:val="1"/>
                <w:color w:val="auto"/>
              </w:rPr>
            </w:pPr>
          </w:p>
        </w:tc>
        <w:tc>
          <w:tcPr>
            <w:tcW w:w="612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25 basis point decrease in discount rate</w:t>
            </w: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0"/>
        </w:trPr>
        <w:tc>
          <w:tcPr>
            <w:tcW w:w="7800" w:type="dxa"/>
            <w:vAlign w:val="bottom"/>
            <w:gridSpan w:val="2"/>
          </w:tcPr>
          <w:p>
            <w:pPr>
              <w:spacing w:after="0"/>
              <w:rPr>
                <w:sz w:val="20"/>
                <w:szCs w:val="20"/>
                <w:color w:val="auto"/>
              </w:rPr>
            </w:pPr>
            <w:r>
              <w:rPr>
                <w:rFonts w:ascii="Arial" w:cs="Arial" w:eastAsia="Arial" w:hAnsi="Arial"/>
                <w:sz w:val="17"/>
                <w:szCs w:val="17"/>
                <w:color w:val="auto"/>
              </w:rPr>
              <w:t>25 basis point increase in discount rate</w:t>
            </w:r>
          </w:p>
        </w:tc>
        <w:tc>
          <w:tcPr>
            <w:tcW w:w="1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0"/>
        </w:trPr>
        <w:tc>
          <w:tcPr>
            <w:tcW w:w="7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100 basis point decrease per annum in medical cost trend rate</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0"/>
        </w:trPr>
        <w:tc>
          <w:tcPr>
            <w:tcW w:w="7800" w:type="dxa"/>
            <w:vAlign w:val="bottom"/>
            <w:gridSpan w:val="2"/>
          </w:tcPr>
          <w:p>
            <w:pPr>
              <w:spacing w:after="0"/>
              <w:rPr>
                <w:sz w:val="20"/>
                <w:szCs w:val="20"/>
                <w:color w:val="auto"/>
              </w:rPr>
            </w:pPr>
            <w:r>
              <w:rPr>
                <w:rFonts w:ascii="Arial" w:cs="Arial" w:eastAsia="Arial" w:hAnsi="Arial"/>
                <w:sz w:val="17"/>
                <w:szCs w:val="17"/>
                <w:color w:val="auto"/>
              </w:rPr>
              <w:t>100 basis point increase per annum in medical cost trend rate</w:t>
            </w:r>
          </w:p>
        </w:tc>
        <w:tc>
          <w:tcPr>
            <w:tcW w:w="1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Schlumberger is subject to market risks primarily associated with changes in foreign currency exchange rates and interest rates.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a multinational company, Schlumberger operates in more than 85 countries. Schlumberger’s functional currency is primarily the US dollar. Approximately 77% of Schlumberger’s revenue in 2016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maintains a foreign-currency risk management strategy that uses derivative instruments to manage the impact of changes in foreign exchange rates on its earnings. Schlumberger enters into foreign currency forward contracts to provide a hedge against currency fluctuations on certain monetary assets and liabilities, and certain expenses denominated in currencies other than the functional currency.</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 10% appreciation in the US dollar from the December 31, 2016 market rates would increase the unrealized value of Schlumberger’s forward contracts by $47 million. Conversely, a 10% depreciation in the US dollar from the December 31, 2016 market rates would decrease the unrealized value of Schlumberger’s forward contracts by $57 million. In either scenario, the gain or loss on the forward contract would be offset by the gain or loss on the underlying transaction, and therefore, would have no impact on future earnings.</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At December 31, 2016, contracts were outstanding for the US dollar equivalent of $5.5 billion in various foreign currencies of which $1.1 billion related to hedges of debt balances denominated in currencies other than the functional currency.</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2016, Schlumberger had fixed rate debt aggregating approximately $14.7 billion and variable rate debt aggregating approximately $4.9 billion, before considering the effects of cross currency swaps.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Schlumberger’s exposure to interest rate risk associated with its debt is also partially mitigated by its investment portfolio. Both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Fixed</w:t>
      </w:r>
      <w:r>
        <w:rPr>
          <w:rFonts w:ascii="Arial" w:cs="Arial" w:eastAsia="Arial" w:hAnsi="Arial"/>
          <w:sz w:val="17"/>
          <w:szCs w:val="17"/>
          <w:color w:val="auto"/>
        </w:rPr>
        <w:t xml:space="preserve"> </w:t>
      </w:r>
      <w:r>
        <w:rPr>
          <w:rFonts w:ascii="Arial" w:cs="Arial" w:eastAsia="Arial" w:hAnsi="Arial"/>
          <w:sz w:val="17"/>
          <w:szCs w:val="17"/>
          <w:i w:val="1"/>
          <w:iCs w:val="1"/>
          <w:color w:val="auto"/>
        </w:rPr>
        <w:t>income investments</w:t>
      </w:r>
      <w:r>
        <w:rPr>
          <w:rFonts w:ascii="Arial" w:cs="Arial" w:eastAsia="Arial" w:hAnsi="Arial"/>
          <w:sz w:val="17"/>
          <w:szCs w:val="17"/>
          <w:color w:val="auto"/>
        </w:rPr>
        <w:t>,</w:t>
      </w:r>
      <w:r>
        <w:rPr>
          <w:rFonts w:ascii="Arial" w:cs="Arial" w:eastAsia="Arial" w:hAnsi="Arial"/>
          <w:sz w:val="17"/>
          <w:szCs w:val="17"/>
          <w:i w:val="1"/>
          <w:iCs w:val="1"/>
          <w:color w:val="auto"/>
        </w:rPr>
        <w:t xml:space="preserve"> held to maturity</w:t>
      </w:r>
      <w:r>
        <w:rPr>
          <w:rFonts w:ascii="Arial" w:cs="Arial" w:eastAsia="Arial" w:hAnsi="Arial"/>
          <w:sz w:val="17"/>
          <w:szCs w:val="17"/>
          <w:color w:val="auto"/>
        </w:rPr>
        <w:t>, which totaled approximately $6.6 billion at December 31, 2016, are comprised primarily of money market funds, time deposits,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certificates of deposit, commercial paper, bonds and notes, substantially all of which are denominated in US dollars. The average return on investments was 0.9% in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following table reflects the carrying amounts of Schlumberger’s debt at December 31, 2016 by year of maturity:</w:t>
      </w:r>
    </w:p>
    <w:p>
      <w:pPr>
        <w:spacing w:after="0" w:line="289" w:lineRule="exact"/>
        <w:rPr>
          <w:sz w:val="20"/>
          <w:szCs w:val="20"/>
          <w:color w:val="auto"/>
        </w:rPr>
      </w:pPr>
    </w:p>
    <w:p>
      <w:pPr>
        <w:ind w:left="10220"/>
        <w:spacing w:after="0"/>
        <w:rPr>
          <w:sz w:val="20"/>
          <w:szCs w:val="20"/>
          <w:color w:val="auto"/>
        </w:rPr>
      </w:pPr>
      <w:r>
        <w:rPr>
          <w:rFonts w:ascii="Arial" w:cs="Arial" w:eastAsia="Arial" w:hAnsi="Arial"/>
          <w:sz w:val="14"/>
          <w:szCs w:val="14"/>
          <w:i w:val="1"/>
          <w:iCs w:val="1"/>
          <w:color w:val="auto"/>
        </w:rPr>
        <w:t>(Stated in millions)</w:t>
      </w:r>
    </w:p>
    <w:p>
      <w:pPr>
        <w:spacing w:after="0" w:line="22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Expected Maturity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15240</wp:posOffset>
            </wp:positionV>
            <wp:extent cx="5619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1975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color w:val="auto"/>
                <w:w w:val="95"/>
              </w:rPr>
              <w:t>2017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color w:val="auto"/>
                <w:w w:val="95"/>
              </w:rPr>
              <w:t>2018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color w:val="auto"/>
                <w:w w:val="95"/>
              </w:rPr>
              <w:t>2019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76"/>
              <w:spacing w:after="0"/>
              <w:rPr>
                <w:sz w:val="20"/>
                <w:szCs w:val="20"/>
                <w:color w:val="auto"/>
              </w:rPr>
            </w:pPr>
            <w:r>
              <w:rPr>
                <w:rFonts w:ascii="Arial" w:cs="Arial" w:eastAsia="Arial" w:hAnsi="Arial"/>
                <w:sz w:val="16"/>
                <w:szCs w:val="16"/>
                <w:color w:val="auto"/>
                <w:w w:val="95"/>
              </w:rPr>
              <w:t>2020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5"/>
              <w:spacing w:after="0"/>
              <w:rPr>
                <w:sz w:val="20"/>
                <w:szCs w:val="20"/>
                <w:color w:val="auto"/>
              </w:rPr>
            </w:pPr>
            <w:r>
              <w:rPr>
                <w:rFonts w:ascii="Arial" w:cs="Arial" w:eastAsia="Arial" w:hAnsi="Arial"/>
                <w:sz w:val="16"/>
                <w:szCs w:val="16"/>
                <w:color w:val="auto"/>
                <w:w w:val="89"/>
              </w:rPr>
              <w:t>2021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75"/>
              <w:spacing w:after="0"/>
              <w:rPr>
                <w:sz w:val="20"/>
                <w:szCs w:val="20"/>
                <w:color w:val="auto"/>
              </w:rPr>
            </w:pPr>
            <w:r>
              <w:rPr>
                <w:rFonts w:ascii="Arial" w:cs="Arial" w:eastAsia="Arial" w:hAnsi="Arial"/>
                <w:sz w:val="16"/>
                <w:szCs w:val="16"/>
                <w:color w:val="auto"/>
                <w:w w:val="95"/>
              </w:rPr>
              <w:t>2022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5"/>
              <w:spacing w:after="0"/>
              <w:rPr>
                <w:sz w:val="20"/>
                <w:szCs w:val="20"/>
                <w:color w:val="auto"/>
              </w:rPr>
            </w:pPr>
            <w:r>
              <w:rPr>
                <w:rFonts w:ascii="Arial" w:cs="Arial" w:eastAsia="Arial" w:hAnsi="Arial"/>
                <w:sz w:val="16"/>
                <w:szCs w:val="16"/>
                <w:color w:val="auto"/>
                <w:w w:val="89"/>
              </w:rPr>
              <w:t>2023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6"/>
              <w:spacing w:after="0"/>
              <w:rPr>
                <w:sz w:val="20"/>
                <w:szCs w:val="20"/>
                <w:color w:val="auto"/>
              </w:rPr>
            </w:pPr>
            <w:r>
              <w:rPr>
                <w:rFonts w:ascii="Arial" w:cs="Arial" w:eastAsia="Arial" w:hAnsi="Arial"/>
                <w:sz w:val="16"/>
                <w:szCs w:val="16"/>
                <w:color w:val="auto"/>
                <w:w w:val="89"/>
              </w:rPr>
              <w:t>2024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6"/>
              <w:spacing w:after="0"/>
              <w:rPr>
                <w:sz w:val="20"/>
                <w:szCs w:val="20"/>
                <w:color w:val="auto"/>
              </w:rPr>
            </w:pPr>
            <w:r>
              <w:rPr>
                <w:rFonts w:ascii="Arial" w:cs="Arial" w:eastAsia="Arial" w:hAnsi="Arial"/>
                <w:sz w:val="16"/>
                <w:szCs w:val="16"/>
                <w:color w:val="auto"/>
                <w:w w:val="89"/>
              </w:rPr>
              <w:t>2025</w:t>
            </w:r>
          </w:p>
        </w:tc>
        <w:tc>
          <w:tcPr>
            <w:tcW w:w="1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16"/>
                <w:szCs w:val="16"/>
                <w:color w:val="auto"/>
              </w:rPr>
              <w:t>Total</w:t>
            </w:r>
          </w:p>
        </w:tc>
      </w:tr>
      <w:tr>
        <w:trPr>
          <w:trHeight w:val="215"/>
        </w:trPr>
        <w:tc>
          <w:tcPr>
            <w:tcW w:w="2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Fixed rate debt</w:t>
            </w:r>
          </w:p>
        </w:tc>
        <w:tc>
          <w:tcPr>
            <w:tcW w:w="3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1.25%</w:t>
            </w:r>
          </w:p>
        </w:tc>
        <w:tc>
          <w:tcPr>
            <w:tcW w:w="1620" w:type="dxa"/>
            <w:vAlign w:val="bottom"/>
          </w:tcPr>
          <w:p>
            <w:pPr>
              <w:ind w:left="40"/>
              <w:spacing w:after="0"/>
              <w:rPr>
                <w:sz w:val="20"/>
                <w:szCs w:val="20"/>
                <w:color w:val="auto"/>
              </w:rPr>
            </w:pPr>
            <w:r>
              <w:rPr>
                <w:rFonts w:ascii="Arial" w:cs="Arial" w:eastAsia="Arial" w:hAnsi="Arial"/>
                <w:sz w:val="17"/>
                <w:szCs w:val="17"/>
                <w:color w:val="auto"/>
              </w:rPr>
              <w:t>Senior Notes</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1.40%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1.90%</w:t>
            </w:r>
          </w:p>
        </w:tc>
        <w:tc>
          <w:tcPr>
            <w:tcW w:w="1620" w:type="dxa"/>
            <w:vAlign w:val="bottom"/>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2.35%</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1,297</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6.38%</w:t>
            </w:r>
          </w:p>
        </w:tc>
        <w:tc>
          <w:tcPr>
            <w:tcW w:w="1620" w:type="dxa"/>
            <w:vAlign w:val="bottom"/>
          </w:tcPr>
          <w:p>
            <w:pPr>
              <w:ind w:left="40"/>
              <w:spacing w:after="0"/>
              <w:rPr>
                <w:sz w:val="20"/>
                <w:szCs w:val="20"/>
                <w:color w:val="auto"/>
              </w:rPr>
            </w:pPr>
            <w:r>
              <w:rPr>
                <w:rFonts w:ascii="Arial" w:cs="Arial" w:eastAsia="Arial" w:hAnsi="Arial"/>
                <w:sz w:val="17"/>
                <w:szCs w:val="17"/>
                <w:color w:val="auto"/>
              </w:rPr>
              <w:t>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0.63%</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Guaranteed 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622</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1.50%</w:t>
            </w:r>
          </w:p>
        </w:tc>
        <w:tc>
          <w:tcPr>
            <w:tcW w:w="1620" w:type="dxa"/>
            <w:vAlign w:val="bottom"/>
          </w:tcPr>
          <w:p>
            <w:pPr>
              <w:ind w:left="40"/>
              <w:spacing w:after="0"/>
              <w:rPr>
                <w:sz w:val="20"/>
                <w:szCs w:val="20"/>
                <w:color w:val="auto"/>
              </w:rPr>
            </w:pPr>
            <w:r>
              <w:rPr>
                <w:rFonts w:ascii="Arial" w:cs="Arial" w:eastAsia="Arial" w:hAnsi="Arial"/>
                <w:sz w:val="17"/>
                <w:szCs w:val="17"/>
                <w:color w:val="auto"/>
              </w:rPr>
              <w:t>Guaranteed 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536</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3.00%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3.30%</w:t>
            </w:r>
          </w:p>
        </w:tc>
        <w:tc>
          <w:tcPr>
            <w:tcW w:w="1620" w:type="dxa"/>
            <w:vAlign w:val="bottom"/>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1,594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1,594</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4.20%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1,100</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4.50%</w:t>
            </w:r>
          </w:p>
        </w:tc>
        <w:tc>
          <w:tcPr>
            <w:tcW w:w="1620" w:type="dxa"/>
            <w:vAlign w:val="bottom"/>
          </w:tcPr>
          <w:p>
            <w:pPr>
              <w:ind w:left="40"/>
              <w:spacing w:after="0"/>
              <w:rPr>
                <w:sz w:val="20"/>
                <w:szCs w:val="20"/>
                <w:color w:val="auto"/>
              </w:rPr>
            </w:pPr>
            <w:r>
              <w:rPr>
                <w:rFonts w:ascii="Arial" w:cs="Arial" w:eastAsia="Arial" w:hAnsi="Arial"/>
                <w:sz w:val="17"/>
                <w:szCs w:val="17"/>
                <w:color w:val="auto"/>
              </w:rPr>
              <w:t>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2.40%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996</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3.63%</w:t>
            </w:r>
          </w:p>
        </w:tc>
        <w:tc>
          <w:tcPr>
            <w:tcW w:w="1620" w:type="dxa"/>
            <w:vAlign w:val="bottom"/>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845</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3.60%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3.65%</w:t>
            </w:r>
          </w:p>
        </w:tc>
        <w:tc>
          <w:tcPr>
            <w:tcW w:w="1620" w:type="dxa"/>
            <w:vAlign w:val="bottom"/>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1,491</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4.00%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3.70%</w:t>
            </w:r>
          </w:p>
        </w:tc>
        <w:tc>
          <w:tcPr>
            <w:tcW w:w="1620" w:type="dxa"/>
            <w:vAlign w:val="bottom"/>
          </w:tcPr>
          <w:p>
            <w:pPr>
              <w:ind w:left="40"/>
              <w:spacing w:after="0"/>
              <w:rPr>
                <w:sz w:val="20"/>
                <w:szCs w:val="20"/>
                <w:color w:val="auto"/>
              </w:rPr>
            </w:pPr>
            <w:r>
              <w:rPr>
                <w:rFonts w:ascii="Arial" w:cs="Arial" w:eastAsia="Arial" w:hAnsi="Arial"/>
                <w:sz w:val="17"/>
                <w:szCs w:val="17"/>
                <w:color w:val="auto"/>
              </w:rPr>
              <w:t>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4.00%</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1,740</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7.00%</w:t>
            </w:r>
          </w:p>
        </w:tc>
        <w:tc>
          <w:tcPr>
            <w:tcW w:w="1620" w:type="dxa"/>
            <w:vAlign w:val="bottom"/>
          </w:tcPr>
          <w:p>
            <w:pPr>
              <w:ind w:left="40"/>
              <w:spacing w:after="0"/>
              <w:rPr>
                <w:sz w:val="20"/>
                <w:szCs w:val="20"/>
                <w:color w:val="auto"/>
              </w:rPr>
            </w:pPr>
            <w:r>
              <w:rPr>
                <w:rFonts w:ascii="Arial" w:cs="Arial" w:eastAsia="Arial" w:hAnsi="Arial"/>
                <w:sz w:val="17"/>
                <w:szCs w:val="17"/>
                <w:color w:val="auto"/>
              </w:rPr>
              <w:t>Notes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5.95%</w:t>
            </w:r>
          </w:p>
        </w:tc>
        <w:tc>
          <w:tcPr>
            <w:tcW w:w="1620" w:type="dxa"/>
            <w:vAlign w:val="bottom"/>
            <w:shd w:val="clear" w:color="auto" w:fill="CFF0FC"/>
          </w:tcPr>
          <w:p>
            <w:pPr>
              <w:ind w:left="40"/>
              <w:spacing w:after="0"/>
              <w:rPr>
                <w:sz w:val="20"/>
                <w:szCs w:val="20"/>
                <w:color w:val="auto"/>
              </w:rPr>
            </w:pPr>
            <w:r>
              <w:rPr>
                <w:rFonts w:ascii="Arial" w:cs="Arial" w:eastAsia="Arial" w:hAnsi="Arial"/>
                <w:sz w:val="17"/>
                <w:szCs w:val="17"/>
                <w:color w:val="auto"/>
              </w:rPr>
              <w:t>Notes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FF0FC"/>
          </w:tcPr>
          <w:p>
            <w:pPr>
              <w:spacing w:after="0"/>
              <w:rPr>
                <w:sz w:val="19"/>
                <w:szCs w:val="19"/>
                <w:color w:val="auto"/>
              </w:rPr>
            </w:pPr>
          </w:p>
        </w:tc>
      </w:tr>
      <w:tr>
        <w:trPr>
          <w:trHeight w:val="220"/>
        </w:trPr>
        <w:tc>
          <w:tcPr>
            <w:tcW w:w="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w w:val="91"/>
              </w:rPr>
              <w:t>5.13%</w:t>
            </w:r>
          </w:p>
        </w:tc>
        <w:tc>
          <w:tcPr>
            <w:tcW w:w="1620" w:type="dxa"/>
            <w:vAlign w:val="bottom"/>
            <w:tcBorders>
              <w:bottom w:val="single" w:sz="8" w:color="CFF0FC"/>
            </w:tcBorders>
          </w:tcPr>
          <w:p>
            <w:pPr>
              <w:ind w:left="40"/>
              <w:spacing w:after="0"/>
              <w:rPr>
                <w:sz w:val="20"/>
                <w:szCs w:val="20"/>
                <w:color w:val="auto"/>
              </w:rPr>
            </w:pPr>
            <w:r>
              <w:rPr>
                <w:rFonts w:ascii="Arial" w:cs="Arial" w:eastAsia="Arial" w:hAnsi="Arial"/>
                <w:sz w:val="17"/>
                <w:szCs w:val="17"/>
                <w:color w:val="auto"/>
              </w:rPr>
              <w:t>Notes</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FF0FC"/>
            </w:tcBorders>
          </w:tcPr>
          <w:p>
            <w:pPr>
              <w:spacing w:after="0"/>
              <w:rPr>
                <w:sz w:val="19"/>
                <w:szCs w:val="19"/>
                <w:color w:val="auto"/>
              </w:rPr>
            </w:pPr>
          </w:p>
        </w:tc>
      </w:tr>
      <w:tr>
        <w:trPr>
          <w:trHeight w:val="213"/>
        </w:trPr>
        <w:tc>
          <w:tcPr>
            <w:tcW w:w="2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fixed rate debt</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14,673</w:t>
            </w:r>
          </w:p>
        </w:tc>
        <w:tc>
          <w:tcPr>
            <w:tcW w:w="120" w:type="dxa"/>
            <w:vAlign w:val="bottom"/>
            <w:shd w:val="clear" w:color="auto" w:fill="CFF0FC"/>
          </w:tcPr>
          <w:p>
            <w:pPr>
              <w:spacing w:after="0"/>
              <w:rPr>
                <w:sz w:val="18"/>
                <w:szCs w:val="18"/>
                <w:color w:val="auto"/>
              </w:rPr>
            </w:pPr>
          </w:p>
        </w:tc>
      </w:tr>
      <w:tr>
        <w:trPr>
          <w:trHeight w:val="220"/>
        </w:trPr>
        <w:tc>
          <w:tcPr>
            <w:tcW w:w="208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b w:val="1"/>
                <w:bCs w:val="1"/>
                <w:color w:val="auto"/>
              </w:rPr>
              <w:t>Variable rate debt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4,943</w:t>
            </w:r>
          </w:p>
        </w:tc>
        <w:tc>
          <w:tcPr>
            <w:tcW w:w="120" w:type="dxa"/>
            <w:vAlign w:val="bottom"/>
            <w:tcBorders>
              <w:bottom w:val="single" w:sz="8" w:color="CFF0FC"/>
            </w:tcBorders>
          </w:tcPr>
          <w:p>
            <w:pPr>
              <w:spacing w:after="0"/>
              <w:rPr>
                <w:sz w:val="19"/>
                <w:szCs w:val="19"/>
                <w:color w:val="auto"/>
              </w:rPr>
            </w:pPr>
          </w:p>
        </w:tc>
      </w:tr>
      <w:tr>
        <w:trPr>
          <w:trHeight w:val="213"/>
        </w:trPr>
        <w:tc>
          <w:tcPr>
            <w:tcW w:w="4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w:t>
            </w:r>
          </w:p>
        </w:tc>
        <w:tc>
          <w:tcPr>
            <w:tcW w:w="16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1,574</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19,616</w:t>
            </w:r>
          </w:p>
        </w:tc>
        <w:tc>
          <w:tcPr>
            <w:tcW w:w="120" w:type="dxa"/>
            <w:vAlign w:val="bottom"/>
            <w:shd w:val="clear" w:color="auto" w:fill="CFF0FC"/>
          </w:tcPr>
          <w:p>
            <w:pPr>
              <w:spacing w:after="0"/>
              <w:rPr>
                <w:sz w:val="18"/>
                <w:szCs w:val="18"/>
                <w:color w:val="auto"/>
              </w:rPr>
            </w:pPr>
          </w:p>
        </w:tc>
      </w:tr>
      <w:tr>
        <w:trPr>
          <w:trHeight w:val="20"/>
        </w:trPr>
        <w:tc>
          <w:tcPr>
            <w:tcW w:w="4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fair market value of the outstanding fixed rate debt was approximately $15.0 billion as of December 31, 2016. The weighted average interest rate on the variable rate debt as of December 31, 2016 was 1.7%.</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Schlumberger does not enter into derivatives for speculative purposes.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rig count; oil and natural gas prices; improvements in operating procedures and technology; capital expenditures by Schlumberger and the oil and gas industry; the business strategies of Schlumberger’s customers; the anticipated benefits of the Cameron transaction; targeted mergers and acquisitions;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the inability to reduce the cost-per-barrel of hydrocarbon developments; Schlumberger’s future cash flows; general economic, political, security and business conditions in key regions of the world; country risk; pricing erosion; foreign exchange rates;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ability to realize expected synergies from the Cameron acquisition; the inability to retain key employees;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auto"/>
        </w:rPr>
        <w:t>Item 8. Financial Statements and Supplementary Data.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INCOME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25"/>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b w:val="1"/>
                <w:bCs w:val="1"/>
                <w:color w:val="auto"/>
              </w:rPr>
              <w:t>Year Ended December 31,</w:t>
            </w:r>
          </w:p>
        </w:tc>
        <w:tc>
          <w:tcPr>
            <w:tcW w:w="15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Revenue</w:t>
            </w: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Services</w:t>
            </w:r>
          </w:p>
        </w:tc>
        <w:tc>
          <w:tcPr>
            <w:tcW w:w="1780" w:type="dxa"/>
            <w:vAlign w:val="bottom"/>
            <w:gridSpan w:val="2"/>
          </w:tcPr>
          <w:p>
            <w:pPr>
              <w:jc w:val="right"/>
              <w:ind w:right="12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20,859</w:t>
            </w:r>
          </w:p>
        </w:tc>
        <w:tc>
          <w:tcPr>
            <w:tcW w:w="140" w:type="dxa"/>
            <w:vAlign w:val="bottom"/>
          </w:tcPr>
          <w:p>
            <w:pPr>
              <w:spacing w:after="0"/>
              <w:rPr>
                <w:sz w:val="19"/>
                <w:szCs w:val="19"/>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31,765</w:t>
            </w:r>
          </w:p>
        </w:tc>
        <w:tc>
          <w:tcPr>
            <w:tcW w:w="5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44,138</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Product sales</w:t>
            </w:r>
          </w:p>
        </w:tc>
        <w:tc>
          <w:tcPr>
            <w:tcW w:w="1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6,951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3,710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4,442</w:t>
            </w:r>
          </w:p>
        </w:tc>
        <w:tc>
          <w:tcPr>
            <w:tcW w:w="100" w:type="dxa"/>
            <w:vAlign w:val="bottom"/>
            <w:shd w:val="clear" w:color="auto" w:fill="CFF0FC"/>
          </w:tcPr>
          <w:p>
            <w:pPr>
              <w:spacing w:after="0"/>
              <w:rPr>
                <w:sz w:val="19"/>
                <w:szCs w:val="19"/>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Total Revenue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27,810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35,475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48,580</w:t>
            </w:r>
          </w:p>
        </w:tc>
        <w:tc>
          <w:tcPr>
            <w:tcW w:w="100" w:type="dxa"/>
            <w:vAlign w:val="bottom"/>
          </w:tcPr>
          <w:p>
            <w:pPr>
              <w:spacing w:after="0"/>
              <w:rPr>
                <w:sz w:val="18"/>
                <w:szCs w:val="18"/>
                <w:color w:val="auto"/>
              </w:rPr>
            </w:pPr>
          </w:p>
        </w:tc>
      </w:tr>
      <w:tr>
        <w:trPr>
          <w:trHeight w:val="220"/>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Interest &amp; other income</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FF0FC"/>
          </w:tcPr>
          <w:p>
            <w:pPr>
              <w:spacing w:after="0"/>
              <w:rPr>
                <w:sz w:val="19"/>
                <w:szCs w:val="19"/>
                <w:color w:val="auto"/>
              </w:rPr>
            </w:pPr>
          </w:p>
        </w:tc>
      </w:tr>
      <w:tr>
        <w:trPr>
          <w:trHeight w:val="220"/>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Expenses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Cost of services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17,876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25,259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33,792</w:t>
            </w: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Cost of sales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6,234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3,062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3,606</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Research &amp; engineering</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1,217</w:t>
            </w: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General &amp; administrative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Impairments &amp; other</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3,172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1,773</w:t>
            </w: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Merger &amp; integration</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Interest</w:t>
            </w:r>
          </w:p>
        </w:tc>
        <w:tc>
          <w:tcPr>
            <w:tcW w:w="1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CFF0FC"/>
          </w:tcPr>
          <w:p>
            <w:pPr>
              <w:spacing w:after="0"/>
              <w:rPr>
                <w:sz w:val="19"/>
                <w:szCs w:val="19"/>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Income (loss) from continuing operations before taxes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7,639</w:t>
            </w:r>
          </w:p>
        </w:tc>
        <w:tc>
          <w:tcPr>
            <w:tcW w:w="100" w:type="dxa"/>
            <w:vAlign w:val="bottom"/>
          </w:tcPr>
          <w:p>
            <w:pPr>
              <w:spacing w:after="0"/>
              <w:rPr>
                <w:sz w:val="18"/>
                <w:szCs w:val="18"/>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Taxes on income (loss)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(278)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1,928</w:t>
            </w:r>
          </w:p>
        </w:tc>
        <w:tc>
          <w:tcPr>
            <w:tcW w:w="100" w:type="dxa"/>
            <w:vAlign w:val="bottom"/>
            <w:shd w:val="clear" w:color="auto" w:fill="CFF0FC"/>
          </w:tcPr>
          <w:p>
            <w:pPr>
              <w:spacing w:after="0"/>
              <w:rPr>
                <w:sz w:val="19"/>
                <w:szCs w:val="19"/>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Income (loss) from continuing operations</w:t>
            </w:r>
          </w:p>
        </w:tc>
        <w:tc>
          <w:tcPr>
            <w:tcW w:w="1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2,135</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5,711</w:t>
            </w:r>
          </w:p>
        </w:tc>
        <w:tc>
          <w:tcPr>
            <w:tcW w:w="100" w:type="dxa"/>
            <w:vAlign w:val="bottom"/>
          </w:tcPr>
          <w:p>
            <w:pPr>
              <w:spacing w:after="0"/>
              <w:rPr>
                <w:sz w:val="18"/>
                <w:szCs w:val="18"/>
                <w:color w:val="auto"/>
              </w:rPr>
            </w:pPr>
          </w:p>
        </w:tc>
      </w:tr>
      <w:tr>
        <w:trPr>
          <w:trHeight w:val="220"/>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Loss from discontinued operations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(205)</w:t>
            </w: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Net income (loss)</w:t>
            </w:r>
          </w:p>
        </w:tc>
        <w:tc>
          <w:tcPr>
            <w:tcW w:w="1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2,135</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5,506</w:t>
            </w:r>
          </w:p>
        </w:tc>
        <w:tc>
          <w:tcPr>
            <w:tcW w:w="100" w:type="dxa"/>
            <w:vAlign w:val="bottom"/>
          </w:tcPr>
          <w:p>
            <w:pPr>
              <w:spacing w:after="0"/>
              <w:rPr>
                <w:sz w:val="18"/>
                <w:szCs w:val="18"/>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FF0FC"/>
          </w:tcPr>
          <w:p>
            <w:pPr>
              <w:spacing w:after="0"/>
              <w:rPr>
                <w:sz w:val="19"/>
                <w:szCs w:val="19"/>
                <w:color w:val="auto"/>
              </w:rPr>
            </w:pPr>
          </w:p>
        </w:tc>
      </w:tr>
      <w:tr>
        <w:trPr>
          <w:trHeight w:val="213"/>
        </w:trPr>
        <w:tc>
          <w:tcPr>
            <w:tcW w:w="5240" w:type="dxa"/>
            <w:vAlign w:val="bottom"/>
            <w:gridSpan w:val="2"/>
          </w:tcPr>
          <w:p>
            <w:pPr>
              <w:spacing w:after="0"/>
              <w:rPr>
                <w:sz w:val="20"/>
                <w:szCs w:val="20"/>
                <w:color w:val="auto"/>
              </w:rPr>
            </w:pPr>
            <w:r>
              <w:rPr>
                <w:rFonts w:ascii="Arial" w:cs="Arial" w:eastAsia="Arial" w:hAnsi="Arial"/>
                <w:sz w:val="17"/>
                <w:szCs w:val="17"/>
                <w:i w:val="1"/>
                <w:iCs w:val="1"/>
                <w:color w:val="auto"/>
              </w:rPr>
              <w:t>Net income (loss) attributable to Schlumberger</w:t>
            </w:r>
          </w:p>
        </w:tc>
        <w:tc>
          <w:tcPr>
            <w:tcW w:w="15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(1,687)</w:t>
            </w:r>
          </w:p>
        </w:tc>
        <w:tc>
          <w:tcPr>
            <w:tcW w:w="140" w:type="dxa"/>
            <w:vAlign w:val="bottom"/>
          </w:tcPr>
          <w:p>
            <w:pPr>
              <w:spacing w:after="0"/>
              <w:rPr>
                <w:sz w:val="18"/>
                <w:szCs w:val="18"/>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2,072</w:t>
            </w:r>
          </w:p>
        </w:tc>
        <w:tc>
          <w:tcPr>
            <w:tcW w:w="5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5,438</w:t>
            </w:r>
          </w:p>
        </w:tc>
        <w:tc>
          <w:tcPr>
            <w:tcW w:w="1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2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Schlumberger amounts attributable to:</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5,643</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Loss from discontinued operations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(205)</w:t>
            </w:r>
          </w:p>
        </w:tc>
      </w:tr>
      <w:tr>
        <w:trPr>
          <w:trHeight w:val="213"/>
        </w:trPr>
        <w:tc>
          <w:tcPr>
            <w:tcW w:w="20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5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2,072</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5,438</w:t>
            </w:r>
          </w:p>
        </w:tc>
        <w:tc>
          <w:tcPr>
            <w:tcW w:w="1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2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Basic earnings per share of Schlumberger</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780" w:type="dxa"/>
            <w:vAlign w:val="bottom"/>
            <w:gridSpan w:val="2"/>
          </w:tcPr>
          <w:p>
            <w:pPr>
              <w:jc w:val="right"/>
              <w:ind w:right="125"/>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(1.24)</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1.63</w:t>
            </w:r>
          </w:p>
        </w:tc>
        <w:tc>
          <w:tcPr>
            <w:tcW w:w="5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Loss from discontinued operations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(0.16)</w:t>
            </w:r>
          </w:p>
        </w:tc>
      </w:tr>
      <w:tr>
        <w:trPr>
          <w:trHeight w:val="213"/>
        </w:trPr>
        <w:tc>
          <w:tcPr>
            <w:tcW w:w="20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5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2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Diluted earnings per share of Schlumberger</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780" w:type="dxa"/>
            <w:vAlign w:val="bottom"/>
            <w:gridSpan w:val="2"/>
          </w:tcPr>
          <w:p>
            <w:pPr>
              <w:jc w:val="right"/>
              <w:ind w:right="125"/>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(1.24)</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1.63</w:t>
            </w:r>
          </w:p>
        </w:tc>
        <w:tc>
          <w:tcPr>
            <w:tcW w:w="56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Loss from discontinued operations</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(0.16)</w:t>
            </w:r>
          </w:p>
        </w:tc>
      </w:tr>
      <w:tr>
        <w:trPr>
          <w:trHeight w:val="213"/>
        </w:trPr>
        <w:tc>
          <w:tcPr>
            <w:tcW w:w="20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 xml:space="preserve">Net income (loss) </w:t>
            </w:r>
            <w:r>
              <w:rPr>
                <w:rFonts w:ascii="Arial" w:cs="Arial" w:eastAsia="Arial" w:hAnsi="Arial"/>
                <w:sz w:val="14"/>
                <w:szCs w:val="14"/>
                <w:color w:val="auto"/>
              </w:rPr>
              <w:t>(1)</w:t>
            </w:r>
          </w:p>
        </w:tc>
        <w:tc>
          <w:tcPr>
            <w:tcW w:w="15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2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24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Average shares outstanding:</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00" w:type="dxa"/>
            <w:vAlign w:val="bottom"/>
          </w:tcPr>
          <w:p>
            <w:pPr>
              <w:spacing w:after="0"/>
              <w:rPr>
                <w:sz w:val="19"/>
                <w:szCs w:val="19"/>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Basic</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1,295</w:t>
            </w:r>
          </w:p>
        </w:tc>
        <w:tc>
          <w:tcPr>
            <w:tcW w:w="100" w:type="dxa"/>
            <w:vAlign w:val="bottom"/>
          </w:tcPr>
          <w:p>
            <w:pPr>
              <w:spacing w:after="0"/>
              <w:rPr>
                <w:sz w:val="19"/>
                <w:szCs w:val="19"/>
                <w:color w:val="auto"/>
              </w:rPr>
            </w:pPr>
          </w:p>
        </w:tc>
      </w:tr>
      <w:tr>
        <w:trPr>
          <w:trHeight w:val="220"/>
        </w:trPr>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Arial" w:cs="Arial" w:eastAsia="Arial" w:hAnsi="Arial"/>
                <w:sz w:val="17"/>
                <w:szCs w:val="17"/>
                <w:color w:val="auto"/>
              </w:rPr>
              <w:t>Assuming dilution</w:t>
            </w: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1,308</w:t>
            </w:r>
          </w:p>
        </w:tc>
        <w:tc>
          <w:tcPr>
            <w:tcW w:w="100" w:type="dxa"/>
            <w:vAlign w:val="bottom"/>
            <w:shd w:val="clear" w:color="auto" w:fill="CFF0FC"/>
          </w:tcPr>
          <w:p>
            <w:pPr>
              <w:spacing w:after="0"/>
              <w:rPr>
                <w:sz w:val="19"/>
                <w:szCs w:val="19"/>
                <w:color w:val="auto"/>
              </w:rPr>
            </w:pPr>
          </w:p>
        </w:tc>
      </w:tr>
      <w:tr>
        <w:trPr>
          <w:trHeight w:val="434"/>
        </w:trPr>
        <w:tc>
          <w:tcPr>
            <w:tcW w:w="200" w:type="dxa"/>
            <w:vAlign w:val="bottom"/>
          </w:tcPr>
          <w:p>
            <w:pPr>
              <w:spacing w:after="0"/>
              <w:rPr>
                <w:sz w:val="20"/>
                <w:szCs w:val="20"/>
                <w:color w:val="auto"/>
              </w:rPr>
            </w:pPr>
            <w:r>
              <w:rPr>
                <w:rFonts w:ascii="Arial" w:cs="Arial" w:eastAsia="Arial" w:hAnsi="Arial"/>
                <w:sz w:val="15"/>
                <w:szCs w:val="15"/>
                <w:color w:val="auto"/>
                <w:w w:val="97"/>
              </w:rPr>
              <w:t>(1)</w:t>
            </w:r>
          </w:p>
        </w:tc>
        <w:tc>
          <w:tcPr>
            <w:tcW w:w="5040" w:type="dxa"/>
            <w:vAlign w:val="bottom"/>
          </w:tcPr>
          <w:p>
            <w:pPr>
              <w:ind w:left="600"/>
              <w:spacing w:after="0"/>
              <w:rPr>
                <w:sz w:val="20"/>
                <w:szCs w:val="20"/>
                <w:color w:val="auto"/>
              </w:rPr>
            </w:pPr>
            <w:r>
              <w:rPr>
                <w:rFonts w:ascii="Arial" w:cs="Arial" w:eastAsia="Arial" w:hAnsi="Arial"/>
                <w:sz w:val="16"/>
                <w:szCs w:val="16"/>
                <w:color w:val="auto"/>
              </w:rPr>
              <w:t>Amounts may not add due to rounding.</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25"/>
        </w:trPr>
        <w:tc>
          <w:tcPr>
            <w:tcW w:w="56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Net income (loss)</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(1,627)</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5,506</w:t>
            </w:r>
          </w:p>
        </w:tc>
        <w:tc>
          <w:tcPr>
            <w:tcW w:w="100" w:type="dxa"/>
            <w:vAlign w:val="bottom"/>
            <w:shd w:val="clear" w:color="auto" w:fill="CFF0FC"/>
          </w:tcPr>
          <w:p>
            <w:pPr>
              <w:spacing w:after="0"/>
              <w:rPr>
                <w:sz w:val="18"/>
                <w:szCs w:val="18"/>
                <w:color w:val="auto"/>
              </w:rPr>
            </w:pPr>
          </w:p>
        </w:tc>
      </w:tr>
      <w:tr>
        <w:trPr>
          <w:trHeight w:val="220"/>
        </w:trPr>
        <w:tc>
          <w:tcPr>
            <w:tcW w:w="5660" w:type="dxa"/>
            <w:vAlign w:val="bottom"/>
          </w:tcPr>
          <w:p>
            <w:pPr>
              <w:spacing w:after="0"/>
              <w:rPr>
                <w:sz w:val="20"/>
                <w:szCs w:val="20"/>
                <w:color w:val="auto"/>
              </w:rPr>
            </w:pPr>
            <w:r>
              <w:rPr>
                <w:rFonts w:ascii="Arial" w:cs="Arial" w:eastAsia="Arial" w:hAnsi="Arial"/>
                <w:sz w:val="17"/>
                <w:szCs w:val="17"/>
                <w:i w:val="1"/>
                <w:iCs w:val="1"/>
                <w:color w:val="auto"/>
              </w:rPr>
              <w:t>Currency translation adjustments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Unrealized net change arising during the period</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(83)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(463)</w:t>
            </w:r>
          </w:p>
        </w:tc>
      </w:tr>
      <w:tr>
        <w:trPr>
          <w:trHeight w:val="220"/>
        </w:trPr>
        <w:tc>
          <w:tcPr>
            <w:tcW w:w="5660" w:type="dxa"/>
            <w:vAlign w:val="bottom"/>
          </w:tcPr>
          <w:p>
            <w:pPr>
              <w:spacing w:after="0"/>
              <w:rPr>
                <w:sz w:val="20"/>
                <w:szCs w:val="20"/>
                <w:color w:val="auto"/>
              </w:rPr>
            </w:pPr>
            <w:r>
              <w:rPr>
                <w:rFonts w:ascii="Arial" w:cs="Arial" w:eastAsia="Arial" w:hAnsi="Arial"/>
                <w:sz w:val="17"/>
                <w:szCs w:val="17"/>
                <w:i w:val="1"/>
                <w:iCs w:val="1"/>
                <w:color w:val="auto"/>
              </w:rPr>
              <w:t>Marketable securities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Unrealized gain (loss) arising during the period</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(166)</w:t>
            </w:r>
          </w:p>
        </w:tc>
      </w:tr>
      <w:tr>
        <w:trPr>
          <w:trHeight w:val="220"/>
        </w:trPr>
        <w:tc>
          <w:tcPr>
            <w:tcW w:w="5660" w:type="dxa"/>
            <w:vAlign w:val="bottom"/>
          </w:tcPr>
          <w:p>
            <w:pPr>
              <w:ind w:left="240"/>
              <w:spacing w:after="0"/>
              <w:rPr>
                <w:sz w:val="20"/>
                <w:szCs w:val="20"/>
                <w:color w:val="auto"/>
              </w:rPr>
            </w:pPr>
            <w:r>
              <w:rPr>
                <w:rFonts w:ascii="Arial" w:cs="Arial" w:eastAsia="Arial" w:hAnsi="Arial"/>
                <w:sz w:val="17"/>
                <w:szCs w:val="17"/>
                <w:color w:val="auto"/>
              </w:rPr>
              <w:t>Reclassification to net income - impairment charge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566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Cash flow hedges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660" w:type="dxa"/>
            <w:vAlign w:val="bottom"/>
          </w:tcPr>
          <w:p>
            <w:pPr>
              <w:ind w:left="240"/>
              <w:spacing w:after="0"/>
              <w:rPr>
                <w:sz w:val="20"/>
                <w:szCs w:val="20"/>
                <w:color w:val="auto"/>
              </w:rPr>
            </w:pPr>
            <w:r>
              <w:rPr>
                <w:rFonts w:ascii="Arial" w:cs="Arial" w:eastAsia="Arial" w:hAnsi="Arial"/>
                <w:sz w:val="17"/>
                <w:szCs w:val="17"/>
                <w:color w:val="auto"/>
              </w:rPr>
              <w:t>Net loss on cash flow hedges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(238)</w:t>
            </w:r>
          </w:p>
        </w:tc>
      </w:tr>
      <w:tr>
        <w:trPr>
          <w:trHeight w:val="220"/>
        </w:trPr>
        <w:tc>
          <w:tcPr>
            <w:tcW w:w="5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Reclassification to net income (loss) of net realized loss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tcPr>
          <w:p>
            <w:pPr>
              <w:spacing w:after="0"/>
              <w:rPr>
                <w:sz w:val="20"/>
                <w:szCs w:val="20"/>
                <w:color w:val="auto"/>
              </w:rPr>
            </w:pPr>
            <w:r>
              <w:rPr>
                <w:rFonts w:ascii="Arial" w:cs="Arial" w:eastAsia="Arial" w:hAnsi="Arial"/>
                <w:sz w:val="17"/>
                <w:szCs w:val="17"/>
                <w:i w:val="1"/>
                <w:iCs w:val="1"/>
                <w:color w:val="auto"/>
              </w:rPr>
              <w:t>Pension and other postretirement benefit plans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Actuarial gain (loss)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660" w:type="dxa"/>
            <w:vAlign w:val="bottom"/>
          </w:tcPr>
          <w:p>
            <w:pPr>
              <w:ind w:left="480"/>
              <w:spacing w:after="0"/>
              <w:rPr>
                <w:sz w:val="20"/>
                <w:szCs w:val="20"/>
                <w:color w:val="auto"/>
              </w:rPr>
            </w:pPr>
            <w:r>
              <w:rPr>
                <w:rFonts w:ascii="Arial" w:cs="Arial" w:eastAsia="Arial" w:hAnsi="Arial"/>
                <w:sz w:val="17"/>
                <w:szCs w:val="17"/>
                <w:color w:val="auto"/>
              </w:rPr>
              <w:t>Actuarial loss arising during the period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(1,285)</w:t>
            </w:r>
          </w:p>
        </w:tc>
      </w:tr>
      <w:tr>
        <w:trPr>
          <w:trHeight w:val="220"/>
        </w:trPr>
        <w:tc>
          <w:tcPr>
            <w:tcW w:w="56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Amortization to net income of net actuarial loss</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tcPr>
          <w:p>
            <w:pPr>
              <w:ind w:left="240"/>
              <w:spacing w:after="0"/>
              <w:rPr>
                <w:sz w:val="20"/>
                <w:szCs w:val="20"/>
                <w:color w:val="auto"/>
              </w:rPr>
            </w:pPr>
            <w:r>
              <w:rPr>
                <w:rFonts w:ascii="Arial" w:cs="Arial" w:eastAsia="Arial" w:hAnsi="Arial"/>
                <w:sz w:val="17"/>
                <w:szCs w:val="17"/>
                <w:color w:val="auto"/>
              </w:rPr>
              <w:t>Prior service cost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6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Amortization to net income (loss) of net prior service cost</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FF0FC"/>
          </w:tcPr>
          <w:p>
            <w:pPr>
              <w:spacing w:after="0"/>
              <w:rPr>
                <w:sz w:val="19"/>
                <w:szCs w:val="19"/>
                <w:color w:val="auto"/>
              </w:rPr>
            </w:pPr>
          </w:p>
        </w:tc>
      </w:tr>
      <w:tr>
        <w:trPr>
          <w:trHeight w:val="220"/>
        </w:trPr>
        <w:tc>
          <w:tcPr>
            <w:tcW w:w="5660" w:type="dxa"/>
            <w:vAlign w:val="bottom"/>
          </w:tcPr>
          <w:p>
            <w:pPr>
              <w:ind w:left="240"/>
              <w:spacing w:after="0"/>
              <w:rPr>
                <w:sz w:val="20"/>
                <w:szCs w:val="20"/>
                <w:color w:val="auto"/>
              </w:rPr>
            </w:pPr>
            <w:r>
              <w:rPr>
                <w:rFonts w:ascii="Arial" w:cs="Arial" w:eastAsia="Arial" w:hAnsi="Arial"/>
                <w:sz w:val="17"/>
                <w:szCs w:val="17"/>
                <w:color w:val="auto"/>
              </w:rPr>
              <w:t>Income taxes on pension and other postretirement benefit plans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r>
      <w:tr>
        <w:trPr>
          <w:trHeight w:val="21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Comprehensive income</w:t>
            </w:r>
          </w:p>
        </w:tc>
        <w:tc>
          <w:tcPr>
            <w:tcW w:w="10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(1,712)</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3,854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6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Comprehensive income attributable to noncontrolling interests</w:t>
            </w: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FF0FC"/>
            </w:tcBorders>
          </w:tcPr>
          <w:p>
            <w:pPr>
              <w:spacing w:after="0"/>
              <w:rPr>
                <w:sz w:val="19"/>
                <w:szCs w:val="19"/>
                <w:color w:val="auto"/>
              </w:rPr>
            </w:pP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Comprehensive income (loss) attributable to Schlumberger</w:t>
            </w: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(1,772)</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3,786</w:t>
            </w:r>
          </w:p>
        </w:tc>
        <w:tc>
          <w:tcPr>
            <w:tcW w:w="100" w:type="dxa"/>
            <w:vAlign w:val="bottom"/>
            <w:shd w:val="clear" w:color="auto" w:fill="CFF0FC"/>
          </w:tcPr>
          <w:p>
            <w:pPr>
              <w:spacing w:after="0"/>
              <w:rPr>
                <w:sz w:val="18"/>
                <w:szCs w:val="18"/>
                <w:color w:val="auto"/>
              </w:rPr>
            </w:pP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5"/>
        </w:trPr>
        <w:tc>
          <w:tcPr>
            <w:tcW w:w="66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December 31,</w:t>
            </w:r>
          </w:p>
        </w:tc>
        <w:tc>
          <w:tcPr>
            <w:tcW w:w="116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ASSETS</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w:t>
            </w:r>
          </w:p>
        </w:tc>
        <w:tc>
          <w:tcPr>
            <w:tcW w:w="1500" w:type="dxa"/>
            <w:vAlign w:val="bottom"/>
            <w:gridSpan w:val="2"/>
            <w:shd w:val="clear" w:color="auto" w:fill="CFF0FC"/>
          </w:tcPr>
          <w:p>
            <w:pPr>
              <w:jc w:val="right"/>
              <w:ind w:right="185"/>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40"/>
              <w:spacing w:after="0"/>
              <w:rPr>
                <w:sz w:val="20"/>
                <w:szCs w:val="20"/>
                <w:color w:val="auto"/>
              </w:rPr>
            </w:pPr>
            <w:r>
              <w:rPr>
                <w:rFonts w:ascii="Arial" w:cs="Arial" w:eastAsia="Arial" w:hAnsi="Arial"/>
                <w:sz w:val="17"/>
                <w:szCs w:val="17"/>
                <w:color w:val="auto"/>
              </w:rPr>
              <w:t>Short-term investments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6,328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Receivables less allowance for doubtful accounts (2016 - $397; 2015 - $333)</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9,387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40"/>
              <w:spacing w:after="0"/>
              <w:rPr>
                <w:sz w:val="20"/>
                <w:szCs w:val="20"/>
                <w:color w:val="auto"/>
              </w:rPr>
            </w:pPr>
            <w:r>
              <w:rPr>
                <w:rFonts w:ascii="Arial" w:cs="Arial" w:eastAsia="Arial" w:hAnsi="Arial"/>
                <w:sz w:val="17"/>
                <w:szCs w:val="17"/>
                <w:color w:val="auto"/>
              </w:rPr>
              <w:t>Inventories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4,225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taxes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Other current assets</w:t>
            </w:r>
          </w:p>
        </w:tc>
        <w:tc>
          <w:tcPr>
            <w:tcW w:w="1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23,927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7"/>
                <w:szCs w:val="17"/>
                <w:i w:val="1"/>
                <w:iCs w:val="1"/>
                <w:color w:val="auto"/>
              </w:rPr>
              <w:t>Fixed Income Investments, held to maturity</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Investments in Affiliated Companies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7"/>
                <w:szCs w:val="17"/>
                <w:i w:val="1"/>
                <w:iCs w:val="1"/>
                <w:color w:val="auto"/>
              </w:rPr>
              <w:t>Fixed Assets less accumulated depreciation</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12,821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Multiclient Seismic Data</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1,073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7"/>
                <w:szCs w:val="17"/>
                <w:i w:val="1"/>
                <w:iCs w:val="1"/>
                <w:color w:val="auto"/>
              </w:rPr>
              <w:t>Goodwill</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24,990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Intangible Assets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9,855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Borders>
              <w:bottom w:val="single" w:sz="8" w:color="CFF0FC"/>
            </w:tcBorders>
          </w:tcPr>
          <w:p>
            <w:pPr>
              <w:spacing w:after="0"/>
              <w:rPr>
                <w:sz w:val="20"/>
                <w:szCs w:val="20"/>
                <w:color w:val="auto"/>
              </w:rPr>
            </w:pPr>
            <w:r>
              <w:rPr>
                <w:rFonts w:ascii="Arial" w:cs="Arial" w:eastAsia="Arial" w:hAnsi="Arial"/>
                <w:sz w:val="17"/>
                <w:szCs w:val="17"/>
                <w:i w:val="1"/>
                <w:iCs w:val="1"/>
                <w:color w:val="auto"/>
              </w:rPr>
              <w:t>Other Assets</w:t>
            </w:r>
          </w:p>
        </w:tc>
        <w:tc>
          <w:tcPr>
            <w:tcW w:w="1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3,809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77,956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68,005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LIABILITIES AND EQUITY</w:t>
            </w: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Current Liabilities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40"/>
              <w:spacing w:after="0"/>
              <w:rPr>
                <w:sz w:val="20"/>
                <w:szCs w:val="20"/>
                <w:color w:val="auto"/>
              </w:rPr>
            </w:pPr>
            <w:r>
              <w:rPr>
                <w:rFonts w:ascii="Arial" w:cs="Arial" w:eastAsia="Arial" w:hAnsi="Arial"/>
                <w:sz w:val="17"/>
                <w:szCs w:val="17"/>
                <w:color w:val="auto"/>
              </w:rPr>
              <w:t>Accounts payable and accrued liabilities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10,016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Estimated liability for taxes on income</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1,188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40"/>
              <w:spacing w:after="0"/>
              <w:rPr>
                <w:sz w:val="20"/>
                <w:szCs w:val="20"/>
                <w:color w:val="auto"/>
              </w:rPr>
            </w:pPr>
            <w:r>
              <w:rPr>
                <w:rFonts w:ascii="Arial" w:cs="Arial" w:eastAsia="Arial" w:hAnsi="Arial"/>
                <w:sz w:val="17"/>
                <w:szCs w:val="17"/>
                <w:color w:val="auto"/>
              </w:rPr>
              <w:t>Long-term debt - current portion</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1,975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Short-term borrowings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Dividends payable</w:t>
            </w:r>
          </w:p>
        </w:tc>
        <w:tc>
          <w:tcPr>
            <w:tcW w:w="1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15,059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7"/>
                <w:szCs w:val="17"/>
                <w:i w:val="1"/>
                <w:iCs w:val="1"/>
                <w:color w:val="auto"/>
              </w:rPr>
              <w:t>Long-term Debt</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16,463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Postretirement Benefits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1,495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7"/>
                <w:szCs w:val="17"/>
                <w:i w:val="1"/>
                <w:iCs w:val="1"/>
                <w:color w:val="auto"/>
              </w:rPr>
              <w:t>Deferred Taxes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1,880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Liabilities</w:t>
            </w:r>
          </w:p>
        </w:tc>
        <w:tc>
          <w:tcPr>
            <w:tcW w:w="1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1,530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36,427</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Equity</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40"/>
              <w:spacing w:after="0"/>
              <w:rPr>
                <w:sz w:val="20"/>
                <w:szCs w:val="20"/>
                <w:color w:val="auto"/>
              </w:rPr>
            </w:pPr>
            <w:r>
              <w:rPr>
                <w:rFonts w:ascii="Arial" w:cs="Arial" w:eastAsia="Arial" w:hAnsi="Arial"/>
                <w:sz w:val="17"/>
                <w:szCs w:val="17"/>
                <w:color w:val="auto"/>
              </w:rPr>
              <w:t>Common stock</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12,801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Treasury stock</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(3,550)</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(13,372)</w:t>
            </w:r>
          </w:p>
        </w:tc>
        <w:tc>
          <w:tcPr>
            <w:tcW w:w="0" w:type="dxa"/>
            <w:vAlign w:val="bottom"/>
          </w:tcPr>
          <w:p>
            <w:pPr>
              <w:spacing w:after="0"/>
              <w:rPr>
                <w:sz w:val="1"/>
                <w:szCs w:val="1"/>
                <w:color w:val="auto"/>
              </w:rPr>
            </w:pPr>
          </w:p>
        </w:tc>
      </w:tr>
      <w:tr>
        <w:trPr>
          <w:trHeight w:val="220"/>
        </w:trPr>
        <w:tc>
          <w:tcPr>
            <w:tcW w:w="668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36,470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loss</w:t>
            </w: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(4,643)</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13"/>
        </w:trPr>
        <w:tc>
          <w:tcPr>
            <w:tcW w:w="6680" w:type="dxa"/>
            <w:vAlign w:val="bottom"/>
          </w:tcPr>
          <w:p>
            <w:pPr>
              <w:ind w:left="240"/>
              <w:spacing w:after="0"/>
              <w:rPr>
                <w:sz w:val="20"/>
                <w:szCs w:val="20"/>
                <w:color w:val="auto"/>
              </w:rPr>
            </w:pPr>
            <w:r>
              <w:rPr>
                <w:rFonts w:ascii="Arial" w:cs="Arial" w:eastAsia="Arial" w:hAnsi="Arial"/>
                <w:sz w:val="17"/>
                <w:szCs w:val="17"/>
                <w:color w:val="auto"/>
              </w:rPr>
              <w:t>Schlumberger stockholders' equity</w:t>
            </w:r>
          </w:p>
        </w:tc>
        <w:tc>
          <w:tcPr>
            <w:tcW w:w="1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41,078</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Noncontrolling interests</w:t>
            </w:r>
          </w:p>
        </w:tc>
        <w:tc>
          <w:tcPr>
            <w:tcW w:w="1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451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41,529</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77,956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68,005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3740"/>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296"/>
        </w:trPr>
        <w:tc>
          <w:tcPr>
            <w:tcW w:w="60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960" w:type="dxa"/>
            <w:vAlign w:val="bottom"/>
            <w:gridSpan w:val="2"/>
          </w:tcPr>
          <w:p>
            <w:pPr>
              <w:jc w:val="right"/>
              <w:ind w:right="148"/>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(1,627)</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2,135</w:t>
            </w:r>
          </w:p>
        </w:tc>
        <w:tc>
          <w:tcPr>
            <w:tcW w:w="1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Add: Loss from discontinued operations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240"/>
              <w:spacing w:after="0"/>
              <w:rPr>
                <w:sz w:val="20"/>
                <w:szCs w:val="20"/>
                <w:color w:val="auto"/>
              </w:rPr>
            </w:pPr>
            <w:r>
              <w:rPr>
                <w:rFonts w:ascii="Arial" w:cs="Arial" w:eastAsia="Arial" w:hAnsi="Arial"/>
                <w:sz w:val="16"/>
                <w:szCs w:val="16"/>
                <w:color w:val="auto"/>
                <w:w w:val="99"/>
              </w:rPr>
              <w:t>Adjustments to reconcile net income (loss) to cash provided by operating activities: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Impairments and other charges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600"/>
              <w:spacing w:after="0" w:line="207" w:lineRule="exact"/>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23"/>
                <w:szCs w:val="23"/>
                <w:color w:val="auto"/>
                <w:vertAlign w:val="superscript"/>
              </w:rPr>
              <w:t>(1)</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expense</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600"/>
              <w:spacing w:after="0"/>
              <w:rPr>
                <w:sz w:val="20"/>
                <w:szCs w:val="20"/>
                <w:color w:val="auto"/>
              </w:rPr>
            </w:pPr>
            <w:r>
              <w:rPr>
                <w:rFonts w:ascii="Arial" w:cs="Arial" w:eastAsia="Arial" w:hAnsi="Arial"/>
                <w:sz w:val="16"/>
                <w:szCs w:val="16"/>
                <w:color w:val="auto"/>
              </w:rPr>
              <w:t>Stock-based compensation expense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(174)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4"/>
        </w:trPr>
        <w:tc>
          <w:tcPr>
            <w:tcW w:w="6080" w:type="dxa"/>
            <w:vAlign w:val="bottom"/>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240"/>
              <w:spacing w:after="0" w:line="209"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600"/>
              <w:spacing w:after="0"/>
              <w:rPr>
                <w:sz w:val="20"/>
                <w:szCs w:val="20"/>
                <w:color w:val="auto"/>
              </w:rPr>
            </w:pPr>
            <w:r>
              <w:rPr>
                <w:rFonts w:ascii="Arial" w:cs="Arial" w:eastAsia="Arial" w:hAnsi="Arial"/>
                <w:sz w:val="16"/>
                <w:szCs w:val="16"/>
                <w:color w:val="auto"/>
              </w:rPr>
              <w:t>Decrease (increase) in receivables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(increase) in inventories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4"/>
        </w:trPr>
        <w:tc>
          <w:tcPr>
            <w:tcW w:w="6080" w:type="dxa"/>
            <w:vAlign w:val="bottom"/>
          </w:tcPr>
          <w:p>
            <w:pPr>
              <w:ind w:left="600"/>
              <w:spacing w:after="0"/>
              <w:rPr>
                <w:sz w:val="20"/>
                <w:szCs w:val="20"/>
                <w:color w:val="auto"/>
              </w:rPr>
            </w:pPr>
            <w:r>
              <w:rPr>
                <w:rFonts w:ascii="Arial" w:cs="Arial" w:eastAsia="Arial" w:hAnsi="Arial"/>
                <w:sz w:val="16"/>
                <w:szCs w:val="16"/>
                <w:color w:val="auto"/>
              </w:rPr>
              <w:t>Decrease in other current assets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other assets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(488)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4"/>
        </w:trPr>
        <w:tc>
          <w:tcPr>
            <w:tcW w:w="6080" w:type="dxa"/>
            <w:vAlign w:val="bottom"/>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increase in estimated liability for taxes on income</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(110)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600"/>
              <w:spacing w:after="0"/>
              <w:rPr>
                <w:sz w:val="20"/>
                <w:szCs w:val="20"/>
                <w:color w:val="auto"/>
              </w:rPr>
            </w:pPr>
            <w:r>
              <w:rPr>
                <w:rFonts w:ascii="Arial" w:cs="Arial" w:eastAsia="Arial" w:hAnsi="Arial"/>
                <w:sz w:val="16"/>
                <w:szCs w:val="16"/>
                <w:color w:val="auto"/>
              </w:rPr>
              <w:t>Increase (decrease) in other liabilities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(251)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97"/>
        </w:trPr>
        <w:tc>
          <w:tcPr>
            <w:tcW w:w="6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6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6,261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8,805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11,195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SPM investments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(1,031)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Multiclient seismic data capitalized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(2,398)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Sale (purchase) of investments, net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(5,848)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(624)</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(10,252)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(5,580)</w:t>
            </w:r>
          </w:p>
        </w:tc>
        <w:tc>
          <w:tcPr>
            <w:tcW w:w="0" w:type="dxa"/>
            <w:vAlign w:val="bottom"/>
          </w:tcPr>
          <w:p>
            <w:pPr>
              <w:spacing w:after="0"/>
              <w:rPr>
                <w:sz w:val="1"/>
                <w:szCs w:val="1"/>
                <w:color w:val="auto"/>
              </w:rPr>
            </w:pPr>
          </w:p>
        </w:tc>
      </w:tr>
      <w:tr>
        <w:trPr>
          <w:trHeight w:val="202"/>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6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(2,647)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Stock repurchase program</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(778)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Repayment of long-term debt</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(5,630)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(3,771)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04"/>
        </w:trPr>
        <w:tc>
          <w:tcPr>
            <w:tcW w:w="6080" w:type="dxa"/>
            <w:vAlign w:val="bottom"/>
          </w:tcPr>
          <w:p>
            <w:pPr>
              <w:ind w:left="360"/>
              <w:spacing w:after="0"/>
              <w:rPr>
                <w:sz w:val="20"/>
                <w:szCs w:val="20"/>
                <w:color w:val="auto"/>
              </w:rPr>
            </w:pPr>
            <w:r>
              <w:rPr>
                <w:rFonts w:ascii="Arial" w:cs="Arial" w:eastAsia="Arial" w:hAnsi="Arial"/>
                <w:sz w:val="16"/>
                <w:szCs w:val="16"/>
                <w:color w:val="auto"/>
              </w:rPr>
              <w:t>Net (decrease) increase in short-term borrowings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NET CASH (USED IN) PROVIDED BY FINANCING ACTIVITIES</w:t>
            </w: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(5,428)</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(5,896)</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flow (used in) provided by discontinued operations - operating activities</w:t>
            </w:r>
          </w:p>
        </w:tc>
        <w:tc>
          <w:tcPr>
            <w:tcW w:w="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80" w:type="dxa"/>
            <w:vAlign w:val="bottom"/>
            <w:vMerge w:val="continue"/>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Net increase (decrease) in cash before translation effect</w:t>
            </w: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(73)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4"/>
        </w:trPr>
        <w:tc>
          <w:tcPr>
            <w:tcW w:w="6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6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2,929</w:t>
            </w: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520" w:hanging="517"/>
        <w:spacing w:after="0"/>
        <w:tabs>
          <w:tab w:leader="none" w:pos="52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5"/>
          <w:szCs w:val="25"/>
          <w:color w:val="auto"/>
          <w:vertAlign w:val="superscript"/>
        </w:rPr>
      </w:pPr>
    </w:p>
    <w:p>
      <w:pPr>
        <w:ind w:left="520" w:hanging="517"/>
        <w:spacing w:after="0" w:line="183" w:lineRule="auto"/>
        <w:tabs>
          <w:tab w:leader="none" w:pos="5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Net of the effect of business acquisitions and divestitures.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100"/>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i w:val="1"/>
                <w:iCs w:val="1"/>
                <w:color w:val="auto"/>
                <w:w w:val="94"/>
              </w:rPr>
              <w:t>(Stated in millio</w:t>
            </w:r>
          </w:p>
        </w:tc>
      </w:tr>
      <w:tr>
        <w:trPr>
          <w:trHeight w:val="286"/>
        </w:trPr>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5"/>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5"/>
        </w:trPr>
        <w:tc>
          <w:tcPr>
            <w:tcW w:w="4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Common Stock</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Noncontrolling</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8"/>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Issued</w:t>
            </w:r>
          </w:p>
        </w:tc>
        <w:tc>
          <w:tcPr>
            <w:tcW w:w="960" w:type="dxa"/>
            <w:vAlign w:val="bottom"/>
            <w:gridSpan w:val="2"/>
          </w:tcPr>
          <w:p>
            <w:pPr>
              <w:jc w:val="right"/>
              <w:ind w:right="71"/>
              <w:spacing w:after="0" w:line="148" w:lineRule="exact"/>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90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9"/>
              </w:rPr>
              <w:t>Interests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91"/>
              <w:spacing w:after="0" w:line="148" w:lineRule="exact"/>
              <w:rPr>
                <w:sz w:val="20"/>
                <w:szCs w:val="20"/>
                <w:color w:val="auto"/>
              </w:rPr>
            </w:pPr>
            <w:r>
              <w:rPr>
                <w:rFonts w:ascii="Arial" w:cs="Arial" w:eastAsia="Arial" w:hAnsi="Arial"/>
                <w:sz w:val="14"/>
                <w:szCs w:val="14"/>
                <w:b w:val="1"/>
                <w:bCs w:val="1"/>
                <w:color w:val="auto"/>
              </w:rPr>
              <w:t>Total</w:t>
            </w:r>
          </w:p>
        </w:tc>
      </w:tr>
      <w:tr>
        <w:trPr>
          <w:trHeight w:val="148"/>
        </w:trPr>
        <w:tc>
          <w:tcPr>
            <w:tcW w:w="4880" w:type="dxa"/>
            <w:vAlign w:val="bottom"/>
            <w:tcBorders>
              <w:top w:val="single" w:sz="8" w:color="CFF0FC"/>
            </w:tcBorders>
            <w:shd w:val="clear" w:color="auto" w:fill="CFF0FC"/>
          </w:tcPr>
          <w:p>
            <w:pPr>
              <w:spacing w:after="0" w:line="148" w:lineRule="exact"/>
              <w:rPr>
                <w:sz w:val="20"/>
                <w:szCs w:val="20"/>
                <w:color w:val="auto"/>
              </w:rPr>
            </w:pPr>
            <w:r>
              <w:rPr>
                <w:rFonts w:ascii="Arial" w:cs="Arial" w:eastAsia="Arial" w:hAnsi="Arial"/>
                <w:sz w:val="14"/>
                <w:szCs w:val="14"/>
                <w:color w:val="auto"/>
              </w:rPr>
              <w:t>Balance, January 1, 2014</w:t>
            </w: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12,192</w:t>
            </w:r>
          </w:p>
        </w:tc>
        <w:tc>
          <w:tcPr>
            <w:tcW w:w="2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30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(8,135)</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37,966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(2,554)</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166</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39,</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5,438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(463)</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(166)</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Changes in fair value of cash flow hedges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(125)</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Pension and other postretirement benefit plans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(898)</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Shares sold to optionees, less shares exchanged</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(26)</w:t>
            </w: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Vesting of restricted stock</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(79)</w:t>
            </w: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Shares issued under employee stock purchase plan</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Stock repurchase program</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(4,678)</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329</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Dividends declared ($1.60 per share)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(2,071)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Shares issued for acquisition</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72</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(26)</w:t>
            </w: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4880" w:type="dxa"/>
            <w:vAlign w:val="bottom"/>
            <w:tcBorders>
              <w:top w:val="single" w:sz="8" w:color="CFF0FC"/>
            </w:tcBorders>
            <w:shd w:val="clear" w:color="auto" w:fill="CFF0FC"/>
          </w:tcPr>
          <w:p>
            <w:pPr>
              <w:spacing w:after="0" w:line="148" w:lineRule="exact"/>
              <w:rPr>
                <w:sz w:val="20"/>
                <w:szCs w:val="20"/>
                <w:color w:val="auto"/>
              </w:rPr>
            </w:pPr>
            <w:r>
              <w:rPr>
                <w:rFonts w:ascii="Arial" w:cs="Arial" w:eastAsia="Arial" w:hAnsi="Arial"/>
                <w:sz w:val="14"/>
                <w:szCs w:val="14"/>
                <w:color w:val="auto"/>
              </w:rPr>
              <w:t>Balance, December 31, 2014</w:t>
            </w:r>
          </w:p>
        </w:tc>
        <w:tc>
          <w:tcPr>
            <w:tcW w:w="1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12,495</w:t>
            </w:r>
          </w:p>
        </w:tc>
        <w:tc>
          <w:tcPr>
            <w:tcW w:w="22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w w:val="99"/>
              </w:rPr>
              <w:t>(11,772)</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41,333</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(4,206)</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199</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38,</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2,072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(522)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Changes in fair value of cash flow hedges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Pension and other postretirement benefit plans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123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Shares sold to optionees, less shares exchanged</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(38)</w:t>
            </w: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Vesting of restricted stock</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(112)</w:t>
            </w: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Shares issued under employee stock purchase plan</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Stock repurchase program</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(2,182)</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326</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Dividends declared ($2.00 per share)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(2,535)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r>
      <w:tr>
        <w:trPr>
          <w:trHeight w:val="148"/>
        </w:trPr>
        <w:tc>
          <w:tcPr>
            <w:tcW w:w="4880" w:type="dxa"/>
            <w:vAlign w:val="bottom"/>
          </w:tcPr>
          <w:p>
            <w:pPr>
              <w:spacing w:after="0" w:line="148" w:lineRule="exact"/>
              <w:rPr>
                <w:sz w:val="20"/>
                <w:szCs w:val="20"/>
                <w:color w:val="auto"/>
              </w:rPr>
            </w:pPr>
            <w:r>
              <w:rPr>
                <w:rFonts w:ascii="Arial" w:cs="Arial" w:eastAsia="Arial" w:hAnsi="Arial"/>
                <w:sz w:val="14"/>
                <w:szCs w:val="14"/>
                <w:color w:val="auto"/>
              </w:rPr>
              <w:t>Balance, December 31, 2015</w:t>
            </w:r>
          </w:p>
        </w:tc>
        <w:tc>
          <w:tcPr>
            <w:tcW w:w="16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12,693</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4"/>
                <w:szCs w:val="14"/>
                <w:color w:val="auto"/>
                <w:w w:val="99"/>
              </w:rPr>
              <w:t>(13,372)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40,870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rPr>
              <w:t>(4,558)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272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35,</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Net loss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(1,687)</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Currency translation adjustments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(83)</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Changes in fair value of cash flow hedges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Pension and other postretirement benefit plans</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(43)</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Shares sold to optionees, less shares exchanged</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(82)</w:t>
            </w: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Vesting of restricted stock</w:t>
            </w:r>
          </w:p>
        </w:tc>
        <w:tc>
          <w:tcPr>
            <w:tcW w:w="1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(122)</w:t>
            </w: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Shares issued under employee stock purchase plan</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(55)</w:t>
            </w: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Stock repurchase program</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(778)</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Dividends declared ($2.00 per share)</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(2,713)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Acquisition of Cameron International Corporation</w:t>
            </w: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9,924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w:t>
            </w:r>
          </w:p>
        </w:tc>
      </w:tr>
      <w:tr>
        <w:trPr>
          <w:trHeight w:val="155"/>
        </w:trPr>
        <w:tc>
          <w:tcPr>
            <w:tcW w:w="488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Acquisition of noncontrolling interest</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5"/>
        </w:trPr>
        <w:tc>
          <w:tcPr>
            <w:tcW w:w="4880" w:type="dxa"/>
            <w:vAlign w:val="bottom"/>
          </w:tcPr>
          <w:p>
            <w:pPr>
              <w:ind w:left="240"/>
              <w:spacing w:after="0" w:line="155"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4880" w:type="dxa"/>
            <w:vAlign w:val="bottom"/>
            <w:tcBorders>
              <w:top w:val="single" w:sz="8" w:color="CFF0FC"/>
              <w:bottom w:val="single" w:sz="8" w:color="CFF0FC"/>
            </w:tcBorders>
            <w:shd w:val="clear" w:color="auto" w:fill="CFF0FC"/>
          </w:tcPr>
          <w:p>
            <w:pPr>
              <w:spacing w:after="0" w:line="148" w:lineRule="exact"/>
              <w:rPr>
                <w:sz w:val="20"/>
                <w:szCs w:val="20"/>
                <w:color w:val="auto"/>
              </w:rPr>
            </w:pPr>
            <w:r>
              <w:rPr>
                <w:rFonts w:ascii="Arial" w:cs="Arial" w:eastAsia="Arial" w:hAnsi="Arial"/>
                <w:sz w:val="14"/>
                <w:szCs w:val="14"/>
                <w:color w:val="auto"/>
              </w:rPr>
              <w:t>Balance, December 31, 2016</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12,801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420" w:type="dxa"/>
            <w:vAlign w:val="bottom"/>
            <w:tcBorders>
              <w:top w:val="single" w:sz="8" w:color="auto"/>
              <w:bottom w:val="single" w:sz="8" w:color="auto"/>
            </w:tcBorders>
            <w:shd w:val="clear" w:color="auto" w:fill="CFF0FC"/>
          </w:tcPr>
          <w:p>
            <w:pPr>
              <w:jc w:val="right"/>
              <w:ind w:right="30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(3,550)</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36,470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(4,643)</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451</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4"/>
                <w:szCs w:val="14"/>
                <w:color w:val="auto"/>
              </w:rPr>
              <w:t>41,</w:t>
            </w: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SCHLUMBERGER LIMITED AND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OF COMMON STOCK</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5"/>
        </w:trPr>
        <w:tc>
          <w:tcPr>
            <w:tcW w:w="6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Shares</w:t>
            </w:r>
          </w:p>
        </w:tc>
      </w:tr>
      <w:tr>
        <w:trPr>
          <w:trHeight w:val="225"/>
        </w:trPr>
        <w:tc>
          <w:tcPr>
            <w:tcW w:w="67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w w:val="85"/>
              </w:rPr>
              <w:t>Issued</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In Treasury</w:t>
            </w: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Borders>
              <w:bottom w:val="single" w:sz="8" w:color="CFF0FC"/>
            </w:tcBorders>
          </w:tcPr>
          <w:p>
            <w:pPr>
              <w:spacing w:after="0"/>
              <w:rPr>
                <w:sz w:val="19"/>
                <w:szCs w:val="19"/>
                <w:color w:val="auto"/>
              </w:rPr>
            </w:pPr>
          </w:p>
        </w:tc>
      </w:tr>
      <w:tr>
        <w:trPr>
          <w:trHeight w:val="213"/>
        </w:trPr>
        <w:tc>
          <w:tcPr>
            <w:tcW w:w="76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January 1, 2014</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1,434</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(127)</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1,307</w:t>
            </w:r>
          </w:p>
        </w:tc>
        <w:tc>
          <w:tcPr>
            <w:tcW w:w="100" w:type="dxa"/>
            <w:vAlign w:val="bottom"/>
            <w:shd w:val="clear" w:color="auto" w:fill="CFF0FC"/>
          </w:tcPr>
          <w:p>
            <w:pPr>
              <w:spacing w:after="0"/>
              <w:rPr>
                <w:sz w:val="18"/>
                <w:szCs w:val="18"/>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7"/>
                <w:szCs w:val="17"/>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r>
      <w:tr>
        <w:trPr>
          <w:trHeight w:val="220"/>
        </w:trPr>
        <w:tc>
          <w:tcPr>
            <w:tcW w:w="76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7"/>
                <w:szCs w:val="17"/>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0"/>
        </w:trPr>
        <w:tc>
          <w:tcPr>
            <w:tcW w:w="76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Shares issued for acquisition</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40"/>
              <w:spacing w:after="0"/>
              <w:rPr>
                <w:sz w:val="20"/>
                <w:szCs w:val="20"/>
                <w:color w:val="auto"/>
              </w:rPr>
            </w:pPr>
            <w:r>
              <w:rPr>
                <w:rFonts w:ascii="Arial" w:cs="Arial" w:eastAsia="Arial" w:hAnsi="Arial"/>
                <w:sz w:val="17"/>
                <w:szCs w:val="17"/>
                <w:color w:val="auto"/>
              </w:rPr>
              <w:t>Stock repurchase program</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(48)</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0"/>
        </w:trPr>
        <w:tc>
          <w:tcPr>
            <w:tcW w:w="67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6740" w:type="dxa"/>
            <w:vAlign w:val="bottom"/>
            <w:shd w:val="clear" w:color="auto" w:fill="CFF0FC"/>
          </w:tcPr>
          <w:p>
            <w:pPr>
              <w:spacing w:after="0"/>
              <w:rPr>
                <w:sz w:val="20"/>
                <w:szCs w:val="20"/>
                <w:color w:val="auto"/>
              </w:rPr>
            </w:pPr>
            <w:r>
              <w:rPr>
                <w:rFonts w:ascii="Arial" w:cs="Arial" w:eastAsia="Arial" w:hAnsi="Arial"/>
                <w:sz w:val="17"/>
                <w:szCs w:val="17"/>
                <w:color w:val="auto"/>
              </w:rPr>
              <w:t>Balance, December 31, 2014</w:t>
            </w: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1,434</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(159)</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1,275</w:t>
            </w:r>
          </w:p>
        </w:tc>
        <w:tc>
          <w:tcPr>
            <w:tcW w:w="100" w:type="dxa"/>
            <w:vAlign w:val="bottom"/>
            <w:shd w:val="clear" w:color="auto" w:fill="CFF0FC"/>
          </w:tcPr>
          <w:p>
            <w:pPr>
              <w:spacing w:after="0"/>
              <w:rPr>
                <w:sz w:val="18"/>
                <w:szCs w:val="18"/>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7"/>
                <w:szCs w:val="17"/>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0"/>
        </w:trPr>
        <w:tc>
          <w:tcPr>
            <w:tcW w:w="76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7"/>
                <w:szCs w:val="17"/>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0"/>
        </w:trPr>
        <w:tc>
          <w:tcPr>
            <w:tcW w:w="6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w:t>
            </w:r>
          </w:p>
        </w:tc>
      </w:tr>
      <w:tr>
        <w:trPr>
          <w:trHeight w:val="20"/>
        </w:trPr>
        <w:tc>
          <w:tcPr>
            <w:tcW w:w="6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6740" w:type="dxa"/>
            <w:vAlign w:val="bottom"/>
          </w:tcPr>
          <w:p>
            <w:pPr>
              <w:spacing w:after="0"/>
              <w:rPr>
                <w:sz w:val="20"/>
                <w:szCs w:val="20"/>
                <w:color w:val="auto"/>
              </w:rPr>
            </w:pPr>
            <w:r>
              <w:rPr>
                <w:rFonts w:ascii="Arial" w:cs="Arial" w:eastAsia="Arial" w:hAnsi="Arial"/>
                <w:sz w:val="17"/>
                <w:szCs w:val="17"/>
                <w:color w:val="auto"/>
              </w:rPr>
              <w:t>Balance, December 31, 2015</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1,434</w:t>
            </w: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(178)</w:t>
            </w:r>
          </w:p>
        </w:tc>
        <w:tc>
          <w:tcPr>
            <w:tcW w:w="1360" w:type="dxa"/>
            <w:vAlign w:val="bottom"/>
          </w:tcPr>
          <w:p>
            <w:pPr>
              <w:jc w:val="right"/>
              <w:spacing w:after="0"/>
              <w:rPr>
                <w:sz w:val="20"/>
                <w:szCs w:val="20"/>
                <w:color w:val="auto"/>
              </w:rPr>
            </w:pPr>
            <w:r>
              <w:rPr>
                <w:rFonts w:ascii="Arial" w:cs="Arial" w:eastAsia="Arial" w:hAnsi="Arial"/>
                <w:sz w:val="17"/>
                <w:szCs w:val="17"/>
                <w:color w:val="auto"/>
              </w:rPr>
              <w:t>1,256</w:t>
            </w:r>
          </w:p>
        </w:tc>
        <w:tc>
          <w:tcPr>
            <w:tcW w:w="100" w:type="dxa"/>
            <w:vAlign w:val="bottom"/>
          </w:tcPr>
          <w:p>
            <w:pPr>
              <w:spacing w:after="0"/>
              <w:rPr>
                <w:sz w:val="18"/>
                <w:szCs w:val="18"/>
                <w:color w:val="auto"/>
              </w:rPr>
            </w:pPr>
          </w:p>
        </w:tc>
      </w:tr>
      <w:tr>
        <w:trPr>
          <w:trHeight w:val="220"/>
        </w:trPr>
        <w:tc>
          <w:tcPr>
            <w:tcW w:w="76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Acquisition of Cameron International Corporation</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FF0FC"/>
          </w:tcPr>
          <w:p>
            <w:pPr>
              <w:spacing w:after="0"/>
              <w:rPr>
                <w:sz w:val="19"/>
                <w:szCs w:val="19"/>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7"/>
                <w:szCs w:val="17"/>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20"/>
        </w:trPr>
        <w:tc>
          <w:tcPr>
            <w:tcW w:w="76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r>
      <w:tr>
        <w:trPr>
          <w:trHeight w:val="220"/>
        </w:trPr>
        <w:tc>
          <w:tcPr>
            <w:tcW w:w="7660" w:type="dxa"/>
            <w:vAlign w:val="bottom"/>
            <w:gridSpan w:val="2"/>
          </w:tcPr>
          <w:p>
            <w:pPr>
              <w:ind w:left="240"/>
              <w:spacing w:after="0"/>
              <w:rPr>
                <w:sz w:val="20"/>
                <w:szCs w:val="20"/>
                <w:color w:val="auto"/>
              </w:rPr>
            </w:pPr>
            <w:r>
              <w:rPr>
                <w:rFonts w:ascii="Arial" w:cs="Arial" w:eastAsia="Arial" w:hAnsi="Arial"/>
                <w:sz w:val="17"/>
                <w:szCs w:val="17"/>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0"/>
        </w:trPr>
        <w:tc>
          <w:tcPr>
            <w:tcW w:w="6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w:t>
            </w:r>
          </w:p>
        </w:tc>
      </w:tr>
      <w:tr>
        <w:trPr>
          <w:trHeight w:val="20"/>
        </w:trPr>
        <w:tc>
          <w:tcPr>
            <w:tcW w:w="6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674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1,434</w:t>
            </w: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(43)</w:t>
            </w:r>
          </w:p>
        </w:tc>
        <w:tc>
          <w:tcPr>
            <w:tcW w:w="1360" w:type="dxa"/>
            <w:vAlign w:val="bottom"/>
          </w:tcPr>
          <w:p>
            <w:pPr>
              <w:jc w:val="right"/>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44" w:lineRule="exact"/>
        <w:rPr>
          <w:sz w:val="20"/>
          <w:szCs w:val="20"/>
          <w:color w:val="auto"/>
        </w:rPr>
      </w:pPr>
    </w:p>
    <w:p>
      <w:pPr>
        <w:ind w:left="180" w:hanging="177"/>
        <w:spacing w:after="0"/>
        <w:tabs>
          <w:tab w:leader="none" w:pos="1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Business Description</w:t>
      </w:r>
    </w:p>
    <w:p>
      <w:pPr>
        <w:spacing w:after="0" w:line="13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Schlumberger Limited (Schlumberger N.V., incorporated in Curaçao) and its consolidated subsidiaries (collectively, “Schlumberger”) comprise the world’s leading supplier of technology for reservoir characterization, drilling, production and processing to the oil and gas industry.</w:t>
      </w:r>
    </w:p>
    <w:p>
      <w:pPr>
        <w:spacing w:after="0" w:line="257" w:lineRule="exact"/>
        <w:rPr>
          <w:sz w:val="20"/>
          <w:szCs w:val="20"/>
          <w:color w:val="auto"/>
        </w:rPr>
      </w:pPr>
    </w:p>
    <w:p>
      <w:pPr>
        <w:ind w:left="180" w:hanging="177"/>
        <w:spacing w:after="0"/>
        <w:tabs>
          <w:tab w:leader="none" w:pos="18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Summary of Accounting Policies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of Schlumberger have been prepared in accordance with accounting principles generally accepted in the United States of America.</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preparation of financial statements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revenue recognized under the percentage-of-completion method; recoverability of fixed assets, goodwill, intangible assets, Schlumberger Production Management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and when the customer assumes the risks and rewards of ownership.</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Revenue is recognized for certain long-term construction-type contracts, primarily in the Cameron Group, based on the percentage-of-completion method. These contracts involve significant design and engineering efforts in order to satisfy custom designs for customer-specific applications. Under the percentage-of-completion method, revenue is recognized as work progresses on each such contract. Progress is measured by the ratio of actual costs incurred to date on the project in relation to total estimated project costs. Any expected losses on a project are recorded in full in the period in which they become probable. Progress billings are generally issued upon completion of certain phases of work as stipulated in the contract. Revenue in excess of billings is included within </w:t>
      </w:r>
      <w:r>
        <w:rPr>
          <w:rFonts w:ascii="Arial" w:cs="Arial" w:eastAsia="Arial" w:hAnsi="Arial"/>
          <w:sz w:val="17"/>
          <w:szCs w:val="17"/>
          <w:i w:val="1"/>
          <w:iCs w:val="1"/>
          <w:color w:val="auto"/>
        </w:rPr>
        <w:t>Receivables less allowance for doubtful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Balance Sheet</w:t>
      </w:r>
      <w:r>
        <w:rPr>
          <w:rFonts w:ascii="Arial" w:cs="Arial" w:eastAsia="Arial" w:hAnsi="Arial"/>
          <w:sz w:val="17"/>
          <w:szCs w:val="17"/>
          <w:color w:val="auto"/>
        </w:rPr>
        <w:t>. Billings and cash collections in excess of revenue recognized on contracts are included within</w:t>
      </w:r>
      <w:r>
        <w:rPr>
          <w:rFonts w:ascii="Arial" w:cs="Arial" w:eastAsia="Arial" w:hAnsi="Arial"/>
          <w:sz w:val="17"/>
          <w:szCs w:val="17"/>
          <w:i w:val="1"/>
          <w:iCs w:val="1"/>
          <w:color w:val="auto"/>
        </w:rPr>
        <w:t xml:space="preserve"> Accounts payable and accrued liabilities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Balance Sheet</w:t>
      </w:r>
      <w:r>
        <w:rPr>
          <w:rFonts w:ascii="Arial" w:cs="Arial" w:eastAsia="Arial" w:hAnsi="Arial"/>
          <w:sz w:val="17"/>
          <w:szCs w:val="17"/>
          <w:color w:val="auto"/>
        </w:rPr>
        <w: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Revenue is occasionally generated from contractual arrangements that include multiple deliverables. Revenue from these arrangements is recognized as each item is delivered based on its relative fair value, provided that the delivered items have stand-alone value to the customer.</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Short-term and Fixed Income Investments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reflects the Schlumberger investment portfolio separated between current and long term, based on maturity. Both </w:t>
      </w:r>
      <w:r>
        <w:rPr>
          <w:rFonts w:ascii="Arial" w:cs="Arial" w:eastAsia="Arial" w:hAnsi="Arial"/>
          <w:sz w:val="17"/>
          <w:szCs w:val="17"/>
          <w:i w:val="1"/>
          <w:iCs w:val="1"/>
          <w:color w:val="auto"/>
        </w:rPr>
        <w:t>Short-term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Fixed Income Investments, held to maturity </w:t>
      </w:r>
      <w:r>
        <w:rPr>
          <w:rFonts w:ascii="Arial" w:cs="Arial" w:eastAsia="Arial" w:hAnsi="Arial"/>
          <w:sz w:val="17"/>
          <w:szCs w:val="17"/>
          <w:color w:val="auto"/>
        </w:rPr>
        <w:t>are comprised primarily of money market funds, time deposits, certificates of deposit, commercial paper,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bonds and notes, substantially all of which are denominated in US dollars. Under normal circumstances Schlumberger intends to hold such investments until maturity, with the exception of $503 million of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at December 31, 2016 that are considered available-for-sale and stated at fair value. All other investments are stated at cost plus accrued interest, which approximates market. The unrealized gains/losses in investments designated as available-for-sale were not significant at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purposes of the </w:t>
      </w:r>
      <w:r>
        <w:rPr>
          <w:rFonts w:ascii="Arial" w:cs="Arial" w:eastAsia="Arial" w:hAnsi="Arial"/>
          <w:sz w:val="17"/>
          <w:szCs w:val="17"/>
          <w:i w:val="1"/>
          <w:iCs w:val="1"/>
          <w:color w:val="auto"/>
        </w:rPr>
        <w:t>Consolidated Statement of Cash Flows</w:t>
      </w:r>
      <w:r>
        <w:rPr>
          <w:rFonts w:ascii="Arial" w:cs="Arial" w:eastAsia="Arial" w:hAnsi="Arial"/>
          <w:sz w:val="17"/>
          <w:szCs w:val="17"/>
          <w:color w:val="auto"/>
        </w:rPr>
        <w:t xml:space="preserve">, Schlumberger does not consider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to be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Fixed Income Investments, held to maturity </w:t>
      </w:r>
      <w:r>
        <w:rPr>
          <w:rFonts w:ascii="Arial" w:cs="Arial" w:eastAsia="Arial" w:hAnsi="Arial"/>
          <w:sz w:val="17"/>
          <w:szCs w:val="17"/>
          <w:color w:val="auto"/>
        </w:rPr>
        <w:t>at December 31, 2016 of $238 million mature as follows: $225 million in 2018 and $13 million in 2019.</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Affiliated Companies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7"/>
          <w:szCs w:val="17"/>
          <w:i w:val="1"/>
          <w:iCs w:val="1"/>
          <w:color w:val="auto"/>
        </w:rPr>
        <w:t>Interest and other income</w:t>
      </w:r>
      <w:r>
        <w:rPr>
          <w:rFonts w:ascii="Arial" w:cs="Arial" w:eastAsia="Arial" w:hAnsi="Arial"/>
          <w:sz w:val="17"/>
          <w:szCs w:val="17"/>
          <w:color w:val="auto"/>
        </w:rPr>
        <w:t xml:space="preserve">. I nvestments in privately held companies in which Schlumberger does not have the ability to exercise significant influence are accounted for using the cost method. Investments in publicly traded companies in which Schlumberger does not have significant influence are accounted for as available-for-sale marketable securities. These marketable securities are reported at fair value, based on quoted market prices, with unrealized gains and losses reported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The fair value of these marketable securities was $59 million at December 31, 2016 ($41 million at December 31, 2015). The cost basis of these marketable securities was $41 million at both December 31, 2016 and 2015.</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Equity and cost method investments as well as investments in publicly traded companies are classified as </w:t>
      </w:r>
      <w:r>
        <w:rPr>
          <w:rFonts w:ascii="Arial" w:cs="Arial" w:eastAsia="Arial" w:hAnsi="Arial"/>
          <w:sz w:val="17"/>
          <w:szCs w:val="17"/>
          <w:i w:val="1"/>
          <w:iCs w:val="1"/>
          <w:color w:val="auto"/>
        </w:rPr>
        <w:t>Investments in Affiliated Companies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Balance Sheet</w:t>
      </w:r>
      <w:r>
        <w:rPr>
          <w:rFonts w:ascii="Arial" w:cs="Arial" w:eastAsia="Arial" w:hAnsi="Arial"/>
          <w:sz w:val="17"/>
          <w:szCs w:val="17"/>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Multiclient Seismic Data</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Schlumberger’s multiclient library consists of completed and in-process seismic surveys that are licensed on a nonexclusive basis. Schlumberger capitalizes costs directly incurred in acquiring and processing the multiclient seismic data. Such costs are charged to </w:t>
      </w:r>
      <w:r>
        <w:rPr>
          <w:rFonts w:ascii="Arial" w:cs="Arial" w:eastAsia="Arial" w:hAnsi="Arial"/>
          <w:sz w:val="17"/>
          <w:szCs w:val="17"/>
          <w:i w:val="1"/>
          <w:iCs w:val="1"/>
          <w:color w:val="auto"/>
        </w:rPr>
        <w:t>Cost of revenue</w:t>
      </w:r>
      <w:r>
        <w:rPr>
          <w:rFonts w:ascii="Arial" w:cs="Arial" w:eastAsia="Arial" w:hAnsi="Arial"/>
          <w:sz w:val="17"/>
          <w:szCs w:val="17"/>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Schlumberger, would not be sufficient to recover the carrying value of the surveys . Significant adverse changes in Schlumberger’s estimated future cash flows could result in impairment charges in a future period.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Schlumberger Production Management</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Schlumberger Production Management (SPM) projects are focused on developing and managing production on behalf of Schlumberger’s clients under long-term agreements. Schlumberger will invest its own services,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compensated based upon cash flow generated or on a fee-per-barrel basis. This may include certain arrangements whereby Schlumberger is only compensated based upon incremental production it helps deliver above a mutually agreed baseline.</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Schlumberger capitalizes its cash investments in a project as well as the direct costs associated with providing services or products for which Schlumberger will be compensated when the related production is achieved. Revenue is recognized as the related production is achieved. These capitalized investments are amortized to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the related oil production is achieved based on the units of production method, whereby each unit produced is assigned a pro-rata portion of the unamortized costs based on estimated total production, resulting in a matching of revenue with the applicable costs. Amortization expense relating to these capitalized investments was $449 million, $317 million and $315 million in 2016, 2015 and 2014,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37" w:name="page38"/>
    <w:bookmarkEnd w:id="37"/>
    <w:p>
      <w:pPr>
        <w:jc w:val="both"/>
        <w:spacing w:after="0" w:line="283" w:lineRule="auto"/>
        <w:rPr>
          <w:sz w:val="20"/>
          <w:szCs w:val="20"/>
          <w:color w:val="auto"/>
        </w:rPr>
      </w:pPr>
      <w:r>
        <w:rPr>
          <w:rFonts w:ascii="Arial" w:cs="Arial" w:eastAsia="Arial" w:hAnsi="Arial"/>
          <w:sz w:val="17"/>
          <w:szCs w:val="17"/>
          <w:color w:val="auto"/>
        </w:rPr>
        <w:t xml:space="preserve">The unamortized portion of Schlumberger’s investments in SPM projects was $2.458 billion and $1.829 billion at December 31, 2016 and 2015, respectively. These amounts are included within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Schlumberger’s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Schlumberger operates in more than 85 countries and as such, its accounts receivable are spread over many countries and customers. The United States, Venezuela and Ecuador each represented approximately 11%, 12% and 12% of Schlumberger’s accounts receivable balance at December 31, 2016. No other country accounted for greater than 10% of Schlumberger’s accounts receivable balance. Schlumberger has continued to experience delays in payment from its national oil company customer in Venezuela. Schlumberger maintains an allowance for uncollectible accounts receivable based on expected collectibility and performs ongoing credit evaluations of its customers’ financial condition. If the financial condition of its customers were to deteriorate resulting in an impairment of their ability to make payments, adjustments to the allowance may be required.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from basic to diluted earnings per share from continuing operations of Schlumberger for each of the last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404"/>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color w:val="auto"/>
                <w:w w:val="86"/>
              </w:rPr>
              <w:t>Schlumberger</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Earnings (Loss) per</w:t>
            </w:r>
          </w:p>
        </w:tc>
        <w:tc>
          <w:tcPr>
            <w:tcW w:w="0" w:type="dxa"/>
            <w:vAlign w:val="bottom"/>
          </w:tcPr>
          <w:p>
            <w:pPr>
              <w:spacing w:after="0"/>
              <w:rPr>
                <w:sz w:val="1"/>
                <w:szCs w:val="1"/>
                <w:color w:val="auto"/>
              </w:rPr>
            </w:pPr>
          </w:p>
        </w:tc>
      </w:tr>
      <w:tr>
        <w:trPr>
          <w:trHeight w:val="194"/>
        </w:trPr>
        <w:tc>
          <w:tcPr>
            <w:tcW w:w="678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6"/>
                <w:szCs w:val="16"/>
                <w:color w:val="auto"/>
                <w:w w:val="89"/>
              </w:rPr>
              <w:t>Income (Loss) from</w:t>
            </w: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Average</w:t>
            </w:r>
          </w:p>
        </w:tc>
        <w:tc>
          <w:tcPr>
            <w:tcW w:w="200" w:type="dxa"/>
            <w:vAlign w:val="bottom"/>
          </w:tcPr>
          <w:p>
            <w:pPr>
              <w:spacing w:after="0"/>
              <w:rPr>
                <w:sz w:val="16"/>
                <w:szCs w:val="16"/>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auto"/>
                <w:w w:val="98"/>
              </w:rPr>
              <w:t>Share from</w:t>
            </w:r>
          </w:p>
        </w:tc>
        <w:tc>
          <w:tcPr>
            <w:tcW w:w="0" w:type="dxa"/>
            <w:vAlign w:val="bottom"/>
          </w:tcPr>
          <w:p>
            <w:pPr>
              <w:spacing w:after="0"/>
              <w:rPr>
                <w:sz w:val="1"/>
                <w:szCs w:val="1"/>
                <w:color w:val="auto"/>
              </w:rPr>
            </w:pPr>
          </w:p>
        </w:tc>
      </w:tr>
      <w:tr>
        <w:trPr>
          <w:trHeight w:val="194"/>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Continuing</w:t>
            </w: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color w:val="auto"/>
                <w:w w:val="78"/>
              </w:rPr>
              <w:t>Shares</w:t>
            </w:r>
          </w:p>
        </w:tc>
        <w:tc>
          <w:tcPr>
            <w:tcW w:w="20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Continuing</w:t>
            </w: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color w:val="auto"/>
                <w:w w:val="86"/>
              </w:rPr>
              <w:t>Operations</w:t>
            </w: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Outstanding</w:t>
            </w:r>
          </w:p>
        </w:tc>
        <w:tc>
          <w:tcPr>
            <w:tcW w:w="20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Operations</w:t>
            </w:r>
          </w:p>
        </w:tc>
        <w:tc>
          <w:tcPr>
            <w:tcW w:w="0" w:type="dxa"/>
            <w:vAlign w:val="bottom"/>
          </w:tcPr>
          <w:p>
            <w:pPr>
              <w:spacing w:after="0"/>
              <w:rPr>
                <w:sz w:val="1"/>
                <w:szCs w:val="1"/>
                <w:color w:val="auto"/>
              </w:rPr>
            </w:pPr>
          </w:p>
        </w:tc>
      </w:tr>
      <w:tr>
        <w:trPr>
          <w:trHeight w:val="215"/>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2016:</w:t>
            </w: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780" w:type="dxa"/>
            <w:vAlign w:val="bottom"/>
          </w:tcPr>
          <w:p>
            <w:pPr>
              <w:spacing w:after="0"/>
              <w:rPr>
                <w:sz w:val="20"/>
                <w:szCs w:val="20"/>
                <w:color w:val="auto"/>
              </w:rPr>
            </w:pPr>
            <w:r>
              <w:rPr>
                <w:rFonts w:ascii="Arial" w:cs="Arial" w:eastAsia="Arial" w:hAnsi="Arial"/>
                <w:sz w:val="17"/>
                <w:szCs w:val="17"/>
                <w:b w:val="1"/>
                <w:bCs w:val="1"/>
                <w:color w:val="auto"/>
              </w:rPr>
              <w:t>Basic</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(1,687)</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1,357</w:t>
            </w:r>
          </w:p>
        </w:tc>
        <w:tc>
          <w:tcPr>
            <w:tcW w:w="260" w:type="dxa"/>
            <w:vAlign w:val="bottom"/>
          </w:tcPr>
          <w:p>
            <w:pPr>
              <w:spacing w:after="0"/>
              <w:rPr>
                <w:sz w:val="22"/>
                <w:szCs w:val="22"/>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(1.24)</w:t>
            </w:r>
          </w:p>
        </w:tc>
        <w:tc>
          <w:tcPr>
            <w:tcW w:w="0" w:type="dxa"/>
            <w:vAlign w:val="bottom"/>
          </w:tcPr>
          <w:p>
            <w:pPr>
              <w:spacing w:after="0"/>
              <w:rPr>
                <w:sz w:val="1"/>
                <w:szCs w:val="1"/>
                <w:color w:val="auto"/>
              </w:rPr>
            </w:pPr>
          </w:p>
        </w:tc>
      </w:tr>
      <w:tr>
        <w:trPr>
          <w:trHeight w:val="198"/>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Assumed exercise of stock options</w:t>
            </w:r>
          </w:p>
        </w:tc>
        <w:tc>
          <w:tcPr>
            <w:tcW w:w="16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(1,687)</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(1.24)</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2015: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Basic</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2,072</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1,267</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color w:val="auto"/>
              </w:rPr>
              <w:t>Assumed exercise of stock options</w:t>
            </w:r>
          </w:p>
        </w:tc>
        <w:tc>
          <w:tcPr>
            <w:tcW w:w="1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7"/>
                <w:szCs w:val="17"/>
                <w:color w:val="auto"/>
              </w:rPr>
              <w:t>Unvested restricted stock</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w:t>
            </w:r>
          </w:p>
        </w:tc>
        <w:tc>
          <w:tcPr>
            <w:tcW w:w="260" w:type="dxa"/>
            <w:vAlign w:val="bottom"/>
            <w:tcBorders>
              <w:bottom w:val="single" w:sz="8" w:color="CFF0FC"/>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780" w:type="dxa"/>
            <w:vAlign w:val="bottom"/>
            <w:shd w:val="clear" w:color="auto" w:fill="CFF0FC"/>
          </w:tcPr>
          <w:p>
            <w:pPr>
              <w:spacing w:after="0"/>
              <w:rPr>
                <w:sz w:val="20"/>
                <w:szCs w:val="20"/>
                <w:color w:val="auto"/>
              </w:rPr>
            </w:pPr>
            <w:r>
              <w:rPr>
                <w:rFonts w:ascii="Arial" w:cs="Arial" w:eastAsia="Arial" w:hAnsi="Arial"/>
                <w:sz w:val="17"/>
                <w:szCs w:val="17"/>
                <w:color w:val="auto"/>
              </w:rPr>
              <w:t>2014:</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Basic</w:t>
            </w: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5,643</w:t>
            </w:r>
          </w:p>
        </w:tc>
        <w:tc>
          <w:tcPr>
            <w:tcW w:w="26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1,295</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780" w:type="dxa"/>
            <w:vAlign w:val="bottom"/>
            <w:shd w:val="clear" w:color="auto" w:fill="CFF0FC"/>
          </w:tcPr>
          <w:p>
            <w:pPr>
              <w:spacing w:after="0"/>
              <w:rPr>
                <w:sz w:val="20"/>
                <w:szCs w:val="20"/>
                <w:color w:val="auto"/>
              </w:rPr>
            </w:pPr>
            <w:r>
              <w:rPr>
                <w:rFonts w:ascii="Arial" w:cs="Arial" w:eastAsia="Arial" w:hAnsi="Arial"/>
                <w:sz w:val="17"/>
                <w:szCs w:val="17"/>
                <w:color w:val="auto"/>
              </w:rPr>
              <w:t>Assumed exercise of stock options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5,643</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Employee stock options to purchase 47 million shares of common stock as well as 5 million unvested restricted stock units were outstanding at December 31, 2016, but were not included in the computation of diluted loss per share as their effect, if included, would have been anti-dilutive.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Employee stock options to purchase 20 million and 5 million shares of common stock at December 31, 2015 and 2014, respectively, were outstanding but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Schlumberger will adopt this ASU on January 1, 2018. Schlumberger does not expect the adoption of this ASU to have a material impact on its consolidated financial statements.</w:t>
      </w:r>
    </w:p>
    <w:p>
      <w:pPr>
        <w:spacing w:after="0" w:line="145"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This ASU requires lessees to recognize a right of use asset and lease liability on the balance sheet for all leases, with the exception of short-term leases. Schlumberger will adopt this ASU on January 1, 2019. Based on its current lease portfolio, Schlumberger estimates that the adoption of this ASU will result in approximately $1.3 billion of additional assets and liabilities being reflected on its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w:t>
      </w:r>
    </w:p>
    <w:p>
      <w:pPr>
        <w:spacing w:after="0" w:line="137" w:lineRule="exact"/>
        <w:rPr>
          <w:sz w:val="20"/>
          <w:szCs w:val="20"/>
          <w:color w:val="auto"/>
        </w:rPr>
      </w:pPr>
    </w:p>
    <w:p>
      <w:pPr>
        <w:ind w:right="640"/>
        <w:spacing w:after="0" w:line="315"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requires that deferred tax assets and liabilities be classified as noncurrent in a classified balance sheet. Schlumberger adopted this ASU in the fourth quarter of 2016 on a prospective basis.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Certain prior period amounts have been reclassified to conform to the current period presentation.</w:t>
      </w:r>
    </w:p>
    <w:p>
      <w:pPr>
        <w:spacing w:after="0" w:line="315" w:lineRule="exact"/>
        <w:rPr>
          <w:sz w:val="20"/>
          <w:szCs w:val="20"/>
          <w:color w:val="auto"/>
        </w:rPr>
      </w:pPr>
    </w:p>
    <w:p>
      <w:pPr>
        <w:ind w:left="220" w:hanging="217"/>
        <w:spacing w:after="0"/>
        <w:tabs>
          <w:tab w:leader="none" w:pos="22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Schlumberger recorded the following charges and credits in continuing operations during 2016, 2015 and 2014: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2016</w:t>
      </w:r>
    </w:p>
    <w:p>
      <w:pPr>
        <w:spacing w:after="0" w:line="121" w:lineRule="exact"/>
        <w:rPr>
          <w:sz w:val="20"/>
          <w:szCs w:val="20"/>
          <w:color w:val="auto"/>
        </w:rPr>
      </w:pPr>
    </w:p>
    <w:p>
      <w:pPr>
        <w:jc w:val="both"/>
        <w:ind w:left="760" w:hanging="382"/>
        <w:spacing w:after="0" w:line="261"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Schlumberger reduced its headcount during the second quarter of 2016 as a result of persistent unfavorable oil and gas industry market conditions and the expected impact on customer activity levels. Schlumberger recorded a $646 million charge during the second quarter of 2016 associated with this headcount reduction. During the fourth quarter of 2016, Schlumberger decided to further reduce its headcount in order to streamline its support cost structure. Schlumberger recorded an additional $234 million charge during the fourth quarter associated with these actions. Approximately $400 million of the costs remain unpaid as of December 31, 2016.</w:t>
      </w:r>
    </w:p>
    <w:p>
      <w:pPr>
        <w:spacing w:after="0" w:line="74" w:lineRule="exact"/>
        <w:rPr>
          <w:rFonts w:ascii="Arial" w:cs="Arial" w:eastAsia="Arial" w:hAnsi="Arial"/>
          <w:sz w:val="17"/>
          <w:szCs w:val="17"/>
          <w:color w:val="auto"/>
        </w:rPr>
      </w:pPr>
    </w:p>
    <w:p>
      <w:pPr>
        <w:jc w:val="both"/>
        <w:ind w:left="760" w:hanging="382"/>
        <w:spacing w:after="0" w:line="268"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fourth quarter of 2016, Schlumberger recorded $302 million of restructuring charges consisting of the following: $165 million of facility closure costs due to the expected sale of certain owned properties and the termination of certain facility leases; $98 million of asset write-offs associated with exiting certain activities; and $39 million of contract termination costs.</w:t>
      </w:r>
    </w:p>
    <w:p>
      <w:pPr>
        <w:spacing w:after="0" w:line="378"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fourth quarter of 2016, the Central Bank of Egypt took the decision to float its currency and the Egyptian pound devalued relative to the US dollar. As a result, Schlumberger recorded a $63 million devaluation charge during the fourth quarter of 2016.</w:t>
      </w:r>
    </w:p>
    <w:p>
      <w:pPr>
        <w:spacing w:after="0" w:line="55" w:lineRule="exact"/>
        <w:rPr>
          <w:rFonts w:ascii="Arial" w:cs="Arial" w:eastAsia="Arial" w:hAnsi="Arial"/>
          <w:sz w:val="17"/>
          <w:szCs w:val="17"/>
          <w:color w:val="auto"/>
        </w:rPr>
      </w:pPr>
    </w:p>
    <w:p>
      <w:pPr>
        <w:jc w:val="both"/>
        <w:ind w:left="760" w:hanging="382"/>
        <w:spacing w:after="0" w:line="292"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a result of the persistent unfavorable oil and gas industry market conditions that continued to deteriorate in the first half of 2016, and the related impact on first half operating results and expected customer activity levels, Schlumberger determined that the carrying values of certain assets were no longer recoverable and also took certain decisions that resulted in the following impairment and other charges during the second quarter of 2016:</w:t>
      </w:r>
    </w:p>
    <w:p>
      <w:pPr>
        <w:spacing w:after="0" w:line="51" w:lineRule="exact"/>
        <w:rPr>
          <w:rFonts w:ascii="Arial" w:cs="Arial" w:eastAsia="Arial" w:hAnsi="Arial"/>
          <w:sz w:val="16"/>
          <w:szCs w:val="16"/>
          <w:color w:val="auto"/>
        </w:rPr>
      </w:pPr>
    </w:p>
    <w:p>
      <w:pPr>
        <w:ind w:left="1220" w:hanging="377"/>
        <w:spacing w:after="0"/>
        <w:tabs>
          <w:tab w:leader="none" w:pos="12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$209 million impairment of pressure pumping equipment in North America.</w:t>
      </w:r>
    </w:p>
    <w:p>
      <w:pPr>
        <w:spacing w:after="0" w:line="23" w:lineRule="exact"/>
        <w:rPr>
          <w:rFonts w:ascii="Arial" w:cs="Arial" w:eastAsia="Arial" w:hAnsi="Arial"/>
          <w:sz w:val="17"/>
          <w:szCs w:val="17"/>
          <w:color w:val="auto"/>
        </w:rPr>
      </w:pPr>
    </w:p>
    <w:p>
      <w:pPr>
        <w:ind w:left="1240" w:hanging="384"/>
        <w:spacing w:after="0"/>
        <w:tabs>
          <w:tab w:leader="none" w:pos="12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$165 million impairment of facilities in North America.</w:t>
      </w:r>
    </w:p>
    <w:p>
      <w:pPr>
        <w:spacing w:after="0" w:line="11" w:lineRule="exact"/>
        <w:rPr>
          <w:rFonts w:ascii="Arial" w:cs="Arial" w:eastAsia="Arial" w:hAnsi="Arial"/>
          <w:sz w:val="17"/>
          <w:szCs w:val="17"/>
          <w:color w:val="auto"/>
        </w:rPr>
      </w:pPr>
    </w:p>
    <w:p>
      <w:pPr>
        <w:ind w:left="1240" w:hanging="384"/>
        <w:spacing w:after="0"/>
        <w:tabs>
          <w:tab w:leader="none" w:pos="12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$684 million of other fixed asset impairments primarily relating to underutilized equipment.</w:t>
      </w:r>
    </w:p>
    <w:p>
      <w:pPr>
        <w:spacing w:after="0" w:line="11" w:lineRule="exact"/>
        <w:rPr>
          <w:rFonts w:ascii="Arial" w:cs="Arial" w:eastAsia="Arial" w:hAnsi="Arial"/>
          <w:sz w:val="17"/>
          <w:szCs w:val="17"/>
          <w:color w:val="auto"/>
        </w:rPr>
      </w:pPr>
    </w:p>
    <w:p>
      <w:pPr>
        <w:ind w:left="1240" w:hanging="384"/>
        <w:spacing w:after="0"/>
        <w:tabs>
          <w:tab w:leader="none" w:pos="12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$616 million write-down of the carrying value of certain inventory to its net realizable value.</w:t>
      </w:r>
    </w:p>
    <w:p>
      <w:pPr>
        <w:spacing w:after="0" w:line="11" w:lineRule="exact"/>
        <w:rPr>
          <w:rFonts w:ascii="Arial" w:cs="Arial" w:eastAsia="Arial" w:hAnsi="Arial"/>
          <w:sz w:val="17"/>
          <w:szCs w:val="17"/>
          <w:color w:val="auto"/>
        </w:rPr>
      </w:pPr>
    </w:p>
    <w:p>
      <w:pPr>
        <w:ind w:left="1240" w:hanging="384"/>
        <w:spacing w:after="0"/>
        <w:tabs>
          <w:tab w:leader="none" w:pos="12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$198 million impairment of certain multiclient seismic data, largely related to the US Gulf of Mexico.</w:t>
      </w:r>
    </w:p>
    <w:p>
      <w:pPr>
        <w:spacing w:after="0" w:line="11" w:lineRule="exact"/>
        <w:rPr>
          <w:rFonts w:ascii="Arial" w:cs="Arial" w:eastAsia="Arial" w:hAnsi="Arial"/>
          <w:sz w:val="17"/>
          <w:szCs w:val="17"/>
          <w:color w:val="auto"/>
        </w:rPr>
      </w:pPr>
    </w:p>
    <w:p>
      <w:pPr>
        <w:ind w:left="1240" w:hanging="384"/>
        <w:spacing w:after="0"/>
        <w:tabs>
          <w:tab w:leader="none" w:pos="12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$55 million of other restructuring costs.</w:t>
      </w:r>
    </w:p>
    <w:p>
      <w:pPr>
        <w:spacing w:after="0" w:line="205" w:lineRule="exact"/>
        <w:rPr>
          <w:sz w:val="20"/>
          <w:szCs w:val="20"/>
          <w:color w:val="auto"/>
        </w:rPr>
      </w:pPr>
    </w:p>
    <w:p>
      <w:pPr>
        <w:jc w:val="both"/>
        <w:ind w:left="760"/>
        <w:spacing w:after="0" w:line="320" w:lineRule="auto"/>
        <w:rPr>
          <w:sz w:val="20"/>
          <w:szCs w:val="20"/>
          <w:color w:val="auto"/>
        </w:rPr>
      </w:pPr>
      <w:r>
        <w:rPr>
          <w:rFonts w:ascii="Arial" w:cs="Arial" w:eastAsia="Arial" w:hAnsi="Arial"/>
          <w:sz w:val="15"/>
          <w:szCs w:val="15"/>
          <w:color w:val="auto"/>
        </w:rPr>
        <w:t xml:space="preserve">The fair value of the impaired fixed assets and multiclient seismic data was estimated based on the projected present value of future cash flows that these assets are expected to generate. Such estimates included unobservable inputs that required significant judgments. Additional charges may be required in future periods should industry conditions worsen. The above items are classified in </w:t>
      </w:r>
      <w:r>
        <w:rPr>
          <w:rFonts w:ascii="Arial" w:cs="Arial" w:eastAsia="Arial" w:hAnsi="Arial"/>
          <w:sz w:val="15"/>
          <w:szCs w:val="15"/>
          <w:i w:val="1"/>
          <w:iCs w:val="1"/>
          <w:color w:val="auto"/>
        </w:rPr>
        <w:t>Impairments &amp; other</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39" w:name="page40"/>
    <w:bookmarkEnd w:id="39"/>
    <w:p>
      <w:pPr>
        <w:jc w:val="both"/>
        <w:ind w:left="760" w:hanging="382"/>
        <w:spacing w:after="0" w:line="281"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connection with Schlumberger’s April 2016 acquisition of Cameron International Corporation (“Cameron”) (see Note 4 -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Schlumberger recorded $648 million of charges consisting of the following: $299 million relating to the amortization of purchase accounting adjustments associated with the write-up of acquired inventory to its estimated fair value; $83 million relating to employee benefits for change-in-control arrangements and retention bonuses; $45 million of transaction costs, including advisory and legal fees; $61 million of facility closure costs, and $160 million of other merger and integration-related costs. These amounts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 xml:space="preserve">The following is a summary of these charges and credits, of which $3.172 billion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and $648 million were classified as </w:t>
      </w:r>
      <w:r>
        <w:rPr>
          <w:rFonts w:ascii="Arial" w:cs="Arial" w:eastAsia="Arial" w:hAnsi="Arial"/>
          <w:sz w:val="17"/>
          <w:szCs w:val="17"/>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&amp; integration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Statement of Income</w:t>
      </w:r>
      <w:r>
        <w:rPr>
          <w:rFonts w:ascii="Arial" w:cs="Arial" w:eastAsia="Arial" w:hAnsi="Arial"/>
          <w:sz w:val="17"/>
          <w:szCs w:val="17"/>
          <w:color w:val="auto"/>
        </w:rPr>
        <w: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5160" w:type="dxa"/>
            <w:vAlign w:val="bottom"/>
            <w:tcBorders>
              <w:bottom w:val="single" w:sz="8" w:color="CFF0FC"/>
            </w:tcBorders>
          </w:tcPr>
          <w:p>
            <w:pPr>
              <w:spacing w:after="0"/>
              <w:rPr>
                <w:sz w:val="24"/>
                <w:szCs w:val="24"/>
                <w:color w:val="auto"/>
              </w:rPr>
            </w:pPr>
          </w:p>
        </w:tc>
        <w:tc>
          <w:tcPr>
            <w:tcW w:w="15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Tax</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r>
      <w:tr>
        <w:trPr>
          <w:trHeight w:val="213"/>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reductions</w:t>
            </w:r>
          </w:p>
        </w:tc>
        <w:tc>
          <w:tcPr>
            <w:tcW w:w="250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811</w:t>
            </w:r>
          </w:p>
        </w:tc>
        <w:tc>
          <w:tcPr>
            <w:tcW w:w="100" w:type="dxa"/>
            <w:vAlign w:val="bottom"/>
            <w:shd w:val="clear" w:color="auto" w:fill="CFF0FC"/>
          </w:tcPr>
          <w:p>
            <w:pPr>
              <w:spacing w:after="0"/>
              <w:rPr>
                <w:sz w:val="18"/>
                <w:szCs w:val="18"/>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Other fixed asset impairments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684</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Inventory write-downs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Amortization of inventory fair value adjustment</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299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Facility closure costs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North America pressure pumping asset impairments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209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Multiclient seismic data impairment</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Facility impairments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165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Other merger and integration-related</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Costs associated with exiting certain activities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Merger-related employee benefits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Currency devaluation loss in Egypt</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Other restructuring charges</w:t>
            </w:r>
          </w:p>
        </w:tc>
        <w:tc>
          <w:tcPr>
            <w:tcW w:w="1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FF0FC"/>
          </w:tcPr>
          <w:p>
            <w:pPr>
              <w:spacing w:after="0"/>
              <w:rPr>
                <w:sz w:val="19"/>
                <w:szCs w:val="19"/>
                <w:color w:val="auto"/>
              </w:rPr>
            </w:pPr>
          </w:p>
        </w:tc>
      </w:tr>
      <w:tr>
        <w:trPr>
          <w:trHeight w:val="220"/>
        </w:trPr>
        <w:tc>
          <w:tcPr>
            <w:tcW w:w="5160" w:type="dxa"/>
            <w:vAlign w:val="bottom"/>
          </w:tcPr>
          <w:p>
            <w:pPr>
              <w:spacing w:after="0"/>
              <w:rPr>
                <w:sz w:val="20"/>
                <w:szCs w:val="20"/>
                <w:color w:val="auto"/>
              </w:rPr>
            </w:pPr>
            <w:r>
              <w:rPr>
                <w:rFonts w:ascii="Arial" w:cs="Arial" w:eastAsia="Arial" w:hAnsi="Arial"/>
                <w:sz w:val="17"/>
                <w:szCs w:val="17"/>
                <w:color w:val="auto"/>
              </w:rPr>
              <w:t>Professional fees</w:t>
            </w:r>
          </w:p>
        </w:tc>
        <w:tc>
          <w:tcPr>
            <w:tcW w:w="1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r>
      <w:tr>
        <w:trPr>
          <w:trHeight w:val="220"/>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Contract termination costs</w:t>
            </w:r>
          </w:p>
        </w:tc>
        <w:tc>
          <w:tcPr>
            <w:tcW w:w="15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19"/>
                <w:szCs w:val="19"/>
                <w:color w:val="auto"/>
              </w:rPr>
            </w:pPr>
          </w:p>
        </w:tc>
      </w:tr>
      <w:tr>
        <w:trPr>
          <w:trHeight w:val="213"/>
        </w:trPr>
        <w:tc>
          <w:tcPr>
            <w:tcW w:w="5160" w:type="dxa"/>
            <w:vAlign w:val="bottom"/>
          </w:tcPr>
          <w:p>
            <w:pPr>
              <w:spacing w:after="0"/>
              <w:rPr>
                <w:sz w:val="18"/>
                <w:szCs w:val="18"/>
                <w:color w:val="auto"/>
              </w:rPr>
            </w:pPr>
          </w:p>
        </w:tc>
        <w:tc>
          <w:tcPr>
            <w:tcW w:w="2500" w:type="dxa"/>
            <w:vAlign w:val="bottom"/>
            <w:gridSpan w:val="2"/>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3,820</w:t>
            </w:r>
          </w:p>
        </w:tc>
        <w:tc>
          <w:tcPr>
            <w:tcW w:w="1200" w:type="dxa"/>
            <w:vAlign w:val="bottom"/>
            <w:gridSpan w:val="2"/>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583</w:t>
            </w:r>
          </w:p>
        </w:tc>
        <w:tc>
          <w:tcPr>
            <w:tcW w:w="2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3,237</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2015</w:t>
      </w:r>
    </w:p>
    <w:p>
      <w:pPr>
        <w:spacing w:after="0" w:line="121" w:lineRule="exact"/>
        <w:rPr>
          <w:sz w:val="20"/>
          <w:szCs w:val="20"/>
          <w:color w:val="auto"/>
        </w:rPr>
      </w:pPr>
    </w:p>
    <w:p>
      <w:pPr>
        <w:jc w:val="both"/>
        <w:ind w:left="760" w:hanging="382"/>
        <w:spacing w:after="0" w:line="303" w:lineRule="auto"/>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Schlumberger reduced its headcount during the first quarter of 2015 as a result of the severe fall in activity in North America, combined with the impact of lower international activity due to customer budget cuts driven by lower oil prices. Schlumberger recorded a $390 million charge during the first quarter associated with this headcount reduction as well as an incentivized leave of absence program. Based on the activity outlook for 2016, as well as to further streamline its support structure, Schlumberger decided to further reduce its headcount and expand its incentivized leave of absence program during the fourth quarter of 2015. Schlumberger recorded an additional $530 million charge during the fourth quarter associated with these actions.</w:t>
      </w:r>
    </w:p>
    <w:p>
      <w:pPr>
        <w:spacing w:after="0" w:line="151" w:lineRule="exact"/>
        <w:rPr>
          <w:rFonts w:ascii="Arial" w:cs="Arial" w:eastAsia="Arial" w:hAnsi="Arial"/>
          <w:sz w:val="15"/>
          <w:szCs w:val="15"/>
          <w:color w:val="auto"/>
        </w:rPr>
      </w:pPr>
    </w:p>
    <w:p>
      <w:pPr>
        <w:jc w:val="both"/>
        <w:ind w:left="760" w:hanging="382"/>
        <w:spacing w:after="0" w:line="268"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result of unfavorable oil and gas industry market conditions that continued to deteriorate and their impact on the activity outlook, Schlumberger determined that the carrying values of certain assets were no longer recoverable and also took certain decisions that resulted in the following impairment and restructuring charges during the fourth quarter of 2015:</w:t>
      </w:r>
    </w:p>
    <w:p>
      <w:pPr>
        <w:spacing w:after="0" w:line="68" w:lineRule="exact"/>
        <w:rPr>
          <w:rFonts w:ascii="Arial" w:cs="Arial" w:eastAsia="Arial" w:hAnsi="Arial"/>
          <w:sz w:val="17"/>
          <w:szCs w:val="17"/>
          <w:color w:val="auto"/>
        </w:rPr>
      </w:pPr>
    </w:p>
    <w:p>
      <w:pPr>
        <w:ind w:left="1140" w:hanging="387"/>
        <w:spacing w:after="0" w:line="261"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$776 million of fixed asset impairments primarily related to underutilized pressure pumping and other equipment in North America, as well as certain lower-tier drilling rigs.</w:t>
      </w:r>
    </w:p>
    <w:p>
      <w:pPr>
        <w:spacing w:after="0" w:line="1" w:lineRule="exact"/>
        <w:rPr>
          <w:rFonts w:ascii="Arial" w:cs="Arial" w:eastAsia="Arial" w:hAnsi="Arial"/>
          <w:sz w:val="17"/>
          <w:szCs w:val="17"/>
          <w:color w:val="auto"/>
        </w:rPr>
      </w:pPr>
    </w:p>
    <w:p>
      <w:pPr>
        <w:ind w:left="1140" w:hanging="387"/>
        <w:spacing w:after="0"/>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$269 million to write-down the carrying value of certain inventory, primarily in North America.</w:t>
      </w:r>
    </w:p>
    <w:p>
      <w:pPr>
        <w:spacing w:after="0" w:line="11" w:lineRule="exact"/>
        <w:rPr>
          <w:rFonts w:ascii="Arial" w:cs="Arial" w:eastAsia="Arial" w:hAnsi="Arial"/>
          <w:sz w:val="17"/>
          <w:szCs w:val="17"/>
          <w:color w:val="auto"/>
        </w:rPr>
      </w:pPr>
    </w:p>
    <w:p>
      <w:pPr>
        <w:ind w:left="1140" w:hanging="387"/>
        <w:spacing w:after="0" w:line="253"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$182 million to reduce the carrying value of an investment in an SPM project to its estimated fair value, as a result of the decline in commodity prices and considering this project is approaching the end of its contractual term.</w:t>
      </w:r>
    </w:p>
    <w:p>
      <w:pPr>
        <w:spacing w:after="0" w:line="1" w:lineRule="exact"/>
        <w:rPr>
          <w:rFonts w:ascii="Arial" w:cs="Arial" w:eastAsia="Arial" w:hAnsi="Arial"/>
          <w:sz w:val="17"/>
          <w:szCs w:val="17"/>
          <w:color w:val="auto"/>
        </w:rPr>
      </w:pPr>
    </w:p>
    <w:p>
      <w:pPr>
        <w:ind w:left="1140" w:hanging="387"/>
        <w:spacing w:after="0" w:line="253"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$177 million associated with certain of Schlumberger’s owned and leased facilities, including the expected sale of certain properties and the termination of certain leases.</w:t>
      </w:r>
    </w:p>
    <w:p>
      <w:pPr>
        <w:spacing w:after="0" w:line="1" w:lineRule="exact"/>
        <w:rPr>
          <w:rFonts w:ascii="Arial" w:cs="Arial" w:eastAsia="Arial" w:hAnsi="Arial"/>
          <w:sz w:val="17"/>
          <w:szCs w:val="17"/>
          <w:color w:val="auto"/>
        </w:rPr>
      </w:pPr>
    </w:p>
    <w:p>
      <w:pPr>
        <w:ind w:left="1140" w:hanging="387"/>
        <w:spacing w:after="0"/>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$77 million relating to assets that are no longer recoverable as a result of geopolitical issues in certain countries in the Middle East.</w:t>
      </w:r>
    </w:p>
    <w:p>
      <w:pPr>
        <w:spacing w:after="0" w:line="11" w:lineRule="exact"/>
        <w:rPr>
          <w:rFonts w:ascii="Arial" w:cs="Arial" w:eastAsia="Arial" w:hAnsi="Arial"/>
          <w:sz w:val="17"/>
          <w:szCs w:val="17"/>
          <w:color w:val="auto"/>
        </w:rPr>
      </w:pPr>
    </w:p>
    <w:p>
      <w:pPr>
        <w:ind w:left="1140" w:hanging="387"/>
        <w:spacing w:after="0"/>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$41 million relating to contract termination costs.</w:t>
      </w:r>
    </w:p>
    <w:p>
      <w:pPr>
        <w:spacing w:after="0" w:line="11" w:lineRule="exact"/>
        <w:rPr>
          <w:rFonts w:ascii="Arial" w:cs="Arial" w:eastAsia="Arial" w:hAnsi="Arial"/>
          <w:sz w:val="17"/>
          <w:szCs w:val="17"/>
          <w:color w:val="auto"/>
        </w:rPr>
      </w:pPr>
    </w:p>
    <w:p>
      <w:pPr>
        <w:ind w:left="1140" w:hanging="387"/>
        <w:spacing w:after="0" w:line="267"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$84 million of other charges associated with current market conditions, including $40 million relating to an other-than-temporary impairment of marketable securities and $15 million relating to the impairment of an equity-method investment.</w:t>
      </w:r>
    </w:p>
    <w:p>
      <w:pPr>
        <w:spacing w:after="0" w:line="173" w:lineRule="exact"/>
        <w:rPr>
          <w:sz w:val="20"/>
          <w:szCs w:val="20"/>
          <w:color w:val="auto"/>
        </w:rPr>
      </w:pPr>
    </w:p>
    <w:p>
      <w:pPr>
        <w:ind w:left="760"/>
        <w:spacing w:after="0" w:line="283" w:lineRule="auto"/>
        <w:rPr>
          <w:sz w:val="20"/>
          <w:szCs w:val="20"/>
          <w:color w:val="auto"/>
        </w:rPr>
      </w:pPr>
      <w:r>
        <w:rPr>
          <w:rFonts w:ascii="Arial" w:cs="Arial" w:eastAsia="Arial" w:hAnsi="Arial"/>
          <w:sz w:val="17"/>
          <w:szCs w:val="17"/>
          <w:color w:val="auto"/>
        </w:rPr>
        <w:t>Certain of these impairment charges were estimated based on the projected present value of future cash flows, which included unobservable inputs that required significant judgments.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jc w:val="both"/>
        <w:ind w:left="760" w:hanging="382"/>
        <w:spacing w:after="0" w:line="263"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February 2015, the Venezuelan government replaced the SICAD II exchange rate (described in further detail below) with a new foreign exchange market system known as SIMADI. The SIMADI exchange rate was approximately 192 Venezuelan Bolivares fuertes to the US dollar as of March 31, 2015. As a result, Schlumberger recorded a $49 million devaluation charge during the first quarter of 2015, reflecting the adoption of the SIMADI exchange rate.</w:t>
      </w:r>
    </w:p>
    <w:p>
      <w:pPr>
        <w:spacing w:after="0" w:line="177" w:lineRule="exact"/>
        <w:rPr>
          <w:sz w:val="20"/>
          <w:szCs w:val="20"/>
          <w:color w:val="auto"/>
        </w:rPr>
      </w:pPr>
    </w:p>
    <w:p>
      <w:pPr>
        <w:jc w:val="both"/>
        <w:ind w:left="780"/>
        <w:spacing w:after="0" w:line="268" w:lineRule="auto"/>
        <w:rPr>
          <w:sz w:val="20"/>
          <w:szCs w:val="20"/>
          <w:color w:val="auto"/>
        </w:rPr>
      </w:pPr>
      <w:r>
        <w:rPr>
          <w:rFonts w:ascii="Arial" w:cs="Arial" w:eastAsia="Arial" w:hAnsi="Arial"/>
          <w:sz w:val="17"/>
          <w:szCs w:val="17"/>
          <w:color w:val="auto"/>
        </w:rPr>
        <w:t>This change results in a reduction in the US dollar reported amount of local currency denominated revenues, expenses and, consequently, income before taxes and net income in Venezuela. If Schlumberger had applied an exchange rate of 192 Venezuelan Bolivares fuertes to the US dollar throughout 2014, it would have reduced Schlumberger earnings by approximately $0.09 per share.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is a summary of these charges and credits, all of which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740" w:type="dxa"/>
            <w:vAlign w:val="bottom"/>
            <w:tcBorders>
              <w:bottom w:val="single" w:sz="8" w:color="CFF0FC"/>
            </w:tcBorders>
          </w:tcPr>
          <w:p>
            <w:pPr>
              <w:spacing w:after="0"/>
              <w:rPr>
                <w:sz w:val="24"/>
                <w:szCs w:val="24"/>
                <w:color w:val="auto"/>
              </w:rPr>
            </w:pPr>
          </w:p>
        </w:tc>
        <w:tc>
          <w:tcPr>
            <w:tcW w:w="200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Tax</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reductions</w:t>
            </w:r>
          </w:p>
        </w:tc>
        <w:tc>
          <w:tcPr>
            <w:tcW w:w="292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920</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FF0FC"/>
          </w:tcPr>
          <w:p>
            <w:pPr>
              <w:spacing w:after="0"/>
              <w:rPr>
                <w:sz w:val="18"/>
                <w:szCs w:val="18"/>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Fixed asset impairments</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776</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Inventory write-downs</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FF0FC"/>
          </w:tcPr>
          <w:p>
            <w:pPr>
              <w:spacing w:after="0"/>
              <w:rPr>
                <w:sz w:val="19"/>
                <w:szCs w:val="19"/>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Impairment of SPM project</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Facility closures</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FF0FC"/>
          </w:tcPr>
          <w:p>
            <w:pPr>
              <w:spacing w:after="0"/>
              <w:rPr>
                <w:sz w:val="19"/>
                <w:szCs w:val="19"/>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Geopolitical events</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Currency devaluation loss in Venezuela</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FF0FC"/>
          </w:tcPr>
          <w:p>
            <w:pPr>
              <w:spacing w:after="0"/>
              <w:rPr>
                <w:sz w:val="19"/>
                <w:szCs w:val="19"/>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Contract termination costs</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0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FF0FC"/>
          </w:tcPr>
          <w:p>
            <w:pPr>
              <w:spacing w:after="0"/>
              <w:rPr>
                <w:sz w:val="19"/>
                <w:szCs w:val="19"/>
                <w:color w:val="auto"/>
              </w:rPr>
            </w:pPr>
          </w:p>
        </w:tc>
      </w:tr>
      <w:tr>
        <w:trPr>
          <w:trHeight w:val="213"/>
        </w:trPr>
        <w:tc>
          <w:tcPr>
            <w:tcW w:w="4740" w:type="dxa"/>
            <w:vAlign w:val="bottom"/>
          </w:tcPr>
          <w:p>
            <w:pPr>
              <w:spacing w:after="0"/>
              <w:rPr>
                <w:sz w:val="18"/>
                <w:szCs w:val="18"/>
                <w:color w:val="auto"/>
              </w:rPr>
            </w:pPr>
          </w:p>
        </w:tc>
        <w:tc>
          <w:tcPr>
            <w:tcW w:w="2920" w:type="dxa"/>
            <w:vAlign w:val="bottom"/>
            <w:gridSpan w:val="2"/>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2,575</w:t>
            </w:r>
          </w:p>
        </w:tc>
        <w:tc>
          <w:tcPr>
            <w:tcW w:w="1200" w:type="dxa"/>
            <w:vAlign w:val="bottom"/>
            <w:gridSpan w:val="2"/>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357</w:t>
            </w:r>
          </w:p>
        </w:tc>
        <w:tc>
          <w:tcPr>
            <w:tcW w:w="2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w:t>
      </w:r>
    </w:p>
    <w:p>
      <w:pPr>
        <w:spacing w:after="0" w:line="121" w:lineRule="exact"/>
        <w:rPr>
          <w:sz w:val="20"/>
          <w:szCs w:val="20"/>
          <w:color w:val="auto"/>
        </w:rPr>
      </w:pPr>
    </w:p>
    <w:p>
      <w:pPr>
        <w:jc w:val="both"/>
        <w:ind w:left="760" w:hanging="382"/>
        <w:spacing w:after="0" w:line="26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fourth quarter of 2014, Schlumberger restructured its WesternGeco marine seismic fleet in order to lower its operating costs. Three previous-generation acquisition vessels with lower towing capacity and higher operating costs will be converted to source vessels, allowing for the termination of two third-party source vessel leases and the retirement of two owned source vessels.</w:t>
      </w:r>
    </w:p>
    <w:p>
      <w:pPr>
        <w:spacing w:after="0" w:line="68" w:lineRule="exact"/>
        <w:rPr>
          <w:rFonts w:ascii="Arial" w:cs="Arial" w:eastAsia="Arial" w:hAnsi="Arial"/>
          <w:sz w:val="17"/>
          <w:szCs w:val="17"/>
          <w:color w:val="auto"/>
        </w:rPr>
      </w:pPr>
    </w:p>
    <w:p>
      <w:pPr>
        <w:jc w:val="both"/>
        <w:ind w:left="760"/>
        <w:spacing w:after="0" w:line="263" w:lineRule="auto"/>
        <w:rPr>
          <w:rFonts w:ascii="Arial" w:cs="Arial" w:eastAsia="Arial" w:hAnsi="Arial"/>
          <w:sz w:val="17"/>
          <w:szCs w:val="17"/>
          <w:color w:val="auto"/>
        </w:rPr>
      </w:pPr>
      <w:r>
        <w:rPr>
          <w:rFonts w:ascii="Arial" w:cs="Arial" w:eastAsia="Arial" w:hAnsi="Arial"/>
          <w:sz w:val="17"/>
          <w:szCs w:val="17"/>
          <w:color w:val="auto"/>
        </w:rPr>
        <w:t>As a result of this restructuring, Schlumberger performed an impairment test and determined that the carrying values of certain of its vessels exceeded their respective fair values by $590 million. This impairment charge related to the six Explorer-class vessels that were acquired at a premium in Schlumberger’s 2007 acquisition of Eastern Echo Holdings Plc. The fair value of these vessels was estimated primarily based on the replacement cost method, which was largely based on unobservable inputs that required significant judgments.</w:t>
      </w:r>
    </w:p>
    <w:p>
      <w:pPr>
        <w:spacing w:after="0" w:line="73" w:lineRule="exact"/>
        <w:rPr>
          <w:rFonts w:ascii="Arial" w:cs="Arial" w:eastAsia="Arial" w:hAnsi="Arial"/>
          <w:sz w:val="17"/>
          <w:szCs w:val="17"/>
          <w:color w:val="auto"/>
        </w:rPr>
      </w:pPr>
    </w:p>
    <w:p>
      <w:pPr>
        <w:jc w:val="both"/>
        <w:ind w:left="760"/>
        <w:spacing w:after="0" w:line="268" w:lineRule="auto"/>
        <w:rPr>
          <w:rFonts w:ascii="Arial" w:cs="Arial" w:eastAsia="Arial" w:hAnsi="Arial"/>
          <w:sz w:val="17"/>
          <w:szCs w:val="17"/>
          <w:color w:val="auto"/>
        </w:rPr>
      </w:pPr>
      <w:r>
        <w:rPr>
          <w:rFonts w:ascii="Arial" w:cs="Arial" w:eastAsia="Arial" w:hAnsi="Arial"/>
          <w:sz w:val="17"/>
          <w:szCs w:val="17"/>
          <w:color w:val="auto"/>
        </w:rPr>
        <w:t>In addition to the $590 million impairment charge relating to these six vessels, Schlumberger also recorded an $85 million impairment charge relating to a seismic intangible asset and $131 million of other charges primarily related to lease termination costs and other seismic assets as a result of the restructuring. Schlumberger did not incur any significant cash expenditures as a result of these charges.</w:t>
      </w:r>
    </w:p>
    <w:p>
      <w:pPr>
        <w:spacing w:after="0" w:line="68" w:lineRule="exact"/>
        <w:rPr>
          <w:rFonts w:ascii="Arial" w:cs="Arial" w:eastAsia="Arial" w:hAnsi="Arial"/>
          <w:sz w:val="17"/>
          <w:szCs w:val="17"/>
          <w:color w:val="auto"/>
        </w:rPr>
      </w:pPr>
    </w:p>
    <w:p>
      <w:pPr>
        <w:jc w:val="both"/>
        <w:ind w:left="760" w:hanging="382"/>
        <w:spacing w:after="0" w:line="285"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2014, Venezuela enacted certain changes to its foreign exchange system such that, in addition to the official rate of 6.3 Venezuelan Bolivares fuertes per US dollar, there were two other legal exchange rates that could be obtained via different exchange rate mechanisms at the time. These changes included the expansion of what was known as the SICAD I auction rate and the introduction of the SICAD II auction process. The SICAD I and SICAD II exchange rates were approximately 11 and 50 Venezuelan Bolivares fuertes to the US dollar, respectively, at December 31, 2014.</w:t>
      </w:r>
    </w:p>
    <w:p>
      <w:pPr>
        <w:spacing w:after="0" w:line="56" w:lineRule="exact"/>
        <w:rPr>
          <w:sz w:val="20"/>
          <w:szCs w:val="20"/>
          <w:color w:val="auto"/>
        </w:rPr>
      </w:pPr>
    </w:p>
    <w:p>
      <w:pPr>
        <w:jc w:val="both"/>
        <w:ind w:left="760"/>
        <w:spacing w:after="0" w:line="263" w:lineRule="auto"/>
        <w:rPr>
          <w:sz w:val="20"/>
          <w:szCs w:val="20"/>
          <w:color w:val="auto"/>
        </w:rPr>
      </w:pPr>
      <w:r>
        <w:rPr>
          <w:rFonts w:ascii="Arial" w:cs="Arial" w:eastAsia="Arial" w:hAnsi="Arial"/>
          <w:sz w:val="17"/>
          <w:szCs w:val="17"/>
          <w:color w:val="auto"/>
        </w:rPr>
        <w:t>Schlumberger had historically applied the official exchange rate to remeasure local currency transactions and balances into US dollars. Effective December 31, 2014, Schlumberger concluded that it was appropriate to apply the SICAD II exchange rate as it believed that rate best represented the economics of Schlumberger’s business activity in Venezuela. As a result, Schlumberger recorded a $472 million devaluation charge during the fourth quarter of 2014.</w:t>
      </w:r>
    </w:p>
    <w:p>
      <w:pPr>
        <w:spacing w:after="0" w:line="73" w:lineRule="exact"/>
        <w:rPr>
          <w:sz w:val="20"/>
          <w:szCs w:val="20"/>
          <w:color w:val="auto"/>
        </w:rPr>
      </w:pPr>
    </w:p>
    <w:p>
      <w:pPr>
        <w:jc w:val="both"/>
        <w:ind w:left="760" w:hanging="382"/>
        <w:spacing w:after="0" w:line="268"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response to lower commodity pricing and anticipated lower exploration and production spending in 2015, Schlumberger decided during the fourth quarter of 2014 to reduce its overall headcount primarily to better align with anticipated activity levels for 2015. As a result of these reductions, Schlumberger recorded a charge of $296 million in the fourth quarter of 2014.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both"/>
        <w:ind w:left="760" w:hanging="382"/>
        <w:spacing w:after="0" w:line="29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fourth quarter of 2014, Schlumberger determined that, primarily as a result of the recent decline in commodity prices, the carrying value of its investment in an SPM development project in the Eagle Ford Shale was in excess of its fair value. Accordingly, Schlumberger recorded a $199 million impairment charge. The fair value of this investment was estimated based on the projected present value of future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is a summary of these charges, all of which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740" w:type="dxa"/>
            <w:vAlign w:val="bottom"/>
            <w:tcBorders>
              <w:bottom w:val="single" w:sz="8" w:color="CFF0FC"/>
            </w:tcBorders>
          </w:tcPr>
          <w:p>
            <w:pPr>
              <w:spacing w:after="0"/>
              <w:rPr>
                <w:sz w:val="24"/>
                <w:szCs w:val="24"/>
                <w:color w:val="auto"/>
              </w:rPr>
            </w:pPr>
          </w:p>
        </w:tc>
        <w:tc>
          <w:tcPr>
            <w:tcW w:w="200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Pretax</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Tax</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FF0FC"/>
            </w:tcBorders>
          </w:tcPr>
          <w:p>
            <w:pPr>
              <w:spacing w:after="0"/>
              <w:rPr>
                <w:sz w:val="24"/>
                <w:szCs w:val="24"/>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WesternGeco restructuring</w:t>
            </w:r>
          </w:p>
        </w:tc>
        <w:tc>
          <w:tcPr>
            <w:tcW w:w="292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FF0FC"/>
          </w:tcPr>
          <w:p>
            <w:pPr>
              <w:spacing w:after="0"/>
              <w:rPr>
                <w:sz w:val="18"/>
                <w:szCs w:val="18"/>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Currency devaluation loss in Venezuela</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472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9"/>
                <w:szCs w:val="19"/>
                <w:color w:val="auto"/>
              </w:rPr>
            </w:pPr>
          </w:p>
        </w:tc>
      </w:tr>
      <w:tr>
        <w:trPr>
          <w:trHeight w:val="220"/>
        </w:trPr>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Workforce reduction</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FF0FC"/>
          </w:tcPr>
          <w:p>
            <w:pPr>
              <w:spacing w:after="0"/>
              <w:rPr>
                <w:sz w:val="19"/>
                <w:szCs w:val="19"/>
                <w:color w:val="auto"/>
              </w:rPr>
            </w:pPr>
          </w:p>
        </w:tc>
      </w:tr>
      <w:tr>
        <w:trPr>
          <w:trHeight w:val="220"/>
        </w:trPr>
        <w:tc>
          <w:tcPr>
            <w:tcW w:w="4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Impairment of SPM project</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FF0FC"/>
            </w:tcBorders>
          </w:tcPr>
          <w:p>
            <w:pPr>
              <w:spacing w:after="0"/>
              <w:rPr>
                <w:sz w:val="19"/>
                <w:szCs w:val="19"/>
                <w:color w:val="auto"/>
              </w:rPr>
            </w:pPr>
          </w:p>
        </w:tc>
      </w:tr>
      <w:tr>
        <w:trPr>
          <w:trHeight w:val="213"/>
        </w:trPr>
        <w:tc>
          <w:tcPr>
            <w:tcW w:w="4740" w:type="dxa"/>
            <w:vAlign w:val="bottom"/>
            <w:shd w:val="clear" w:color="auto" w:fill="CFF0FC"/>
          </w:tcPr>
          <w:p>
            <w:pPr>
              <w:spacing w:after="0"/>
              <w:rPr>
                <w:sz w:val="18"/>
                <w:szCs w:val="18"/>
                <w:color w:val="auto"/>
              </w:rPr>
            </w:pPr>
          </w:p>
        </w:tc>
        <w:tc>
          <w:tcPr>
            <w:tcW w:w="2920" w:type="dxa"/>
            <w:vAlign w:val="bottom"/>
            <w:gridSpan w:val="2"/>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1,773</w:t>
            </w:r>
          </w:p>
        </w:tc>
        <w:tc>
          <w:tcPr>
            <w:tcW w:w="1200" w:type="dxa"/>
            <w:vAlign w:val="bottom"/>
            <w:gridSpan w:val="2"/>
            <w:shd w:val="clear" w:color="auto" w:fill="CFF0FC"/>
          </w:tcPr>
          <w:p>
            <w:pPr>
              <w:jc w:val="right"/>
              <w:ind w:right="774"/>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FF0FC"/>
          </w:tcPr>
          <w:p>
            <w:pPr>
              <w:spacing w:after="0"/>
              <w:rPr>
                <w:sz w:val="18"/>
                <w:szCs w:val="18"/>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180" w:hanging="177"/>
        <w:spacing w:after="0"/>
        <w:tabs>
          <w:tab w:leader="none" w:pos="1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Cameron</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April 1, 2016, Schlumberger acquired all of the outstanding shares of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w:t>
      </w:r>
    </w:p>
    <w:p>
      <w:pPr>
        <w:spacing w:after="0" w:line="177"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Calculation of Consideration Transferred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the fair value of the consideration transferred to effect the acquisition of Cameron:</w:t>
      </w:r>
    </w:p>
    <w:p>
      <w:pPr>
        <w:spacing w:after="0" w:line="200" w:lineRule="exact"/>
        <w:rPr>
          <w:sz w:val="20"/>
          <w:szCs w:val="20"/>
          <w:color w:val="auto"/>
        </w:rPr>
      </w:pP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140" w:type="dxa"/>
            <w:vAlign w:val="bottom"/>
            <w:gridSpan w:val="6"/>
          </w:tcPr>
          <w:p>
            <w:pPr>
              <w:jc w:val="right"/>
              <w:spacing w:after="0"/>
              <w:rPr>
                <w:sz w:val="20"/>
                <w:szCs w:val="20"/>
                <w:color w:val="auto"/>
              </w:rPr>
            </w:pPr>
            <w:r>
              <w:rPr>
                <w:rFonts w:ascii="Arial" w:cs="Arial" w:eastAsia="Arial" w:hAnsi="Arial"/>
                <w:sz w:val="14"/>
                <w:szCs w:val="14"/>
                <w:i w:val="1"/>
                <w:iCs w:val="1"/>
                <w:color w:val="auto"/>
                <w:w w:val="99"/>
              </w:rPr>
              <w:t>(stated in millions, except exchange ratio and per share amounts)</w:t>
            </w:r>
          </w:p>
        </w:tc>
        <w:tc>
          <w:tcPr>
            <w:tcW w:w="0" w:type="dxa"/>
            <w:vAlign w:val="bottom"/>
          </w:tcPr>
          <w:p>
            <w:pPr>
              <w:spacing w:after="0"/>
              <w:rPr>
                <w:sz w:val="1"/>
                <w:szCs w:val="1"/>
                <w:color w:val="auto"/>
              </w:rPr>
            </w:pPr>
          </w:p>
        </w:tc>
      </w:tr>
      <w:tr>
        <w:trPr>
          <w:trHeight w:val="205"/>
        </w:trPr>
        <w:tc>
          <w:tcPr>
            <w:tcW w:w="434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Equity consideration:</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7"/>
                <w:szCs w:val="17"/>
                <w:color w:val="auto"/>
              </w:rPr>
              <w:t>Number of shares of Cameron stock outstanding</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Exchange ratio</w:t>
            </w:r>
          </w:p>
        </w:tc>
        <w:tc>
          <w:tcPr>
            <w:tcW w:w="16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0.716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spacing w:after="0"/>
              <w:rPr>
                <w:sz w:val="20"/>
                <w:szCs w:val="20"/>
                <w:color w:val="auto"/>
              </w:rPr>
            </w:pPr>
            <w:r>
              <w:rPr>
                <w:rFonts w:ascii="Arial" w:cs="Arial" w:eastAsia="Arial" w:hAnsi="Arial"/>
                <w:sz w:val="17"/>
                <w:szCs w:val="17"/>
                <w:color w:val="auto"/>
              </w:rPr>
              <w:t>Schlumberger shares of common stock issued</w:t>
            </w: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Schlumberger closing stock share price on April 1, 2016</w:t>
            </w:r>
          </w:p>
        </w:tc>
        <w:tc>
          <w:tcPr>
            <w:tcW w:w="204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72.12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spacing w:after="0"/>
              <w:rPr>
                <w:sz w:val="20"/>
                <w:szCs w:val="20"/>
                <w:color w:val="auto"/>
              </w:rPr>
            </w:pPr>
            <w:r>
              <w:rPr>
                <w:rFonts w:ascii="Arial" w:cs="Arial" w:eastAsia="Arial" w:hAnsi="Arial"/>
                <w:sz w:val="17"/>
                <w:szCs w:val="17"/>
                <w:color w:val="auto"/>
              </w:rPr>
              <w:t>Equity consideration</w:t>
            </w:r>
          </w:p>
        </w:tc>
        <w:tc>
          <w:tcPr>
            <w:tcW w:w="1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9,924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Cash consideration:</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7"/>
                <w:szCs w:val="17"/>
                <w:color w:val="auto"/>
              </w:rPr>
              <w:t>Number of shares of Cameron stock outstanding</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consideration per Cameron share</w:t>
            </w:r>
          </w:p>
        </w:tc>
        <w:tc>
          <w:tcPr>
            <w:tcW w:w="204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spacing w:after="0"/>
              <w:rPr>
                <w:sz w:val="20"/>
                <w:szCs w:val="20"/>
                <w:color w:val="auto"/>
              </w:rPr>
            </w:pPr>
            <w:r>
              <w:rPr>
                <w:rFonts w:ascii="Arial" w:cs="Arial" w:eastAsia="Arial" w:hAnsi="Arial"/>
                <w:sz w:val="17"/>
                <w:szCs w:val="17"/>
                <w:color w:val="auto"/>
              </w:rPr>
              <w:t>Cash consideration</w:t>
            </w:r>
          </w:p>
        </w:tc>
        <w:tc>
          <w:tcPr>
            <w:tcW w:w="1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Other:</w:t>
            </w:r>
          </w:p>
        </w:tc>
        <w:tc>
          <w:tcPr>
            <w:tcW w:w="1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spacing w:after="0"/>
              <w:rPr>
                <w:sz w:val="20"/>
                <w:szCs w:val="20"/>
                <w:color w:val="auto"/>
              </w:rPr>
            </w:pPr>
            <w:r>
              <w:rPr>
                <w:rFonts w:ascii="Arial" w:cs="Arial" w:eastAsia="Arial" w:hAnsi="Arial"/>
                <w:sz w:val="17"/>
                <w:szCs w:val="17"/>
                <w:color w:val="auto"/>
              </w:rPr>
              <w:t>Fair value of replacement equity awards</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fair value of the consideration transferred</w:t>
            </w:r>
          </w:p>
        </w:tc>
        <w:tc>
          <w:tcPr>
            <w:tcW w:w="162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vMerge w:val="continue"/>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Certain amounts reflect rounding adjustments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Preliminary Allocation of Consideration Transferred to Net Assets Acquired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jc w:val="both"/>
        <w:spacing w:after="0" w:line="268" w:lineRule="auto"/>
        <w:rPr>
          <w:sz w:val="20"/>
          <w:szCs w:val="20"/>
          <w:color w:val="auto"/>
        </w:rPr>
      </w:pPr>
      <w:r>
        <w:rPr>
          <w:rFonts w:ascii="Arial" w:cs="Arial" w:eastAsia="Arial" w:hAnsi="Arial"/>
          <w:sz w:val="17"/>
          <w:szCs w:val="17"/>
          <w:color w:val="auto"/>
        </w:rPr>
        <w:t>The following amounts represent the preliminary estimates of the fair value of assets acquired and liabilities assumed in the merger. The final determination of fair value for certain assets and liabilities will be completed as soon as the information necessary to complete the analysis is obtained. These amounts, which are not expected to differ materially from current estimates, will be finalized in the first quarter of 2017.</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205"/>
        </w:trPr>
        <w:tc>
          <w:tcPr>
            <w:tcW w:w="59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FF0FC"/>
          </w:tcPr>
          <w:p>
            <w:pPr>
              <w:spacing w:after="0"/>
              <w:rPr>
                <w:sz w:val="19"/>
                <w:szCs w:val="19"/>
                <w:color w:val="auto"/>
              </w:rPr>
            </w:pP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Short-term investments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1,448</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 xml:space="preserve">Inventories </w:t>
            </w:r>
            <w:r>
              <w:rPr>
                <w:rFonts w:ascii="Arial" w:cs="Arial" w:eastAsia="Arial" w:hAnsi="Arial"/>
                <w:sz w:val="14"/>
                <w:szCs w:val="14"/>
                <w:color w:val="auto"/>
              </w:rPr>
              <w:t>(1)</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Fixed assets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FF0FC"/>
          </w:tcPr>
          <w:p>
            <w:pPr>
              <w:spacing w:after="0"/>
              <w:rPr>
                <w:sz w:val="19"/>
                <w:szCs w:val="19"/>
                <w:color w:val="auto"/>
              </w:rPr>
            </w:pP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Intangible assets: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Customer relationships (weighted-average life of 25 years)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2,371</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7"/>
                <w:szCs w:val="17"/>
                <w:color w:val="auto"/>
              </w:rPr>
              <w:t>Technology/Technical know-how (weighted-average life of 16 years)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1,736</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Tradenames (weighted-average life of 25 years)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1,225</w:t>
            </w:r>
          </w:p>
        </w:tc>
        <w:tc>
          <w:tcPr>
            <w:tcW w:w="100" w:type="dxa"/>
            <w:vAlign w:val="bottom"/>
            <w:shd w:val="clear" w:color="auto" w:fill="CFF0FC"/>
          </w:tcPr>
          <w:p>
            <w:pPr>
              <w:spacing w:after="0"/>
              <w:rPr>
                <w:sz w:val="19"/>
                <w:szCs w:val="19"/>
                <w:color w:val="auto"/>
              </w:rPr>
            </w:pP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and accrued liabilities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(2,604)</w:t>
            </w:r>
          </w:p>
        </w:tc>
      </w:tr>
      <w:tr>
        <w:trPr>
          <w:trHeight w:val="22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14"/>
                <w:szCs w:val="14"/>
                <w:color w:val="auto"/>
              </w:rPr>
              <w:t>(2)</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(3,018)</w:t>
            </w: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Deferred taxes </w:t>
            </w:r>
            <w:r>
              <w:rPr>
                <w:rFonts w:ascii="Arial" w:cs="Arial" w:eastAsia="Arial" w:hAnsi="Arial"/>
                <w:sz w:val="14"/>
                <w:szCs w:val="14"/>
                <w:color w:val="auto"/>
              </w:rPr>
              <w:t>(3)</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(1,343)</w:t>
            </w: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(538)</w:t>
            </w:r>
          </w:p>
        </w:tc>
      </w:tr>
      <w:tr>
        <w:trPr>
          <w:trHeight w:val="213"/>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Sub-total</w:t>
            </w: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5,912</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Less: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 xml:space="preserve">Investment in OneSubsea </w:t>
            </w:r>
            <w:r>
              <w:rPr>
                <w:rFonts w:ascii="Arial" w:cs="Arial" w:eastAsia="Arial" w:hAnsi="Arial"/>
                <w:sz w:val="14"/>
                <w:szCs w:val="14"/>
                <w:color w:val="auto"/>
              </w:rPr>
              <w:t>(4)</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(2,065)</w:t>
            </w:r>
          </w:p>
        </w:tc>
      </w:tr>
      <w:tr>
        <w:trPr>
          <w:trHeight w:val="22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7"/>
                <w:szCs w:val="17"/>
                <w:color w:val="auto"/>
              </w:rPr>
              <w:t>Noncontrolling interests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r>
      <w:tr>
        <w:trPr>
          <w:trHeight w:val="213"/>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identifiable net assets</w:t>
            </w: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Goodwill </w:t>
            </w:r>
            <w:r>
              <w:rPr>
                <w:rFonts w:ascii="Arial" w:cs="Arial" w:eastAsia="Arial" w:hAnsi="Arial"/>
                <w:sz w:val="14"/>
                <w:szCs w:val="14"/>
                <w:color w:val="auto"/>
              </w:rPr>
              <w:t>(5)</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9,013</w:t>
            </w:r>
          </w:p>
        </w:tc>
        <w:tc>
          <w:tcPr>
            <w:tcW w:w="100" w:type="dxa"/>
            <w:vAlign w:val="bottom"/>
            <w:tcBorders>
              <w:bottom w:val="single" w:sz="8" w:color="CFF0FC"/>
            </w:tcBorders>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consideration transferred</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12,803</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left="860" w:hanging="258"/>
        <w:spacing w:after="0" w:line="193" w:lineRule="auto"/>
        <w:tabs>
          <w:tab w:leader="none" w:pos="868"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Schlumberger recorded an adjustment of $299 million to write-up the acquired inventory to its estimated fair value. Schlumberger’s 2016 cost of sales reflected this increased valuation.</w:t>
      </w:r>
    </w:p>
    <w:p>
      <w:pPr>
        <w:spacing w:after="0" w:line="12" w:lineRule="exact"/>
        <w:rPr>
          <w:rFonts w:ascii="Arial" w:cs="Arial" w:eastAsia="Arial" w:hAnsi="Arial"/>
          <w:sz w:val="26"/>
          <w:szCs w:val="26"/>
          <w:color w:val="auto"/>
          <w:vertAlign w:val="superscript"/>
        </w:rPr>
      </w:pPr>
    </w:p>
    <w:p>
      <w:pPr>
        <w:jc w:val="both"/>
        <w:ind w:left="860" w:hanging="258"/>
        <w:spacing w:after="0" w:line="210" w:lineRule="auto"/>
        <w:tabs>
          <w:tab w:leader="none" w:pos="859"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In connection with the merger, Schlumberger assumed all of the debt obligations of Cameron, including its $2.75 billion of fixed rate notes. Schlumberger recorded a $244 million adjustment to increase the carrying amount of these notes to their estimated fair value. This adjustment is being amortized as a reduction of interest expense over the remaining term of the respective obligations.</w:t>
      </w:r>
    </w:p>
    <w:p>
      <w:pPr>
        <w:spacing w:after="0" w:line="10" w:lineRule="exact"/>
        <w:rPr>
          <w:rFonts w:ascii="Arial" w:cs="Arial" w:eastAsia="Arial" w:hAnsi="Arial"/>
          <w:sz w:val="26"/>
          <w:szCs w:val="26"/>
          <w:color w:val="auto"/>
          <w:vertAlign w:val="superscript"/>
        </w:rPr>
      </w:pPr>
    </w:p>
    <w:p>
      <w:pPr>
        <w:ind w:left="860" w:hanging="258"/>
        <w:spacing w:after="0" w:line="193" w:lineRule="auto"/>
        <w:tabs>
          <w:tab w:leader="none" w:pos="872"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In connection with the acquisition accounting, Schlumberger provided deferred taxes related to, among other items, the estimated fair value adjustments for acquired inventory, intangible assets and assumed debt obligations.</w:t>
      </w:r>
    </w:p>
    <w:p>
      <w:pPr>
        <w:spacing w:after="0" w:line="12" w:lineRule="exact"/>
        <w:rPr>
          <w:rFonts w:ascii="Arial" w:cs="Arial" w:eastAsia="Arial" w:hAnsi="Arial"/>
          <w:sz w:val="26"/>
          <w:szCs w:val="26"/>
          <w:color w:val="auto"/>
          <w:vertAlign w:val="superscript"/>
        </w:rPr>
      </w:pPr>
    </w:p>
    <w:p>
      <w:pPr>
        <w:jc w:val="both"/>
        <w:ind w:left="860" w:hanging="258"/>
        <w:spacing w:after="0" w:line="225" w:lineRule="auto"/>
        <w:tabs>
          <w:tab w:leader="none" w:pos="846"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Prior to the completion of the merger, Cameron and Schlumberger operated OneSubsea, a joint venture that manufactured and developed products, systems and services for the subsea oil and gas market, which was 40% owned by Schlumberger and 60% owned by Cameron. OneSubsea is now owned 100% by Schlumberger. As a result of obtaining control of this joint venture, Schlumberger was required to remeasure its previously held equity interest in the joint venture to its acquisition-date fair value. Schlumberger determined that the estimated fair value of its previously held equity interest approximated its carrying value. Accordingly, Schlumberger did not recognize any gain or loss on this transaction.</w:t>
      </w:r>
    </w:p>
    <w:p>
      <w:pPr>
        <w:spacing w:after="0" w:line="11" w:lineRule="exact"/>
        <w:rPr>
          <w:rFonts w:ascii="Arial" w:cs="Arial" w:eastAsia="Arial" w:hAnsi="Arial"/>
          <w:sz w:val="26"/>
          <w:szCs w:val="26"/>
          <w:color w:val="auto"/>
          <w:vertAlign w:val="superscript"/>
        </w:rPr>
      </w:pPr>
    </w:p>
    <w:p>
      <w:pPr>
        <w:ind w:left="860" w:hanging="258"/>
        <w:spacing w:after="0" w:line="203" w:lineRule="auto"/>
        <w:tabs>
          <w:tab w:leader="none" w:pos="898"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The goodwill recognized is primarily attributable to expected synergies that will result from combining the operations of Schlumberger and Cameron, as well as intangible assets which do not qualify for separate recognition. The amount of goodwill that is deductible for income tax purposes is not significant.</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Supplemental Pro Forma Financial Information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Cameron’s results of operations have been included in Schlumberger’s financial statements for periods subsequent to the closing of the acquisition on April 1, 2016. Businesses acquired from Cameron contributed revenues of approximately $4 billion and pretax operating income of approximately $0.7 billion for the period from April 1, 2016 through December 31, 2016.</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following supplemental pro forma results of operations assume that Cameron had been acquired on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amortization expense, interest expense and income taxes resulting from purchase accounting. The pro forma results for the year ended December 31, 2016 reflect adjustments to exclude after-tax merger and integration costs of $285 million and after-tax charges relating to the amortization of the inventory fair value adjustment of $209 million. As required by generally accepted accounting principles, the pro forma results for the year ended December 31, 2015 have been adjusted to include after-tax adjustments for merger and integration costs of $285 million and the after-tax charges relating to the amortization of the inventory fair value adjustment of $209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7"/>
          <w:szCs w:val="17"/>
          <w:color w:val="auto"/>
        </w:rPr>
        <w:t>The supplemental pro forma financial information presented below is unaudited and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 combined company would have been had the acquisition occurred on January 1, 2015, nor is it indicative of future results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gridSpan w:val="6"/>
          </w:tcPr>
          <w:p>
            <w:pPr>
              <w:ind w:left="540"/>
              <w:spacing w:after="0"/>
              <w:rPr>
                <w:sz w:val="20"/>
                <w:szCs w:val="20"/>
                <w:color w:val="auto"/>
              </w:rPr>
            </w:pPr>
            <w:r>
              <w:rPr>
                <w:rFonts w:ascii="Arial" w:cs="Arial" w:eastAsia="Arial" w:hAnsi="Arial"/>
                <w:sz w:val="14"/>
                <w:szCs w:val="14"/>
                <w:i w:val="1"/>
                <w:iCs w:val="1"/>
                <w:color w:val="auto"/>
                <w:w w:val="92"/>
              </w:rPr>
              <w:t>(Stated in millions, except per share amounts)</w:t>
            </w:r>
          </w:p>
        </w:tc>
      </w:tr>
      <w:tr>
        <w:trPr>
          <w:trHeight w:val="205"/>
        </w:trPr>
        <w:tc>
          <w:tcPr>
            <w:tcW w:w="7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78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CFF0FC"/>
            </w:tcBorders>
          </w:tcPr>
          <w:p>
            <w:pPr>
              <w:spacing w:after="0"/>
              <w:rPr>
                <w:sz w:val="18"/>
                <w:szCs w:val="18"/>
                <w:color w:val="auto"/>
              </w:rPr>
            </w:pPr>
          </w:p>
        </w:tc>
      </w:tr>
      <w:tr>
        <w:trPr>
          <w:trHeight w:val="213"/>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29,438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44,306</w:t>
            </w:r>
          </w:p>
        </w:tc>
        <w:tc>
          <w:tcPr>
            <w:tcW w:w="120" w:type="dxa"/>
            <w:vAlign w:val="bottom"/>
            <w:shd w:val="clear" w:color="auto" w:fill="CFF0FC"/>
          </w:tcPr>
          <w:p>
            <w:pPr>
              <w:spacing w:after="0"/>
              <w:rPr>
                <w:sz w:val="18"/>
                <w:szCs w:val="18"/>
                <w:color w:val="auto"/>
              </w:rPr>
            </w:pPr>
          </w:p>
        </w:tc>
      </w:tr>
      <w:tr>
        <w:trPr>
          <w:trHeight w:val="220"/>
        </w:trPr>
        <w:tc>
          <w:tcPr>
            <w:tcW w:w="7880" w:type="dxa"/>
            <w:vAlign w:val="bottom"/>
          </w:tcPr>
          <w:p>
            <w:pPr>
              <w:spacing w:after="0"/>
              <w:rPr>
                <w:sz w:val="20"/>
                <w:szCs w:val="20"/>
                <w:color w:val="auto"/>
              </w:rPr>
            </w:pPr>
            <w:r>
              <w:rPr>
                <w:rFonts w:ascii="Arial" w:cs="Arial" w:eastAsia="Arial" w:hAnsi="Arial"/>
                <w:sz w:val="17"/>
                <w:szCs w:val="17"/>
                <w:color w:val="auto"/>
              </w:rPr>
              <w:t>Net income (loss) attributable to Schlumberger</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(1,419)</w:t>
            </w:r>
          </w:p>
        </w:tc>
        <w:tc>
          <w:tcPr>
            <w:tcW w:w="18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19"/>
                <w:szCs w:val="19"/>
                <w:color w:val="auto"/>
              </w:rPr>
            </w:pPr>
          </w:p>
        </w:tc>
      </w:tr>
      <w:tr>
        <w:trPr>
          <w:trHeight w:val="220"/>
        </w:trPr>
        <w:tc>
          <w:tcPr>
            <w:tcW w:w="7880" w:type="dxa"/>
            <w:vAlign w:val="bottom"/>
            <w:shd w:val="clear" w:color="auto" w:fill="CFF0FC"/>
          </w:tcPr>
          <w:p>
            <w:pPr>
              <w:spacing w:after="0"/>
              <w:rPr>
                <w:sz w:val="20"/>
                <w:szCs w:val="20"/>
                <w:color w:val="auto"/>
              </w:rPr>
            </w:pPr>
            <w:r>
              <w:rPr>
                <w:rFonts w:ascii="Arial" w:cs="Arial" w:eastAsia="Arial" w:hAnsi="Arial"/>
                <w:sz w:val="17"/>
                <w:szCs w:val="17"/>
                <w:color w:val="auto"/>
              </w:rPr>
              <w:t>Diluted earnings (loss) per share</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(1.02)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FF0FC"/>
          </w:tcPr>
          <w:p>
            <w:pPr>
              <w:spacing w:after="0"/>
              <w:rPr>
                <w:sz w:val="19"/>
                <w:szCs w:val="19"/>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Schlumberger made other acquisitions and investments for cash payments, net of cash acquired, of $407 million during 2016, $443 million during 2015, and $1.008 billion during 2014. Additionally, during 2014 Schlumberger issued 2.1 million shares of its common stock, valued at $213 million, in connection with an acquisition. None of these transactions were significant to Schlumberger’s consolidated financial statements, either individually or in the aggregate.</w:t>
      </w:r>
    </w:p>
    <w:p>
      <w:pPr>
        <w:spacing w:after="0" w:line="330" w:lineRule="exact"/>
        <w:rPr>
          <w:sz w:val="20"/>
          <w:szCs w:val="20"/>
          <w:color w:val="auto"/>
        </w:rPr>
      </w:pPr>
    </w:p>
    <w:p>
      <w:pPr>
        <w:ind w:left="220" w:hanging="217"/>
        <w:spacing w:after="0"/>
        <w:tabs>
          <w:tab w:leader="none" w:pos="22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inventories, which are stated at the lower of average cost or market,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25"/>
        </w:trPr>
        <w:tc>
          <w:tcPr>
            <w:tcW w:w="18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4060" w:type="dxa"/>
            <w:vAlign w:val="bottom"/>
            <w:tcBorders>
              <w:bottom w:val="single" w:sz="8" w:color="CFF0FC"/>
            </w:tcBorders>
          </w:tcPr>
          <w:p>
            <w:pPr>
              <w:spacing w:after="0"/>
              <w:rPr>
                <w:sz w:val="24"/>
                <w:szCs w:val="24"/>
                <w:color w:val="auto"/>
              </w:rPr>
            </w:pPr>
          </w:p>
        </w:tc>
        <w:tc>
          <w:tcPr>
            <w:tcW w:w="27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Raw materials &amp; field materials</w:t>
            </w:r>
          </w:p>
        </w:tc>
        <w:tc>
          <w:tcPr>
            <w:tcW w:w="27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1,720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gridSpan w:val="3"/>
          </w:tcPr>
          <w:p>
            <w:pPr>
              <w:spacing w:after="0"/>
              <w:rPr>
                <w:sz w:val="20"/>
                <w:szCs w:val="20"/>
                <w:color w:val="auto"/>
              </w:rPr>
            </w:pPr>
            <w:r>
              <w:rPr>
                <w:rFonts w:ascii="Arial" w:cs="Arial" w:eastAsia="Arial" w:hAnsi="Arial"/>
                <w:sz w:val="17"/>
                <w:szCs w:val="17"/>
                <w:color w:val="auto"/>
              </w:rPr>
              <w:t>Work in progress</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27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1,895</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4,225</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6. Fixed Assets</w:t>
            </w:r>
          </w:p>
        </w:tc>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40" w:type="dxa"/>
            <w:vAlign w:val="bottom"/>
            <w:gridSpan w:val="3"/>
            <w:vMerge w:val="continue"/>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40" w:type="dxa"/>
            <w:vAlign w:val="bottom"/>
            <w:gridSpan w:val="3"/>
          </w:tcPr>
          <w:p>
            <w:pPr>
              <w:spacing w:after="0"/>
              <w:rPr>
                <w:sz w:val="20"/>
                <w:szCs w:val="20"/>
                <w:color w:val="auto"/>
              </w:rPr>
            </w:pPr>
            <w:r>
              <w:rPr>
                <w:rFonts w:ascii="Arial" w:cs="Arial" w:eastAsia="Arial" w:hAnsi="Arial"/>
                <w:sz w:val="17"/>
                <w:szCs w:val="17"/>
                <w:color w:val="auto"/>
              </w:rPr>
              <w:t>A summary of fixed assets follows:</w:t>
            </w: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25"/>
        </w:trPr>
        <w:tc>
          <w:tcPr>
            <w:tcW w:w="18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4060" w:type="dxa"/>
            <w:vAlign w:val="bottom"/>
            <w:tcBorders>
              <w:bottom w:val="single" w:sz="8" w:color="CFF0FC"/>
            </w:tcBorders>
          </w:tcPr>
          <w:p>
            <w:pPr>
              <w:spacing w:after="0"/>
              <w:rPr>
                <w:sz w:val="24"/>
                <w:szCs w:val="24"/>
                <w:color w:val="auto"/>
              </w:rPr>
            </w:pPr>
          </w:p>
        </w:tc>
        <w:tc>
          <w:tcPr>
            <w:tcW w:w="27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Land</w:t>
            </w:r>
          </w:p>
        </w:tc>
        <w:tc>
          <w:tcPr>
            <w:tcW w:w="27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gridSpan w:val="3"/>
          </w:tcPr>
          <w:p>
            <w:pPr>
              <w:spacing w:after="0"/>
              <w:rPr>
                <w:sz w:val="20"/>
                <w:szCs w:val="20"/>
                <w:color w:val="auto"/>
              </w:rPr>
            </w:pPr>
            <w:r>
              <w:rPr>
                <w:rFonts w:ascii="Arial" w:cs="Arial" w:eastAsia="Arial" w:hAnsi="Arial"/>
                <w:sz w:val="17"/>
                <w:szCs w:val="17"/>
                <w:color w:val="auto"/>
              </w:rPr>
              <w:t>Buildings &amp; improvements</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4,849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Machinery &amp; equipment</w:t>
            </w:r>
          </w:p>
        </w:tc>
        <w:tc>
          <w:tcPr>
            <w:tcW w:w="2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33,834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gridSpan w:val="3"/>
          </w:tcPr>
          <w:p>
            <w:pPr>
              <w:spacing w:after="0"/>
              <w:rPr>
                <w:sz w:val="20"/>
                <w:szCs w:val="20"/>
                <w:color w:val="auto"/>
              </w:rPr>
            </w:pPr>
            <w:r>
              <w:rPr>
                <w:rFonts w:ascii="Arial" w:cs="Arial" w:eastAsia="Arial" w:hAnsi="Arial"/>
                <w:sz w:val="17"/>
                <w:szCs w:val="17"/>
                <w:color w:val="auto"/>
              </w:rPr>
              <w:t>Seismic vessels</w:t>
            </w:r>
          </w:p>
        </w:tc>
        <w:tc>
          <w:tcPr>
            <w:tcW w:w="27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40,008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gridSpan w:val="3"/>
          </w:tcPr>
          <w:p>
            <w:pPr>
              <w:spacing w:after="0"/>
              <w:rPr>
                <w:sz w:val="20"/>
                <w:szCs w:val="20"/>
                <w:color w:val="auto"/>
              </w:rPr>
            </w:pPr>
            <w:r>
              <w:rPr>
                <w:rFonts w:ascii="Arial" w:cs="Arial" w:eastAsia="Arial" w:hAnsi="Arial"/>
                <w:sz w:val="17"/>
                <w:szCs w:val="17"/>
                <w:color w:val="auto"/>
              </w:rPr>
              <w:t>Less: Accumulated depreciation</w:t>
            </w:r>
          </w:p>
        </w:tc>
        <w:tc>
          <w:tcPr>
            <w:tcW w:w="27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27,187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406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12,821</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estimated useful lives of Buildings &amp; improvements are primarily 25 to 30 years. The estimated useful lives of Machinery &amp; equipment are primarily 5 to 10 years. Seismic vessels are depreciated over periods ranging from 20 to 30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which is recorded on a straight-line basis, was $2.7 billion, $3.2 billion and $3.2 billion in 2016, 2015 and 2014,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ind w:left="180" w:hanging="177"/>
        <w:spacing w:after="0"/>
        <w:tabs>
          <w:tab w:leader="none" w:pos="1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carrying amount of multiclient seismic data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425"/>
        </w:trPr>
        <w:tc>
          <w:tcPr>
            <w:tcW w:w="18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2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1,026</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gridSpan w:val="4"/>
          </w:tcPr>
          <w:p>
            <w:pPr>
              <w:spacing w:after="0"/>
              <w:rPr>
                <w:sz w:val="20"/>
                <w:szCs w:val="20"/>
                <w:color w:val="auto"/>
              </w:rPr>
            </w:pPr>
            <w:r>
              <w:rPr>
                <w:rFonts w:ascii="Arial" w:cs="Arial" w:eastAsia="Arial" w:hAnsi="Arial"/>
                <w:sz w:val="17"/>
                <w:szCs w:val="17"/>
                <w:color w:val="auto"/>
              </w:rPr>
              <w:t>Capitalized in period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auto"/>
              </w:rPr>
              <w:t>630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Charged to expense</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(385)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3560" w:type="dxa"/>
            <w:vAlign w:val="bottom"/>
            <w:gridSpan w:val="4"/>
          </w:tcPr>
          <w:p>
            <w:pPr>
              <w:spacing w:after="0"/>
              <w:rPr>
                <w:sz w:val="20"/>
                <w:szCs w:val="20"/>
                <w:color w:val="auto"/>
              </w:rPr>
            </w:pPr>
            <w:r>
              <w:rPr>
                <w:rFonts w:ascii="Arial" w:cs="Arial" w:eastAsia="Arial" w:hAnsi="Arial"/>
                <w:sz w:val="17"/>
                <w:szCs w:val="17"/>
                <w:color w:val="auto"/>
              </w:rPr>
              <w:t>Impairment charge (see Note 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(198)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right w:val="single" w:sz="8" w:color="CFF0FC"/>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1,073</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gridSpan w:val="4"/>
            <w:vMerge w:val="restart"/>
          </w:tcPr>
          <w:p>
            <w:pPr>
              <w:spacing w:after="0"/>
              <w:rPr>
                <w:sz w:val="20"/>
                <w:szCs w:val="20"/>
                <w:color w:val="auto"/>
              </w:rPr>
            </w:pPr>
            <w:r>
              <w:rPr>
                <w:rFonts w:ascii="Arial" w:cs="Arial" w:eastAsia="Arial" w:hAnsi="Arial"/>
                <w:sz w:val="17"/>
                <w:szCs w:val="17"/>
                <w:b w:val="1"/>
                <w:bCs w:val="1"/>
                <w:color w:val="auto"/>
              </w:rPr>
              <w:t>8. Goodwill</w:t>
            </w: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5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980" w:type="dxa"/>
            <w:vAlign w:val="bottom"/>
            <w:gridSpan w:val="10"/>
          </w:tcPr>
          <w:p>
            <w:pPr>
              <w:spacing w:after="0"/>
              <w:rPr>
                <w:sz w:val="20"/>
                <w:szCs w:val="20"/>
                <w:color w:val="auto"/>
              </w:rPr>
            </w:pPr>
            <w:r>
              <w:rPr>
                <w:rFonts w:ascii="Arial" w:cs="Arial" w:eastAsia="Arial" w:hAnsi="Arial"/>
                <w:sz w:val="17"/>
                <w:szCs w:val="17"/>
                <w:color w:val="auto"/>
                <w:w w:val="97"/>
              </w:rPr>
              <w:t>The changes in the carrying amount of goodwill by reporting unit were as follows: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425"/>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7"/>
                <w:szCs w:val="17"/>
                <w:color w:val="auto"/>
                <w:w w:val="98"/>
              </w:rPr>
              <w:t>Reservoir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2"/>
              </w:rPr>
              <w:t>Characterization</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Drilling</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91"/>
              </w:rPr>
              <w:t>Production</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7"/>
                <w:szCs w:val="17"/>
                <w:color w:val="auto"/>
              </w:rPr>
              <w:t>Cameron</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5"/>
              </w:rPr>
              <w:t>Total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Balance, January 1, 2015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3,812</w:t>
            </w:r>
          </w:p>
        </w:tc>
        <w:tc>
          <w:tcPr>
            <w:tcW w:w="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8,488</w:t>
            </w:r>
          </w:p>
        </w:tc>
        <w:tc>
          <w:tcPr>
            <w:tcW w:w="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3,187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34"/>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gridSpan w:val="4"/>
          </w:tcPr>
          <w:p>
            <w:pPr>
              <w:spacing w:after="0"/>
              <w:rPr>
                <w:sz w:val="20"/>
                <w:szCs w:val="20"/>
                <w:color w:val="auto"/>
              </w:rPr>
            </w:pPr>
            <w:r>
              <w:rPr>
                <w:rFonts w:ascii="Arial" w:cs="Arial" w:eastAsia="Arial" w:hAnsi="Arial"/>
                <w:sz w:val="17"/>
                <w:szCs w:val="17"/>
                <w:color w:val="auto"/>
              </w:rPr>
              <w:t>Acquisitions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Impact of changes in exchange rates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2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40"/>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3"/>
        </w:trPr>
        <w:tc>
          <w:tcPr>
            <w:tcW w:w="3560" w:type="dxa"/>
            <w:vAlign w:val="bottom"/>
            <w:gridSpan w:val="4"/>
          </w:tcPr>
          <w:p>
            <w:pPr>
              <w:spacing w:after="0"/>
              <w:rPr>
                <w:sz w:val="20"/>
                <w:szCs w:val="20"/>
                <w:color w:val="auto"/>
              </w:rPr>
            </w:pPr>
            <w:r>
              <w:rPr>
                <w:rFonts w:ascii="Arial" w:cs="Arial" w:eastAsia="Arial" w:hAnsi="Arial"/>
                <w:sz w:val="17"/>
                <w:szCs w:val="17"/>
                <w:color w:val="auto"/>
              </w:rPr>
              <w:t>Balance, December 31, 2015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3,798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8,584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3,223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Acquisition of Cameron</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1,490</w:t>
            </w:r>
          </w:p>
        </w:tc>
        <w:tc>
          <w:tcPr>
            <w:tcW w:w="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1,170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5,563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gridSpan w:val="4"/>
          </w:tcPr>
          <w:p>
            <w:pPr>
              <w:spacing w:after="0"/>
              <w:rPr>
                <w:sz w:val="20"/>
                <w:szCs w:val="20"/>
                <w:color w:val="auto"/>
              </w:rPr>
            </w:pPr>
            <w:r>
              <w:rPr>
                <w:rFonts w:ascii="Arial" w:cs="Arial" w:eastAsia="Arial" w:hAnsi="Arial"/>
                <w:sz w:val="17"/>
                <w:szCs w:val="17"/>
                <w:color w:val="auto"/>
              </w:rPr>
              <w:t>Other acquisitions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Reallocation</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ind w:right="60"/>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CFF0FC"/>
            </w:tcBorders>
            <w:gridSpan w:val="4"/>
          </w:tcPr>
          <w:p>
            <w:pPr>
              <w:spacing w:after="0"/>
              <w:rPr>
                <w:sz w:val="20"/>
                <w:szCs w:val="20"/>
                <w:color w:val="auto"/>
              </w:rPr>
            </w:pPr>
            <w:r>
              <w:rPr>
                <w:rFonts w:ascii="Arial" w:cs="Arial" w:eastAsia="Arial" w:hAnsi="Arial"/>
                <w:sz w:val="17"/>
                <w:szCs w:val="17"/>
                <w:color w:val="auto"/>
              </w:rPr>
              <w:t>Impact of changes in exchange rates</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16</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Balance, December 31, 2016</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4,820</w:t>
            </w:r>
          </w:p>
        </w:tc>
        <w:tc>
          <w:tcPr>
            <w:tcW w:w="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10,114</w:t>
            </w:r>
          </w:p>
        </w:tc>
        <w:tc>
          <w:tcPr>
            <w:tcW w:w="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4,639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34"/>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5,417</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24,990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gridSpan w:val="4"/>
            <w:vMerge w:val="restart"/>
          </w:tcPr>
          <w:p>
            <w:pPr>
              <w:spacing w:after="0"/>
              <w:rPr>
                <w:sz w:val="20"/>
                <w:szCs w:val="20"/>
                <w:color w:val="auto"/>
              </w:rPr>
            </w:pPr>
            <w:r>
              <w:rPr>
                <w:rFonts w:ascii="Arial" w:cs="Arial" w:eastAsia="Arial" w:hAnsi="Arial"/>
                <w:sz w:val="17"/>
                <w:szCs w:val="17"/>
                <w:b w:val="1"/>
                <w:bCs w:val="1"/>
                <w:color w:val="auto"/>
              </w:rPr>
              <w:t>9. Intangible Assets</w:t>
            </w: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60" w:type="dxa"/>
            <w:vAlign w:val="bottom"/>
            <w:gridSpan w:val="4"/>
          </w:tcPr>
          <w:p>
            <w:pPr>
              <w:spacing w:after="0"/>
              <w:rPr>
                <w:sz w:val="20"/>
                <w:szCs w:val="20"/>
                <w:color w:val="auto"/>
              </w:rPr>
            </w:pPr>
            <w:r>
              <w:rPr>
                <w:rFonts w:ascii="Arial" w:cs="Arial" w:eastAsia="Arial" w:hAnsi="Arial"/>
                <w:sz w:val="17"/>
                <w:szCs w:val="17"/>
                <w:color w:val="auto"/>
              </w:rPr>
              <w:t>A summary of intangible assets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438"/>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9"/>
              </w:rPr>
              <w:t>2016</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7"/>
                <w:szCs w:val="17"/>
                <w:b w:val="1"/>
                <w:bCs w:val="1"/>
                <w:color w:val="auto"/>
              </w:rPr>
              <w:t>Gross</w:t>
            </w:r>
          </w:p>
        </w:tc>
        <w:tc>
          <w:tcPr>
            <w:tcW w:w="11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w w:val="88"/>
              </w:rPr>
              <w:t>Net Book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7"/>
                <w:szCs w:val="17"/>
                <w:color w:val="auto"/>
              </w:rPr>
              <w:t>Gross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7"/>
          </w:tcPr>
          <w:p>
            <w:pPr>
              <w:jc w:val="right"/>
              <w:ind w:right="340"/>
              <w:spacing w:after="0"/>
              <w:rPr>
                <w:sz w:val="20"/>
                <w:szCs w:val="20"/>
                <w:color w:val="auto"/>
              </w:rPr>
            </w:pPr>
            <w:r>
              <w:rPr>
                <w:rFonts w:ascii="Arial" w:cs="Arial" w:eastAsia="Arial" w:hAnsi="Arial"/>
                <w:sz w:val="17"/>
                <w:szCs w:val="17"/>
                <w:color w:val="auto"/>
                <w:w w:val="91"/>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color w:val="auto"/>
                <w:w w:val="94"/>
              </w:rPr>
              <w:t>Net Book</w:t>
            </w:r>
          </w:p>
        </w:tc>
        <w:tc>
          <w:tcPr>
            <w:tcW w:w="0" w:type="dxa"/>
            <w:vAlign w:val="bottom"/>
          </w:tcPr>
          <w:p>
            <w:pPr>
              <w:spacing w:after="0"/>
              <w:rPr>
                <w:sz w:val="1"/>
                <w:szCs w:val="1"/>
                <w:color w:val="auto"/>
              </w:rPr>
            </w:pPr>
          </w:p>
        </w:tc>
      </w:tr>
      <w:tr>
        <w:trPr>
          <w:trHeight w:val="227"/>
        </w:trPr>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90"/>
              </w:rPr>
              <w:t>Book Value</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4"/>
              </w:rPr>
              <w:t>Amortization</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color w:val="auto"/>
                <w:w w:val="91"/>
              </w:rPr>
              <w:t>Book Value</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7"/>
                <w:szCs w:val="17"/>
                <w:color w:val="auto"/>
                <w:w w:val="95"/>
              </w:rPr>
              <w:t>Amortization</w:t>
            </w:r>
          </w:p>
        </w:tc>
        <w:tc>
          <w:tcPr>
            <w:tcW w:w="22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Value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Customer Relationships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4,938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865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4,073</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2,489</w:t>
            </w:r>
          </w:p>
        </w:tc>
        <w:tc>
          <w:tcPr>
            <w:tcW w:w="20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gridSpan w:val="4"/>
          </w:tcPr>
          <w:p>
            <w:pPr>
              <w:spacing w:after="0"/>
              <w:rPr>
                <w:sz w:val="20"/>
                <w:szCs w:val="20"/>
                <w:color w:val="auto"/>
              </w:rPr>
            </w:pPr>
            <w:r>
              <w:rPr>
                <w:rFonts w:ascii="Arial" w:cs="Arial" w:eastAsia="Arial" w:hAnsi="Arial"/>
                <w:sz w:val="17"/>
                <w:szCs w:val="17"/>
                <w:color w:val="auto"/>
              </w:rPr>
              <w:t>Technology/Technical Know-How</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3,655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2,820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Tradenames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2,847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CFF0FC"/>
            </w:tcBorders>
            <w:gridSpan w:val="4"/>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12,562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9,855</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6,491</w:t>
            </w:r>
          </w:p>
        </w:tc>
        <w:tc>
          <w:tcPr>
            <w:tcW w:w="20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3"/>
              </w:rPr>
              <w:t>1,922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4,569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$567 million in 2016, $354 million in 2015 and $344 million in 2014.</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Based on the carrying value of intangible assets at December 31, 2016, amortization expense for the subsequent five years is estimated to be as follows: 2017: $677</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million, 2018: $669 million, 2019: $647 million, 2020: $606 million and 2021: $581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260" w:hanging="257"/>
        <w:spacing w:after="0"/>
        <w:tabs>
          <w:tab w:leader="none" w:pos="2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Long-term Debt and Debt Facility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60" w:type="dxa"/>
            <w:vAlign w:val="bottom"/>
            <w:gridSpan w:val="2"/>
          </w:tcPr>
          <w:p>
            <w:pPr>
              <w:jc w:val="right"/>
              <w:ind w:right="5"/>
              <w:spacing w:after="0"/>
              <w:rPr>
                <w:sz w:val="20"/>
                <w:szCs w:val="20"/>
                <w:color w:val="auto"/>
              </w:rPr>
            </w:pPr>
            <w:r>
              <w:rPr>
                <w:rFonts w:ascii="Arial" w:cs="Arial" w:eastAsia="Arial" w:hAnsi="Arial"/>
                <w:sz w:val="17"/>
                <w:szCs w:val="17"/>
                <w:b w:val="1"/>
                <w:bCs w:val="1"/>
                <w:color w:val="auto"/>
              </w:rPr>
              <w:t>2016</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55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r>
      <w:tr>
        <w:trPr>
          <w:trHeight w:val="213"/>
        </w:trPr>
        <w:tc>
          <w:tcPr>
            <w:tcW w:w="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w w:val="91"/>
              </w:rPr>
              <w:t>4.00%</w:t>
            </w:r>
          </w:p>
        </w:tc>
        <w:tc>
          <w:tcPr>
            <w:tcW w:w="47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Senior Notes due 2025</w:t>
            </w:r>
          </w:p>
        </w:tc>
        <w:tc>
          <w:tcPr>
            <w:tcW w:w="26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1,740</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3.30%</w:t>
            </w:r>
          </w:p>
        </w:tc>
        <w:tc>
          <w:tcPr>
            <w:tcW w:w="4760" w:type="dxa"/>
            <w:vAlign w:val="bottom"/>
          </w:tcPr>
          <w:p>
            <w:pPr>
              <w:ind w:left="40"/>
              <w:spacing w:after="0"/>
              <w:rPr>
                <w:sz w:val="20"/>
                <w:szCs w:val="20"/>
                <w:color w:val="auto"/>
              </w:rPr>
            </w:pPr>
            <w:r>
              <w:rPr>
                <w:rFonts w:ascii="Arial" w:cs="Arial" w:eastAsia="Arial" w:hAnsi="Arial"/>
                <w:sz w:val="17"/>
                <w:szCs w:val="17"/>
                <w:color w:val="auto"/>
              </w:rPr>
              <w:t>Senior Notes due 2021</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1,594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1,597</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3.00%</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 due 2020</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3.65%</w:t>
            </w:r>
          </w:p>
        </w:tc>
        <w:tc>
          <w:tcPr>
            <w:tcW w:w="4760" w:type="dxa"/>
            <w:vAlign w:val="bottom"/>
          </w:tcPr>
          <w:p>
            <w:pPr>
              <w:ind w:left="40"/>
              <w:spacing w:after="0"/>
              <w:rPr>
                <w:sz w:val="20"/>
                <w:szCs w:val="20"/>
                <w:color w:val="auto"/>
              </w:rPr>
            </w:pPr>
            <w:r>
              <w:rPr>
                <w:rFonts w:ascii="Arial" w:cs="Arial" w:eastAsia="Arial" w:hAnsi="Arial"/>
                <w:sz w:val="17"/>
                <w:szCs w:val="17"/>
                <w:color w:val="auto"/>
              </w:rPr>
              <w:t>Senior Notes due 2023</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1,491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1,496</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2.35%</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 due 2018</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1,297</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4.20%</w:t>
            </w:r>
          </w:p>
        </w:tc>
        <w:tc>
          <w:tcPr>
            <w:tcW w:w="4760" w:type="dxa"/>
            <w:vAlign w:val="bottom"/>
          </w:tcPr>
          <w:p>
            <w:pPr>
              <w:ind w:left="40"/>
              <w:spacing w:after="0"/>
              <w:rPr>
                <w:sz w:val="20"/>
                <w:szCs w:val="20"/>
                <w:color w:val="auto"/>
              </w:rPr>
            </w:pPr>
            <w:r>
              <w:rPr>
                <w:rFonts w:ascii="Arial" w:cs="Arial" w:eastAsia="Arial" w:hAnsi="Arial"/>
                <w:sz w:val="17"/>
                <w:szCs w:val="17"/>
                <w:color w:val="auto"/>
              </w:rPr>
              <w:t>Senior Notes due 2021</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1,100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1,100</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2.40%</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 due 2022</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999</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3.63%</w:t>
            </w:r>
          </w:p>
        </w:tc>
        <w:tc>
          <w:tcPr>
            <w:tcW w:w="4760" w:type="dxa"/>
            <w:vAlign w:val="bottom"/>
          </w:tcPr>
          <w:p>
            <w:pPr>
              <w:ind w:left="40"/>
              <w:spacing w:after="0"/>
              <w:rPr>
                <w:sz w:val="20"/>
                <w:szCs w:val="20"/>
                <w:color w:val="auto"/>
              </w:rPr>
            </w:pPr>
            <w:r>
              <w:rPr>
                <w:rFonts w:ascii="Arial" w:cs="Arial" w:eastAsia="Arial" w:hAnsi="Arial"/>
                <w:sz w:val="17"/>
                <w:szCs w:val="17"/>
                <w:color w:val="auto"/>
              </w:rPr>
              <w:t>Senior Notes due 2022</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845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0.63%</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Guaranteed Notes due 2019</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1.50%</w:t>
            </w:r>
          </w:p>
        </w:tc>
        <w:tc>
          <w:tcPr>
            <w:tcW w:w="4760" w:type="dxa"/>
            <w:vAlign w:val="bottom"/>
          </w:tcPr>
          <w:p>
            <w:pPr>
              <w:ind w:left="40"/>
              <w:spacing w:after="0"/>
              <w:rPr>
                <w:sz w:val="20"/>
                <w:szCs w:val="20"/>
                <w:color w:val="auto"/>
              </w:rPr>
            </w:pPr>
            <w:r>
              <w:rPr>
                <w:rFonts w:ascii="Arial" w:cs="Arial" w:eastAsia="Arial" w:hAnsi="Arial"/>
                <w:sz w:val="17"/>
                <w:szCs w:val="17"/>
                <w:color w:val="auto"/>
              </w:rPr>
              <w:t xml:space="preserve">Guaranteed Notes due 2019 </w:t>
            </w:r>
            <w:r>
              <w:rPr>
                <w:rFonts w:ascii="Arial" w:cs="Arial" w:eastAsia="Arial" w:hAnsi="Arial"/>
                <w:sz w:val="14"/>
                <w:szCs w:val="14"/>
                <w:color w:val="auto"/>
              </w:rPr>
              <w:t>(1)</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536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6.38%</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 xml:space="preserve">Notes due 2018 </w:t>
            </w:r>
            <w:r>
              <w:rPr>
                <w:rFonts w:ascii="Arial" w:cs="Arial" w:eastAsia="Arial" w:hAnsi="Arial"/>
                <w:sz w:val="14"/>
                <w:szCs w:val="14"/>
                <w:color w:val="auto"/>
              </w:rPr>
              <w:t>(2)</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7.00%</w:t>
            </w:r>
          </w:p>
        </w:tc>
        <w:tc>
          <w:tcPr>
            <w:tcW w:w="4760" w:type="dxa"/>
            <w:vAlign w:val="bottom"/>
          </w:tcPr>
          <w:p>
            <w:pPr>
              <w:ind w:left="40"/>
              <w:spacing w:after="0"/>
              <w:rPr>
                <w:sz w:val="20"/>
                <w:szCs w:val="20"/>
                <w:color w:val="auto"/>
              </w:rPr>
            </w:pPr>
            <w:r>
              <w:rPr>
                <w:rFonts w:ascii="Arial" w:cs="Arial" w:eastAsia="Arial" w:hAnsi="Arial"/>
                <w:sz w:val="17"/>
                <w:szCs w:val="17"/>
                <w:color w:val="auto"/>
              </w:rPr>
              <w:t xml:space="preserve">Notes due 2038 </w:t>
            </w:r>
            <w:r>
              <w:rPr>
                <w:rFonts w:ascii="Arial" w:cs="Arial" w:eastAsia="Arial" w:hAnsi="Arial"/>
                <w:sz w:val="14"/>
                <w:szCs w:val="14"/>
                <w:color w:val="auto"/>
              </w:rPr>
              <w:t>(2)</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4.50%</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 xml:space="preserve">Notes due 2021 </w:t>
            </w:r>
            <w:r>
              <w:rPr>
                <w:rFonts w:ascii="Arial" w:cs="Arial" w:eastAsia="Arial" w:hAnsi="Arial"/>
                <w:sz w:val="14"/>
                <w:szCs w:val="14"/>
                <w:color w:val="auto"/>
              </w:rPr>
              <w:t>(2)</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5.95%</w:t>
            </w:r>
          </w:p>
        </w:tc>
        <w:tc>
          <w:tcPr>
            <w:tcW w:w="4760" w:type="dxa"/>
            <w:vAlign w:val="bottom"/>
          </w:tcPr>
          <w:p>
            <w:pPr>
              <w:ind w:left="40"/>
              <w:spacing w:after="0"/>
              <w:rPr>
                <w:sz w:val="20"/>
                <w:szCs w:val="20"/>
                <w:color w:val="auto"/>
              </w:rPr>
            </w:pPr>
            <w:r>
              <w:rPr>
                <w:rFonts w:ascii="Arial" w:cs="Arial" w:eastAsia="Arial" w:hAnsi="Arial"/>
                <w:sz w:val="17"/>
                <w:szCs w:val="17"/>
                <w:color w:val="auto"/>
              </w:rPr>
              <w:t xml:space="preserve">Notes due 2041 </w:t>
            </w:r>
            <w:r>
              <w:rPr>
                <w:rFonts w:ascii="Arial" w:cs="Arial" w:eastAsia="Arial" w:hAnsi="Arial"/>
                <w:sz w:val="14"/>
                <w:szCs w:val="14"/>
                <w:color w:val="auto"/>
              </w:rPr>
              <w:t>(2)</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3.60%</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 xml:space="preserve">Notes due 2022 </w:t>
            </w:r>
            <w:r>
              <w:rPr>
                <w:rFonts w:ascii="Arial" w:cs="Arial" w:eastAsia="Arial" w:hAnsi="Arial"/>
                <w:sz w:val="14"/>
                <w:szCs w:val="14"/>
                <w:color w:val="auto"/>
              </w:rPr>
              <w:t>(2)</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5.13%</w:t>
            </w:r>
          </w:p>
        </w:tc>
        <w:tc>
          <w:tcPr>
            <w:tcW w:w="4760" w:type="dxa"/>
            <w:vAlign w:val="bottom"/>
          </w:tcPr>
          <w:p>
            <w:pPr>
              <w:ind w:left="40"/>
              <w:spacing w:after="0"/>
              <w:rPr>
                <w:sz w:val="20"/>
                <w:szCs w:val="20"/>
                <w:color w:val="auto"/>
              </w:rPr>
            </w:pPr>
            <w:r>
              <w:rPr>
                <w:rFonts w:ascii="Arial" w:cs="Arial" w:eastAsia="Arial" w:hAnsi="Arial"/>
                <w:sz w:val="17"/>
                <w:szCs w:val="17"/>
                <w:color w:val="auto"/>
              </w:rPr>
              <w:t xml:space="preserve">Notes due 2043 </w:t>
            </w:r>
            <w:r>
              <w:rPr>
                <w:rFonts w:ascii="Arial" w:cs="Arial" w:eastAsia="Arial" w:hAnsi="Arial"/>
                <w:sz w:val="14"/>
                <w:szCs w:val="14"/>
                <w:color w:val="auto"/>
              </w:rPr>
              <w:t>(2)</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4.00%</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 xml:space="preserve">Notes due 2023 </w:t>
            </w:r>
            <w:r>
              <w:rPr>
                <w:rFonts w:ascii="Arial" w:cs="Arial" w:eastAsia="Arial" w:hAnsi="Arial"/>
                <w:sz w:val="14"/>
                <w:szCs w:val="14"/>
                <w:color w:val="auto"/>
              </w:rPr>
              <w:t>(2)</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3.70%</w:t>
            </w:r>
          </w:p>
        </w:tc>
        <w:tc>
          <w:tcPr>
            <w:tcW w:w="4760" w:type="dxa"/>
            <w:vAlign w:val="bottom"/>
          </w:tcPr>
          <w:p>
            <w:pPr>
              <w:ind w:left="40"/>
              <w:spacing w:after="0"/>
              <w:rPr>
                <w:sz w:val="20"/>
                <w:szCs w:val="20"/>
                <w:color w:val="auto"/>
              </w:rPr>
            </w:pPr>
            <w:r>
              <w:rPr>
                <w:rFonts w:ascii="Arial" w:cs="Arial" w:eastAsia="Arial" w:hAnsi="Arial"/>
                <w:sz w:val="17"/>
                <w:szCs w:val="17"/>
                <w:color w:val="auto"/>
              </w:rPr>
              <w:t xml:space="preserve">Notes due 2024 </w:t>
            </w:r>
            <w:r>
              <w:rPr>
                <w:rFonts w:ascii="Arial" w:cs="Arial" w:eastAsia="Arial" w:hAnsi="Arial"/>
                <w:sz w:val="14"/>
                <w:szCs w:val="14"/>
                <w:color w:val="auto"/>
              </w:rPr>
              <w:t>(2)</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20"/>
        </w:trPr>
        <w:tc>
          <w:tcPr>
            <w:tcW w:w="460" w:type="dxa"/>
            <w:vAlign w:val="bottom"/>
            <w:shd w:val="clear" w:color="auto" w:fill="CFF0FC"/>
          </w:tcPr>
          <w:p>
            <w:pPr>
              <w:spacing w:after="0"/>
              <w:rPr>
                <w:sz w:val="20"/>
                <w:szCs w:val="20"/>
                <w:color w:val="auto"/>
              </w:rPr>
            </w:pPr>
            <w:r>
              <w:rPr>
                <w:rFonts w:ascii="Arial" w:cs="Arial" w:eastAsia="Arial" w:hAnsi="Arial"/>
                <w:sz w:val="17"/>
                <w:szCs w:val="17"/>
                <w:color w:val="auto"/>
                <w:w w:val="91"/>
              </w:rPr>
              <w:t>1.25%</w:t>
            </w:r>
          </w:p>
        </w:tc>
        <w:tc>
          <w:tcPr>
            <w:tcW w:w="4760" w:type="dxa"/>
            <w:vAlign w:val="bottom"/>
            <w:shd w:val="clear" w:color="auto" w:fill="CFF0FC"/>
          </w:tcPr>
          <w:p>
            <w:pPr>
              <w:ind w:left="40"/>
              <w:spacing w:after="0"/>
              <w:rPr>
                <w:sz w:val="20"/>
                <w:szCs w:val="20"/>
                <w:color w:val="auto"/>
              </w:rPr>
            </w:pPr>
            <w:r>
              <w:rPr>
                <w:rFonts w:ascii="Arial" w:cs="Arial" w:eastAsia="Arial" w:hAnsi="Arial"/>
                <w:sz w:val="17"/>
                <w:szCs w:val="17"/>
                <w:color w:val="auto"/>
              </w:rPr>
              <w:t>Senior Notes due 2017</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Pr>
          <w:p>
            <w:pPr>
              <w:spacing w:after="0"/>
              <w:rPr>
                <w:sz w:val="20"/>
                <w:szCs w:val="20"/>
                <w:color w:val="auto"/>
              </w:rPr>
            </w:pPr>
            <w:r>
              <w:rPr>
                <w:rFonts w:ascii="Arial" w:cs="Arial" w:eastAsia="Arial" w:hAnsi="Arial"/>
                <w:sz w:val="17"/>
                <w:szCs w:val="17"/>
                <w:color w:val="auto"/>
                <w:w w:val="91"/>
              </w:rPr>
              <w:t>1.90%</w:t>
            </w:r>
          </w:p>
        </w:tc>
        <w:tc>
          <w:tcPr>
            <w:tcW w:w="4760" w:type="dxa"/>
            <w:vAlign w:val="bottom"/>
          </w:tcPr>
          <w:p>
            <w:pPr>
              <w:ind w:left="40"/>
              <w:spacing w:after="0"/>
              <w:rPr>
                <w:sz w:val="20"/>
                <w:szCs w:val="20"/>
                <w:color w:val="auto"/>
              </w:rPr>
            </w:pPr>
            <w:r>
              <w:rPr>
                <w:rFonts w:ascii="Arial" w:cs="Arial" w:eastAsia="Arial" w:hAnsi="Arial"/>
                <w:sz w:val="17"/>
                <w:szCs w:val="17"/>
                <w:color w:val="auto"/>
              </w:rPr>
              <w:t>Senior Notes due 2017</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499</w:t>
            </w:r>
          </w:p>
        </w:tc>
        <w:tc>
          <w:tcPr>
            <w:tcW w:w="100" w:type="dxa"/>
            <w:vAlign w:val="bottom"/>
          </w:tcPr>
          <w:p>
            <w:pPr>
              <w:spacing w:after="0"/>
              <w:rPr>
                <w:sz w:val="19"/>
                <w:szCs w:val="19"/>
                <w:color w:val="auto"/>
              </w:rPr>
            </w:pPr>
          </w:p>
        </w:tc>
      </w:tr>
      <w:tr>
        <w:trPr>
          <w:trHeight w:val="220"/>
        </w:trPr>
        <w:tc>
          <w:tcPr>
            <w:tcW w:w="52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Commercial paper borrowings</w:t>
            </w:r>
          </w:p>
        </w:tc>
        <w:tc>
          <w:tcPr>
            <w:tcW w:w="26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2,421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9"/>
                <w:szCs w:val="19"/>
                <w:color w:val="auto"/>
              </w:rPr>
            </w:pPr>
          </w:p>
        </w:tc>
      </w:tr>
      <w:tr>
        <w:trPr>
          <w:trHeight w:val="220"/>
        </w:trPr>
        <w:tc>
          <w:tcPr>
            <w:tcW w:w="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4760" w:type="dxa"/>
            <w:vAlign w:val="bottom"/>
            <w:tcBorders>
              <w:bottom w:val="single" w:sz="8" w:color="CFF0FC"/>
            </w:tcBorders>
          </w:tcPr>
          <w:p>
            <w:pPr>
              <w:spacing w:after="0"/>
              <w:rPr>
                <w:sz w:val="19"/>
                <w:szCs w:val="19"/>
                <w:color w:val="auto"/>
              </w:rPr>
            </w:pPr>
          </w:p>
        </w:tc>
        <w:tc>
          <w:tcPr>
            <w:tcW w:w="26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Borders>
              <w:bottom w:val="single" w:sz="8" w:color="CFF0FC"/>
            </w:tcBorders>
          </w:tcPr>
          <w:p>
            <w:pPr>
              <w:spacing w:after="0"/>
              <w:rPr>
                <w:sz w:val="19"/>
                <w:szCs w:val="19"/>
                <w:color w:val="auto"/>
              </w:rPr>
            </w:pPr>
          </w:p>
        </w:tc>
      </w:tr>
      <w:tr>
        <w:trPr>
          <w:trHeight w:val="213"/>
        </w:trPr>
        <w:tc>
          <w:tcPr>
            <w:tcW w:w="460" w:type="dxa"/>
            <w:vAlign w:val="bottom"/>
            <w:tcBorders>
              <w:bottom w:val="single" w:sz="8" w:color="CFF0FC"/>
            </w:tcBorders>
            <w:shd w:val="clear" w:color="auto" w:fill="CFF0FC"/>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18"/>
                <w:szCs w:val="18"/>
                <w:color w:val="auto"/>
              </w:rPr>
            </w:pPr>
          </w:p>
        </w:tc>
        <w:tc>
          <w:tcPr>
            <w:tcW w:w="26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99"/>
              </w:rPr>
              <w:t>16,463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14,442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left="280" w:hanging="227"/>
        <w:spacing w:after="0" w:line="203" w:lineRule="auto"/>
        <w:tabs>
          <w:tab w:leader="none" w:pos="288"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Schlumberger maintains a €5.0 billion Guaranteed Euro Medium Term Note program that provides for the issuance of various types of debt instruments such as fixed or floating rate notes in euro, US dollar or other currencies. Schlumberger issued €0.5 billion 1.50% Guaranteed Notes due 2019 under this program in 2013.</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21"/>
          <w:szCs w:val="21"/>
          <w:color w:val="000000"/>
          <w:vertAlign w:val="superscript"/>
        </w:rPr>
        <w:t>(2</w:t>
      </w:r>
      <w:r>
        <w:rPr>
          <w:rFonts w:ascii="Arial" w:cs="Arial" w:eastAsia="Arial" w:hAnsi="Arial"/>
          <w:sz w:val="23"/>
          <w:szCs w:val="23"/>
          <w:color w:val="000000"/>
          <w:vertAlign w:val="superscript"/>
        </w:rPr>
        <w:t>)</w:t>
      </w:r>
      <w:r>
        <w:rPr>
          <w:rFonts w:ascii="Arial" w:cs="Arial" w:eastAsia="Arial" w:hAnsi="Arial"/>
          <w:sz w:val="14"/>
          <w:szCs w:val="14"/>
          <w:color w:val="231F20"/>
        </w:rPr>
        <w:t xml:space="preserve"> Represents long-term fixed rate debt obligations assumed in connection with the acquisition of Cameron, net of amounts repurchased subsequent to the closing of the transaction.</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December 31, 2016, Schlumberger had separate committed debt facility agreements aggregating $6.6 billion with commercial banks, of which $4.0 billion was available and unused. This included $6.3 billion of committed facilities which support commercial paper programs in the United States and Europe, of which $1.0 billion matures in February 2017, $1.8 billion matures in July 2018, $1.5 billion matures in November 2020, and $2.0 billion matures in February 2021. Interest rates and other terms of borrowing under these lines of credit vary from country to country.</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Commercial paper borrowings are classified as long-term debt to the extent they are backed up by available and unused committed credit facilities maturing in more than one year and to the extent it is Schlumberger’s intent to maintain these obligations for longer than one year. Borrowings under the commercial paper program at December 31, 2016 were $2.6 billion, of which $2.4 billion was classified within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$0.2 billion was classified in </w:t>
      </w:r>
      <w:r>
        <w:rPr>
          <w:rFonts w:ascii="Arial" w:cs="Arial" w:eastAsia="Arial" w:hAnsi="Arial"/>
          <w:sz w:val="16"/>
          <w:szCs w:val="16"/>
          <w:i w:val="1"/>
          <w:iCs w:val="1"/>
          <w:color w:val="auto"/>
        </w:rPr>
        <w:t>Long-term debt – current portion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2015, borrowings under the commercial paper program were $2.4 billion, of which $1.0 billion was classified within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$1.4 billion was classified in </w:t>
      </w:r>
      <w:r>
        <w:rPr>
          <w:rFonts w:ascii="Arial" w:cs="Arial" w:eastAsia="Arial" w:hAnsi="Arial"/>
          <w:sz w:val="16"/>
          <w:szCs w:val="16"/>
          <w:i w:val="1"/>
          <w:iCs w:val="1"/>
          <w:color w:val="auto"/>
        </w:rPr>
        <w:t>Long-term debt – current portion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interest rate on variable rate debt as of December 31, 2016 was 1.7%.</w:t>
      </w: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as of December 31, 2016, is due as follows: $2.0 billion in 2018, $1.3 billion in 2019, $2.6 billion in 2020, $4.8 billion in 2021, $2.0 billion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2022, $1.6 billion in 2023, $1.8 billion in 2025 and $0.4 billion thereafter.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line="283" w:lineRule="auto"/>
        <w:rPr>
          <w:sz w:val="20"/>
          <w:szCs w:val="20"/>
          <w:color w:val="auto"/>
        </w:rPr>
      </w:pPr>
      <w:r>
        <w:rPr>
          <w:rFonts w:ascii="Arial" w:cs="Arial" w:eastAsia="Arial" w:hAnsi="Arial"/>
          <w:sz w:val="17"/>
          <w:szCs w:val="17"/>
          <w:color w:val="auto"/>
        </w:rPr>
        <w:t xml:space="preserve">The fair value of Schlumberger’s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at December 31, 2016 and December 31, 2015 was $16.8 billion and $14.4 billion, respectively, and was estimated based on quoted market prices.</w:t>
      </w:r>
    </w:p>
    <w:p>
      <w:pPr>
        <w:spacing w:after="0" w:line="257" w:lineRule="exact"/>
        <w:rPr>
          <w:sz w:val="20"/>
          <w:szCs w:val="20"/>
          <w:color w:val="auto"/>
        </w:rPr>
      </w:pPr>
    </w:p>
    <w:p>
      <w:pPr>
        <w:ind w:left="260" w:hanging="257"/>
        <w:spacing w:after="0"/>
        <w:tabs>
          <w:tab w:leader="none" w:pos="2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Schlumberger is exposed to market risks related to fluctuations in interest rates and foreign currency exchange rates. To mitigate these risks, Schlumberger utilizes derivative instruments. Schlumberger does not enter into derivative transactions for speculative purposes.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5"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1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At December 31, 2016, Schlumberger had fixed rate debt aggregating $14.1 billion and variable rate debt aggregating $5.5 billion, after taking into account the effect of the swap.</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i w:val="1"/>
          <w:iCs w:val="1"/>
          <w:color w:val="auto"/>
        </w:rPr>
        <w:t xml:space="preserve">Short-term investments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Fixed income investments</w:t>
      </w:r>
      <w:r>
        <w:rPr>
          <w:rFonts w:ascii="Arial" w:cs="Arial" w:eastAsia="Arial" w:hAnsi="Arial"/>
          <w:sz w:val="17"/>
          <w:szCs w:val="17"/>
          <w:color w:val="auto"/>
        </w:rPr>
        <w:t>,</w:t>
      </w:r>
      <w:r>
        <w:rPr>
          <w:rFonts w:ascii="Arial" w:cs="Arial" w:eastAsia="Arial" w:hAnsi="Arial"/>
          <w:sz w:val="17"/>
          <w:szCs w:val="17"/>
          <w:i w:val="1"/>
          <w:iCs w:val="1"/>
          <w:color w:val="auto"/>
        </w:rPr>
        <w:t xml:space="preserve"> held to maturity</w:t>
      </w:r>
      <w:r>
        <w:rPr>
          <w:rFonts w:ascii="Arial" w:cs="Arial" w:eastAsia="Arial" w:hAnsi="Arial"/>
          <w:sz w:val="17"/>
          <w:szCs w:val="17"/>
          <w:color w:val="auto"/>
        </w:rPr>
        <w:t>, totaled $6.6 billion at December 31, 2016. The carrying value of these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approximated fair value, which was estimated using quoted market prices for those or similar investments.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a multinational company, Schlumberger conducts its business in over 85 countries. Schlumberger’s functional currency is primarily the US dollar. Approximately 77% of Schlumberger’s revenues in 2016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that is denominated in currencies other than the functional currency. Schlumberger uses foreign currency forward contracts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 into</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in the same period or periods that the hedged item is recognized in earnings. The ineffective portion of changes in the fair value of hedging instruments, if any, is recorded directly to earnings.</w:t>
      </w:r>
    </w:p>
    <w:p>
      <w:pPr>
        <w:spacing w:after="0" w:line="183"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 xml:space="preserve">At December 31, 2016, Schlumberger recognized a cumulative net $19 million loss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relating to revaluation of foreign currency forward contracts designated as cash flow hedges, the majority of which is expected to be reclassified into earnings within the next 12 months.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Schlumberger is exposed to changes in the fair value of assets and liabilities that are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are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are recognized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xml:space="preserve"> as are changes in the fair value of the hedged item. Transaction losses of $93 million, $76 million and $539 million, net of related hedging activities, were recognized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xml:space="preserve"> in 2016, 2015 and 2014, respectively. Included in these amounts are $63 million relating to Egypt in 2016, $49 million relating to Venezuela in 2015 and $472 million relating to Venezuela in 2014. See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 xml:space="preserve"> for further details.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7" w:name="page48"/>
    <w:bookmarkEnd w:id="47"/>
    <w:p>
      <w:pPr>
        <w:spacing w:after="0" w:line="283" w:lineRule="auto"/>
        <w:rPr>
          <w:sz w:val="20"/>
          <w:szCs w:val="20"/>
          <w:color w:val="auto"/>
        </w:rPr>
      </w:pPr>
      <w:r>
        <w:rPr>
          <w:rFonts w:ascii="Arial" w:cs="Arial" w:eastAsia="Arial" w:hAnsi="Arial"/>
          <w:sz w:val="17"/>
          <w:szCs w:val="17"/>
          <w:color w:val="auto"/>
        </w:rPr>
        <w:t>At December 31, 2016, contracts were outstanding for the US dollar equivalent of $5.5 billion in various foreign currencies, of which $1.1 billion relates to hedges of debt denominated in currencies other than the functional currency.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outstanding derivative instruments are summarized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i w:val="1"/>
                <w:iCs w:val="1"/>
                <w:color w:val="auto"/>
                <w:w w:val="95"/>
              </w:rPr>
              <w:t>(Stated in millions)</w:t>
            </w:r>
          </w:p>
        </w:tc>
        <w:tc>
          <w:tcPr>
            <w:tcW w:w="22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45"/>
        </w:trPr>
        <w:tc>
          <w:tcPr>
            <w:tcW w:w="4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6"/>
                <w:szCs w:val="16"/>
                <w:b w:val="1"/>
                <w:bCs w:val="1"/>
                <w:color w:val="auto"/>
              </w:rPr>
              <w:t>Fair Value of Derivatives</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Consolidated Balance Sheet Classification</w:t>
            </w:r>
          </w:p>
        </w:tc>
      </w:tr>
      <w:tr>
        <w:trPr>
          <w:trHeight w:val="200"/>
        </w:trPr>
        <w:tc>
          <w:tcPr>
            <w:tcW w:w="4180" w:type="dxa"/>
            <w:vAlign w:val="bottom"/>
            <w:tcBorders>
              <w:bottom w:val="single" w:sz="8" w:color="CFF0FC"/>
            </w:tcBorders>
          </w:tcPr>
          <w:p>
            <w:pPr>
              <w:spacing w:after="0"/>
              <w:rPr>
                <w:sz w:val="17"/>
                <w:szCs w:val="17"/>
                <w:color w:val="auto"/>
              </w:rPr>
            </w:pPr>
          </w:p>
        </w:tc>
        <w:tc>
          <w:tcPr>
            <w:tcW w:w="158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2015</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920" w:type="dxa"/>
            <w:vAlign w:val="bottom"/>
            <w:tcBorders>
              <w:bottom w:val="single" w:sz="8" w:color="CFF0FC"/>
            </w:tcBorders>
          </w:tcPr>
          <w:p>
            <w:pPr>
              <w:spacing w:after="0"/>
              <w:rPr>
                <w:sz w:val="17"/>
                <w:szCs w:val="17"/>
                <w:color w:val="auto"/>
              </w:rPr>
            </w:pPr>
          </w:p>
        </w:tc>
      </w:tr>
      <w:tr>
        <w:trPr>
          <w:trHeight w:val="215"/>
        </w:trPr>
        <w:tc>
          <w:tcPr>
            <w:tcW w:w="41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Derivative Assets</w:t>
            </w:r>
          </w:p>
        </w:tc>
        <w:tc>
          <w:tcPr>
            <w:tcW w:w="15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Derivatives designated as hedges: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Foreign exchange contracts</w:t>
            </w:r>
          </w:p>
        </w:tc>
        <w:tc>
          <w:tcPr>
            <w:tcW w:w="2380" w:type="dxa"/>
            <w:vAlign w:val="bottom"/>
            <w:gridSpan w:val="2"/>
            <w:shd w:val="clear" w:color="auto" w:fill="CFF0FC"/>
          </w:tcPr>
          <w:p>
            <w:pPr>
              <w:jc w:val="right"/>
              <w:ind w:right="617"/>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current assets</w:t>
            </w:r>
          </w:p>
        </w:tc>
      </w:tr>
      <w:tr>
        <w:trPr>
          <w:trHeight w:val="220"/>
        </w:trPr>
        <w:tc>
          <w:tcPr>
            <w:tcW w:w="4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Foreign exchange contracts</w:t>
            </w:r>
          </w:p>
        </w:tc>
        <w:tc>
          <w:tcPr>
            <w:tcW w:w="15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20" w:type="dxa"/>
            <w:vAlign w:val="bottom"/>
            <w:tcBorders>
              <w:bottom w:val="single" w:sz="8" w:color="CFF0FC"/>
            </w:tcBorders>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7"/>
                <w:szCs w:val="17"/>
                <w:i w:val="1"/>
                <w:iCs w:val="1"/>
                <w:color w:val="auto"/>
              </w:rPr>
              <w:t>Other Assets</w:t>
            </w:r>
          </w:p>
        </w:tc>
      </w:tr>
      <w:tr>
        <w:trPr>
          <w:trHeight w:val="213"/>
        </w:trPr>
        <w:tc>
          <w:tcPr>
            <w:tcW w:w="4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7"/>
                <w:szCs w:val="17"/>
                <w:b w:val="1"/>
                <w:bCs w:val="1"/>
                <w:color w:val="auto"/>
                <w:w w:val="84"/>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w:t>
            </w:r>
          </w:p>
        </w:tc>
        <w:tc>
          <w:tcPr>
            <w:tcW w:w="24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7"/>
                <w:szCs w:val="17"/>
                <w:color w:val="auto"/>
              </w:rPr>
              <w:t>Derivatives not designated as hedges:</w:t>
            </w: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Foreign exchange contracts</w:t>
            </w:r>
          </w:p>
        </w:tc>
        <w:tc>
          <w:tcPr>
            <w:tcW w:w="2380" w:type="dxa"/>
            <w:vAlign w:val="bottom"/>
            <w:gridSpan w:val="2"/>
            <w:shd w:val="clear" w:color="auto" w:fill="CFF0FC"/>
          </w:tcPr>
          <w:p>
            <w:pPr>
              <w:jc w:val="right"/>
              <w:ind w:right="617"/>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current assets</w:t>
            </w:r>
          </w:p>
        </w:tc>
      </w:tr>
      <w:tr>
        <w:trPr>
          <w:trHeight w:val="253"/>
        </w:trPr>
        <w:tc>
          <w:tcPr>
            <w:tcW w:w="4180" w:type="dxa"/>
            <w:vAlign w:val="bottom"/>
            <w:tcBorders>
              <w:bottom w:val="single" w:sz="8" w:color="CFF0FC"/>
            </w:tcBorders>
          </w:tcPr>
          <w:p>
            <w:pPr>
              <w:spacing w:after="0"/>
              <w:rPr>
                <w:sz w:val="21"/>
                <w:szCs w:val="21"/>
                <w:color w:val="auto"/>
              </w:rPr>
            </w:pPr>
          </w:p>
        </w:tc>
        <w:tc>
          <w:tcPr>
            <w:tcW w:w="1580" w:type="dxa"/>
            <w:vAlign w:val="bottom"/>
            <w:tcBorders>
              <w:bottom w:val="single" w:sz="8" w:color="CFF0FC"/>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7"/>
                <w:szCs w:val="17"/>
                <w:b w:val="1"/>
                <w:bCs w:val="1"/>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w:t>
            </w:r>
          </w:p>
        </w:tc>
        <w:tc>
          <w:tcPr>
            <w:tcW w:w="240" w:type="dxa"/>
            <w:vAlign w:val="bottom"/>
            <w:tcBorders>
              <w:bottom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220" w:type="dxa"/>
            <w:vAlign w:val="bottom"/>
            <w:tcBorders>
              <w:bottom w:val="single" w:sz="8" w:color="CFF0FC"/>
            </w:tcBorders>
          </w:tcPr>
          <w:p>
            <w:pPr>
              <w:spacing w:after="0"/>
              <w:rPr>
                <w:sz w:val="21"/>
                <w:szCs w:val="21"/>
                <w:color w:val="auto"/>
              </w:rPr>
            </w:pPr>
          </w:p>
        </w:tc>
        <w:tc>
          <w:tcPr>
            <w:tcW w:w="2920" w:type="dxa"/>
            <w:vAlign w:val="bottom"/>
            <w:tcBorders>
              <w:bottom w:val="single" w:sz="8" w:color="CFF0FC"/>
            </w:tcBorders>
          </w:tcPr>
          <w:p>
            <w:pPr>
              <w:spacing w:after="0"/>
              <w:rPr>
                <w:sz w:val="21"/>
                <w:szCs w:val="21"/>
                <w:color w:val="auto"/>
              </w:rPr>
            </w:pPr>
          </w:p>
        </w:tc>
      </w:tr>
      <w:tr>
        <w:trPr>
          <w:trHeight w:val="198"/>
        </w:trPr>
        <w:tc>
          <w:tcPr>
            <w:tcW w:w="41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Derivative Liabilities</w:t>
            </w:r>
          </w:p>
        </w:tc>
        <w:tc>
          <w:tcPr>
            <w:tcW w:w="15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Derivatives designated as hedges: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Foreign exchange contracts</w:t>
            </w:r>
          </w:p>
        </w:tc>
        <w:tc>
          <w:tcPr>
            <w:tcW w:w="2380" w:type="dxa"/>
            <w:vAlign w:val="bottom"/>
            <w:gridSpan w:val="2"/>
            <w:shd w:val="clear" w:color="auto" w:fill="CFF0FC"/>
          </w:tcPr>
          <w:p>
            <w:pPr>
              <w:jc w:val="right"/>
              <w:ind w:right="617"/>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w w:val="96"/>
              </w:rPr>
              <w:t>Accounts payable and accrued liabilities</w:t>
            </w: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7"/>
                <w:szCs w:val="17"/>
                <w:i w:val="1"/>
                <w:iCs w:val="1"/>
                <w:color w:val="auto"/>
              </w:rPr>
              <w:t>Other Liabilities</w:t>
            </w: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Cross currency swap</w:t>
            </w:r>
          </w:p>
        </w:tc>
        <w:tc>
          <w:tcPr>
            <w:tcW w:w="15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49</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Other Liabilities</w:t>
            </w:r>
          </w:p>
        </w:tc>
      </w:tr>
      <w:tr>
        <w:trPr>
          <w:trHeight w:val="213"/>
        </w:trPr>
        <w:tc>
          <w:tcPr>
            <w:tcW w:w="4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b w:val="1"/>
                <w:bCs w:val="1"/>
                <w:color w:val="auto"/>
                <w:w w:val="84"/>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3"/>
        </w:trPr>
        <w:tc>
          <w:tcPr>
            <w:tcW w:w="4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0"/>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Derivatives not designated as hedges:</w:t>
            </w:r>
          </w:p>
        </w:tc>
        <w:tc>
          <w:tcPr>
            <w:tcW w:w="15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r>
      <w:tr>
        <w:trPr>
          <w:trHeight w:val="220"/>
        </w:trPr>
        <w:tc>
          <w:tcPr>
            <w:tcW w:w="418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2380" w:type="dxa"/>
            <w:vAlign w:val="bottom"/>
            <w:gridSpan w:val="2"/>
          </w:tcPr>
          <w:p>
            <w:pPr>
              <w:jc w:val="right"/>
              <w:ind w:right="617"/>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59</w:t>
            </w:r>
          </w:p>
        </w:tc>
        <w:tc>
          <w:tcPr>
            <w:tcW w:w="240" w:type="dxa"/>
            <w:vAlign w:val="bottom"/>
          </w:tcPr>
          <w:p>
            <w:pPr>
              <w:spacing w:after="0"/>
              <w:rPr>
                <w:sz w:val="19"/>
                <w:szCs w:val="19"/>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7"/>
                <w:szCs w:val="17"/>
                <w:i w:val="1"/>
                <w:iCs w:val="1"/>
                <w:color w:val="auto"/>
                <w:w w:val="96"/>
              </w:rPr>
              <w:t>Accounts payable and accrued liabilities</w:t>
            </w:r>
          </w:p>
        </w:tc>
      </w:tr>
      <w:tr>
        <w:trPr>
          <w:trHeight w:val="213"/>
        </w:trPr>
        <w:tc>
          <w:tcPr>
            <w:tcW w:w="4180" w:type="dxa"/>
            <w:vAlign w:val="bottom"/>
            <w:tcBorders>
              <w:top w:val="single" w:sz="8" w:color="CFF0FC"/>
              <w:bottom w:val="single" w:sz="8" w:color="CFF0FC"/>
            </w:tcBorders>
            <w:shd w:val="clear" w:color="auto" w:fill="CFF0FC"/>
          </w:tcPr>
          <w:p>
            <w:pPr>
              <w:spacing w:after="0"/>
              <w:rPr>
                <w:sz w:val="18"/>
                <w:szCs w:val="18"/>
                <w:color w:val="auto"/>
              </w:rPr>
            </w:pPr>
          </w:p>
        </w:tc>
        <w:tc>
          <w:tcPr>
            <w:tcW w:w="15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17"/>
              <w:spacing w:after="0"/>
              <w:rPr>
                <w:sz w:val="20"/>
                <w:szCs w:val="20"/>
                <w:color w:val="auto"/>
              </w:rPr>
            </w:pPr>
            <w:r>
              <w:rPr>
                <w:rFonts w:ascii="Arial" w:cs="Arial" w:eastAsia="Arial" w:hAnsi="Arial"/>
                <w:sz w:val="17"/>
                <w:szCs w:val="17"/>
                <w:b w:val="1"/>
                <w:bCs w:val="1"/>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9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fair value of all outstanding derivatives is determined using a model with inputs that are observable in the market or can be derived from or corroborated by observable data.</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of derivative instruments designated as fair value hedges and those not designated as hedges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was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i w:val="1"/>
                <w:iCs w:val="1"/>
                <w:color w:val="auto"/>
                <w:w w:val="97"/>
              </w:rPr>
              <w:t>(Stated in millions)</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4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86"/>
              </w:rPr>
              <w:t>Gain (Loss) Recognized in Income</w:t>
            </w:r>
          </w:p>
        </w:tc>
        <w:tc>
          <w:tcPr>
            <w:tcW w:w="7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6"/>
                <w:szCs w:val="16"/>
                <w:color w:val="auto"/>
              </w:rPr>
            </w:pPr>
          </w:p>
        </w:tc>
        <w:tc>
          <w:tcPr>
            <w:tcW w:w="210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6"/>
                <w:szCs w:val="16"/>
                <w:color w:val="auto"/>
                <w:w w:val="93"/>
              </w:rPr>
              <w:t>Consolidated Statement</w:t>
            </w:r>
          </w:p>
        </w:tc>
        <w:tc>
          <w:tcPr>
            <w:tcW w:w="0" w:type="dxa"/>
            <w:vAlign w:val="bottom"/>
          </w:tcPr>
          <w:p>
            <w:pPr>
              <w:spacing w:after="0"/>
              <w:rPr>
                <w:sz w:val="1"/>
                <w:szCs w:val="1"/>
                <w:color w:val="auto"/>
              </w:rPr>
            </w:pPr>
          </w:p>
        </w:tc>
      </w:tr>
      <w:tr>
        <w:trPr>
          <w:trHeight w:val="199"/>
        </w:trPr>
        <w:tc>
          <w:tcPr>
            <w:tcW w:w="436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7"/>
              <w:spacing w:after="0"/>
              <w:rPr>
                <w:sz w:val="20"/>
                <w:szCs w:val="20"/>
                <w:color w:val="auto"/>
              </w:rPr>
            </w:pPr>
            <w:r>
              <w:rPr>
                <w:rFonts w:ascii="Arial" w:cs="Arial" w:eastAsia="Arial" w:hAnsi="Arial"/>
                <w:sz w:val="16"/>
                <w:szCs w:val="16"/>
                <w:color w:val="auto"/>
              </w:rPr>
              <w:t>2015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337"/>
              <w:spacing w:after="0"/>
              <w:rPr>
                <w:sz w:val="20"/>
                <w:szCs w:val="20"/>
                <w:color w:val="auto"/>
              </w:rPr>
            </w:pPr>
            <w:r>
              <w:rPr>
                <w:rFonts w:ascii="Arial" w:cs="Arial" w:eastAsia="Arial" w:hAnsi="Arial"/>
                <w:sz w:val="16"/>
                <w:szCs w:val="16"/>
                <w:color w:val="auto"/>
                <w:w w:val="89"/>
              </w:rPr>
              <w:t>2014</w:t>
            </w:r>
          </w:p>
        </w:tc>
        <w:tc>
          <w:tcPr>
            <w:tcW w:w="240" w:type="dxa"/>
            <w:vAlign w:val="bottom"/>
          </w:tcPr>
          <w:p>
            <w:pPr>
              <w:spacing w:after="0"/>
              <w:rPr>
                <w:sz w:val="17"/>
                <w:szCs w:val="17"/>
                <w:color w:val="auto"/>
              </w:rPr>
            </w:pPr>
          </w:p>
        </w:tc>
        <w:tc>
          <w:tcPr>
            <w:tcW w:w="1620" w:type="dxa"/>
            <w:vAlign w:val="bottom"/>
          </w:tcPr>
          <w:p>
            <w:pPr>
              <w:ind w:left="40"/>
              <w:spacing w:after="0"/>
              <w:rPr>
                <w:sz w:val="20"/>
                <w:szCs w:val="20"/>
                <w:color w:val="auto"/>
              </w:rPr>
            </w:pPr>
            <w:r>
              <w:rPr>
                <w:rFonts w:ascii="Arial" w:cs="Arial" w:eastAsia="Arial" w:hAnsi="Arial"/>
                <w:sz w:val="16"/>
                <w:szCs w:val="16"/>
                <w:color w:val="auto"/>
                <w:w w:val="92"/>
              </w:rPr>
              <w:t>of Income Classification</w:t>
            </w:r>
          </w:p>
        </w:tc>
        <w:tc>
          <w:tcPr>
            <w:tcW w:w="0" w:type="dxa"/>
            <w:vAlign w:val="bottom"/>
          </w:tcPr>
          <w:p>
            <w:pPr>
              <w:spacing w:after="0"/>
              <w:rPr>
                <w:sz w:val="1"/>
                <w:szCs w:val="1"/>
                <w:color w:val="auto"/>
              </w:rPr>
            </w:pPr>
          </w:p>
        </w:tc>
      </w:tr>
      <w:tr>
        <w:trPr>
          <w:trHeight w:val="215"/>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Derivatives designated as fair value hedges:</w:t>
            </w:r>
          </w:p>
        </w:tc>
        <w:tc>
          <w:tcPr>
            <w:tcW w:w="13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7"/>
                <w:szCs w:val="17"/>
                <w:color w:val="auto"/>
              </w:rPr>
              <w:t>Cross currency swap</w:t>
            </w:r>
          </w:p>
        </w:tc>
        <w:tc>
          <w:tcPr>
            <w:tcW w:w="210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(31)</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380" w:type="dxa"/>
            <w:vAlign w:val="bottom"/>
          </w:tcPr>
          <w:p>
            <w:pPr>
              <w:jc w:val="right"/>
              <w:ind w:right="20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(82)</w:t>
            </w:r>
          </w:p>
        </w:tc>
        <w:tc>
          <w:tcPr>
            <w:tcW w:w="1620" w:type="dxa"/>
            <w:vAlign w:val="bottom"/>
          </w:tcPr>
          <w:p>
            <w:pPr>
              <w:spacing w:after="0"/>
              <w:rPr>
                <w:sz w:val="20"/>
                <w:szCs w:val="20"/>
                <w:color w:val="auto"/>
              </w:rPr>
            </w:pPr>
            <w:r>
              <w:rPr>
                <w:rFonts w:ascii="Arial" w:cs="Arial" w:eastAsia="Arial" w:hAnsi="Arial"/>
                <w:sz w:val="17"/>
                <w:szCs w:val="17"/>
                <w:i w:val="1"/>
                <w:iCs w:val="1"/>
                <w:color w:val="auto"/>
              </w:rPr>
              <w:t>Interest expense</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Derivatives not designated as hedges:</w:t>
            </w:r>
          </w:p>
        </w:tc>
        <w:tc>
          <w:tcPr>
            <w:tcW w:w="1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210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(246)</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(154)</w:t>
            </w:r>
          </w:p>
        </w:tc>
        <w:tc>
          <w:tcPr>
            <w:tcW w:w="380" w:type="dxa"/>
            <w:vAlign w:val="bottom"/>
          </w:tcPr>
          <w:p>
            <w:pPr>
              <w:jc w:val="right"/>
              <w:ind w:right="20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(95)</w:t>
            </w:r>
          </w:p>
        </w:tc>
        <w:tc>
          <w:tcPr>
            <w:tcW w:w="1620" w:type="dxa"/>
            <w:vAlign w:val="bottom"/>
          </w:tcPr>
          <w:p>
            <w:pPr>
              <w:spacing w:after="0"/>
              <w:rPr>
                <w:sz w:val="20"/>
                <w:szCs w:val="20"/>
                <w:color w:val="auto"/>
              </w:rPr>
            </w:pPr>
            <w:r>
              <w:rPr>
                <w:rFonts w:ascii="Arial" w:cs="Arial" w:eastAsia="Arial" w:hAnsi="Arial"/>
                <w:sz w:val="17"/>
                <w:szCs w:val="17"/>
                <w:i w:val="1"/>
                <w:iCs w:val="1"/>
                <w:color w:val="auto"/>
                <w:w w:val="96"/>
              </w:rPr>
              <w:t>Cost of services/sales</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60" w:hanging="257"/>
        <w:spacing w:after="0"/>
        <w:tabs>
          <w:tab w:leader="none" w:pos="2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Stockholders’ Equity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Schlumberger is authorized to issue 4,500,000,000 shares of common stock, par value $0.01 per share, of which 1,391,475,510 and 1,256,367,980 shares were outstanding on December 31, 2016 and 2015, respectively. Holders of common stock are entitled to one vote for each share of stock held. Schlumberger is also authorized to issue 200,000,000 shares of preferred stock, par value $0.01 per share, which may be issued in series with terms and conditions determined by the Schlumberger Board of Directors. No shares of preferred stock have been issued.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color w:val="auto"/>
        </w:rPr>
        <w:t xml:space="preserve">Accumulated Other Comprehensive Loss </w:t>
      </w:r>
      <w:r>
        <w:rPr>
          <w:rFonts w:ascii="Arial" w:cs="Arial" w:eastAsia="Arial" w:hAnsi="Arial"/>
          <w:sz w:val="17"/>
          <w:szCs w:val="17"/>
          <w:color w:val="auto"/>
        </w:rPr>
        <w:t>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20"/>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2"/>
              </w:rPr>
              <w:t>Unrealized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Pension and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6"/>
              </w:rPr>
              <w:t>Currency</w:t>
            </w:r>
          </w:p>
        </w:tc>
        <w:tc>
          <w:tcPr>
            <w:tcW w:w="14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0"/>
              </w:rPr>
              <w:t>Gain/(Loss) on</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Translation</w:t>
            </w: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Marketable</w:t>
            </w:r>
          </w:p>
        </w:tc>
        <w:tc>
          <w:tcPr>
            <w:tcW w:w="18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Cash Flow</w:t>
            </w:r>
          </w:p>
        </w:tc>
        <w:tc>
          <w:tcPr>
            <w:tcW w:w="8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Postretirement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1"/>
              </w:rPr>
              <w:t>Adjustments</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88"/>
              </w:rPr>
              <w:t>Securities</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Hedges</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Benefit Plans</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Balance, January 1, 2014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(1,068)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(1,691)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(2,554)</w:t>
            </w:r>
          </w:p>
        </w:tc>
        <w:tc>
          <w:tcPr>
            <w:tcW w:w="0" w:type="dxa"/>
            <w:vAlign w:val="bottom"/>
          </w:tcPr>
          <w:p>
            <w:pPr>
              <w:spacing w:after="0"/>
              <w:rPr>
                <w:sz w:val="1"/>
                <w:szCs w:val="1"/>
                <w:color w:val="auto"/>
              </w:rPr>
            </w:pPr>
          </w:p>
        </w:tc>
      </w:tr>
      <w:tr>
        <w:trPr>
          <w:trHeight w:val="207"/>
        </w:trPr>
        <w:tc>
          <w:tcPr>
            <w:tcW w:w="3620" w:type="dxa"/>
            <w:vAlign w:val="bottom"/>
          </w:tcPr>
          <w:p>
            <w:pPr>
              <w:ind w:left="240"/>
              <w:spacing w:after="0"/>
              <w:rPr>
                <w:sz w:val="20"/>
                <w:szCs w:val="20"/>
                <w:color w:val="auto"/>
              </w:rPr>
            </w:pPr>
            <w:r>
              <w:rPr>
                <w:rFonts w:ascii="Arial" w:cs="Arial" w:eastAsia="Arial" w:hAnsi="Arial"/>
                <w:sz w:val="17"/>
                <w:szCs w:val="17"/>
                <w:color w:val="auto"/>
              </w:rPr>
              <w:t>Other comprehensive income (loss) before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240"/>
              <w:spacing w:after="0"/>
              <w:rPr>
                <w:sz w:val="20"/>
                <w:szCs w:val="20"/>
                <w:color w:val="auto"/>
              </w:rPr>
            </w:pPr>
            <w:r>
              <w:rPr>
                <w:rFonts w:ascii="Arial" w:cs="Arial" w:eastAsia="Arial" w:hAnsi="Arial"/>
                <w:sz w:val="17"/>
                <w:szCs w:val="17"/>
                <w:color w:val="auto"/>
              </w:rPr>
              <w:t>reclassifications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(166)</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(1,285)</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(2,152)</w:t>
            </w:r>
          </w:p>
        </w:tc>
        <w:tc>
          <w:tcPr>
            <w:tcW w:w="0" w:type="dxa"/>
            <w:vAlign w:val="bottom"/>
          </w:tcPr>
          <w:p>
            <w:pPr>
              <w:spacing w:after="0"/>
              <w:rPr>
                <w:sz w:val="1"/>
                <w:szCs w:val="1"/>
                <w:color w:val="auto"/>
              </w:rPr>
            </w:pPr>
          </w:p>
        </w:tc>
      </w:tr>
      <w:tr>
        <w:trPr>
          <w:trHeight w:val="207"/>
        </w:trPr>
        <w:tc>
          <w:tcPr>
            <w:tcW w:w="36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Amounts reclassified from accumulated other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Income taxes</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FF0FC"/>
          </w:tcPr>
          <w:p>
            <w:pPr>
              <w:spacing w:after="0"/>
              <w:rPr>
                <w:sz w:val="20"/>
                <w:szCs w:val="20"/>
                <w:color w:val="auto"/>
              </w:rPr>
            </w:pPr>
            <w:r>
              <w:rPr>
                <w:rFonts w:ascii="Arial" w:cs="Arial" w:eastAsia="Arial" w:hAnsi="Arial"/>
                <w:sz w:val="17"/>
                <w:szCs w:val="17"/>
                <w:color w:val="auto"/>
              </w:rPr>
              <w:t>Balance, December 31, 2014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(1,531)</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(2,589)</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(4,206)</w:t>
            </w:r>
          </w:p>
        </w:tc>
        <w:tc>
          <w:tcPr>
            <w:tcW w:w="0" w:type="dxa"/>
            <w:vAlign w:val="bottom"/>
          </w:tcPr>
          <w:p>
            <w:pPr>
              <w:spacing w:after="0"/>
              <w:rPr>
                <w:sz w:val="1"/>
                <w:szCs w:val="1"/>
                <w:color w:val="auto"/>
              </w:rPr>
            </w:pPr>
          </w:p>
        </w:tc>
      </w:tr>
      <w:tr>
        <w:trPr>
          <w:trHeight w:val="207"/>
        </w:trPr>
        <w:tc>
          <w:tcPr>
            <w:tcW w:w="3620" w:type="dxa"/>
            <w:vAlign w:val="bottom"/>
          </w:tcPr>
          <w:p>
            <w:pPr>
              <w:ind w:left="240"/>
              <w:spacing w:after="0"/>
              <w:rPr>
                <w:sz w:val="20"/>
                <w:szCs w:val="20"/>
                <w:color w:val="auto"/>
              </w:rPr>
            </w:pPr>
            <w:r>
              <w:rPr>
                <w:rFonts w:ascii="Arial" w:cs="Arial" w:eastAsia="Arial" w:hAnsi="Arial"/>
                <w:sz w:val="17"/>
                <w:szCs w:val="17"/>
                <w:color w:val="auto"/>
              </w:rPr>
              <w:t>Other comprehensive income (loss) before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240"/>
              <w:spacing w:after="0"/>
              <w:rPr>
                <w:sz w:val="20"/>
                <w:szCs w:val="20"/>
                <w:color w:val="auto"/>
              </w:rPr>
            </w:pPr>
            <w:r>
              <w:rPr>
                <w:rFonts w:ascii="Arial" w:cs="Arial" w:eastAsia="Arial" w:hAnsi="Arial"/>
                <w:sz w:val="17"/>
                <w:szCs w:val="17"/>
                <w:color w:val="auto"/>
              </w:rPr>
              <w:t>reclassifications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(522)</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(210)</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07"/>
        </w:trPr>
        <w:tc>
          <w:tcPr>
            <w:tcW w:w="36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Amounts reclassified from accumulated other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240"/>
              <w:spacing w:after="0"/>
              <w:rPr>
                <w:sz w:val="20"/>
                <w:szCs w:val="20"/>
                <w:color w:val="auto"/>
              </w:rPr>
            </w:pPr>
            <w:r>
              <w:rPr>
                <w:rFonts w:ascii="Arial" w:cs="Arial" w:eastAsia="Arial" w:hAnsi="Arial"/>
                <w:sz w:val="17"/>
                <w:szCs w:val="17"/>
                <w:color w:val="auto"/>
              </w:rPr>
              <w:t>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(74)</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December 31, 2015</w:t>
            </w: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(2,053)</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(2,466)</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07"/>
        </w:trPr>
        <w:tc>
          <w:tcPr>
            <w:tcW w:w="3620" w:type="dxa"/>
            <w:vAlign w:val="bottom"/>
          </w:tcPr>
          <w:p>
            <w:pPr>
              <w:ind w:left="240"/>
              <w:spacing w:after="0"/>
              <w:rPr>
                <w:sz w:val="20"/>
                <w:szCs w:val="20"/>
                <w:color w:val="auto"/>
              </w:rPr>
            </w:pPr>
            <w:r>
              <w:rPr>
                <w:rFonts w:ascii="Arial" w:cs="Arial" w:eastAsia="Arial" w:hAnsi="Arial"/>
                <w:sz w:val="17"/>
                <w:szCs w:val="17"/>
                <w:color w:val="auto"/>
              </w:rPr>
              <w:t>Other comprehensive income (loss) before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tcPr>
          <w:p>
            <w:pPr>
              <w:ind w:left="240"/>
              <w:spacing w:after="0"/>
              <w:rPr>
                <w:sz w:val="20"/>
                <w:szCs w:val="20"/>
                <w:color w:val="auto"/>
              </w:rPr>
            </w:pPr>
            <w:r>
              <w:rPr>
                <w:rFonts w:ascii="Arial" w:cs="Arial" w:eastAsia="Arial" w:hAnsi="Arial"/>
                <w:sz w:val="17"/>
                <w:szCs w:val="17"/>
                <w:color w:val="auto"/>
              </w:rPr>
              <w:t>reclassifications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(289)</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07"/>
        </w:trPr>
        <w:tc>
          <w:tcPr>
            <w:tcW w:w="36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Amounts reclassified from accumulated other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comprehensive loss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240"/>
              <w:spacing w:after="0"/>
              <w:rPr>
                <w:sz w:val="20"/>
                <w:szCs w:val="20"/>
                <w:color w:val="auto"/>
              </w:rPr>
            </w:pPr>
            <w:r>
              <w:rPr>
                <w:rFonts w:ascii="Arial" w:cs="Arial" w:eastAsia="Arial" w:hAnsi="Arial"/>
                <w:sz w:val="17"/>
                <w:szCs w:val="17"/>
                <w:color w:val="auto"/>
              </w:rPr>
              <w:t>Income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December 31, 2016</w:t>
            </w: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(2,136)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(2,509)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loss was $85 million in 2016, $352 million in 2015 and $1.652 billion in 2014.</w:t>
      </w:r>
    </w:p>
    <w:p>
      <w:pPr>
        <w:spacing w:after="0" w:line="341" w:lineRule="exact"/>
        <w:rPr>
          <w:sz w:val="20"/>
          <w:szCs w:val="20"/>
          <w:color w:val="auto"/>
        </w:rPr>
      </w:pPr>
    </w:p>
    <w:p>
      <w:pPr>
        <w:ind w:left="260" w:hanging="257"/>
        <w:spacing w:after="0"/>
        <w:tabs>
          <w:tab w:leader="none" w:pos="2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Stock-based Compensation Plans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5"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Key employees are granted stock options under Schlumberger stock option plans. For all stock options granted, the exercise price equals the average of the high and low sales prices of Schlumberger stock on the date of grant; the maximum term is ten years, and the options generally vest in increments over five years.</w:t>
      </w:r>
    </w:p>
    <w:p>
      <w:pPr>
        <w:spacing w:after="0" w:line="137"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2014</w:t>
            </w:r>
          </w:p>
        </w:tc>
        <w:tc>
          <w:tcPr>
            <w:tcW w:w="3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2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8"/>
                <w:szCs w:val="18"/>
                <w:color w:val="auto"/>
              </w:rPr>
            </w:pPr>
          </w:p>
        </w:tc>
      </w:tr>
      <w:tr>
        <w:trPr>
          <w:trHeight w:val="220"/>
        </w:trPr>
        <w:tc>
          <w:tcPr>
            <w:tcW w:w="4120" w:type="dxa"/>
            <w:vAlign w:val="bottom"/>
          </w:tcPr>
          <w:p>
            <w:pPr>
              <w:spacing w:after="0"/>
              <w:rPr>
                <w:sz w:val="20"/>
                <w:szCs w:val="20"/>
                <w:color w:val="auto"/>
              </w:rPr>
            </w:pPr>
            <w:r>
              <w:rPr>
                <w:rFonts w:ascii="Arial" w:cs="Arial" w:eastAsia="Arial" w:hAnsi="Arial"/>
                <w:sz w:val="17"/>
                <w:szCs w:val="17"/>
                <w:color w:val="auto"/>
              </w:rPr>
              <w:t>Expected volatility</w:t>
            </w:r>
          </w:p>
        </w:tc>
        <w:tc>
          <w:tcPr>
            <w:tcW w:w="2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19"/>
                <w:szCs w:val="19"/>
                <w:color w:val="auto"/>
              </w:rPr>
            </w:pPr>
          </w:p>
        </w:tc>
      </w:tr>
      <w:tr>
        <w:trPr>
          <w:trHeight w:val="220"/>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2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9"/>
                <w:szCs w:val="19"/>
                <w:color w:val="auto"/>
              </w:rPr>
            </w:pPr>
          </w:p>
        </w:tc>
      </w:tr>
      <w:tr>
        <w:trPr>
          <w:trHeight w:val="220"/>
        </w:trPr>
        <w:tc>
          <w:tcPr>
            <w:tcW w:w="4120" w:type="dxa"/>
            <w:vAlign w:val="bottom"/>
          </w:tcPr>
          <w:p>
            <w:pPr>
              <w:spacing w:after="0"/>
              <w:rPr>
                <w:sz w:val="20"/>
                <w:szCs w:val="20"/>
                <w:color w:val="auto"/>
              </w:rPr>
            </w:pPr>
            <w:r>
              <w:rPr>
                <w:rFonts w:ascii="Arial" w:cs="Arial" w:eastAsia="Arial" w:hAnsi="Arial"/>
                <w:sz w:val="17"/>
                <w:szCs w:val="17"/>
                <w:color w:val="auto"/>
              </w:rPr>
              <w:t>Expected option life in years</w:t>
            </w:r>
          </w:p>
        </w:tc>
        <w:tc>
          <w:tcPr>
            <w:tcW w:w="2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412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per share</w:t>
            </w:r>
          </w:p>
        </w:tc>
        <w:tc>
          <w:tcPr>
            <w:tcW w:w="3220" w:type="dxa"/>
            <w:vAlign w:val="bottom"/>
            <w:gridSpan w:val="2"/>
            <w:shd w:val="clear" w:color="auto" w:fill="CFF0FC"/>
          </w:tcPr>
          <w:p>
            <w:pPr>
              <w:jc w:val="right"/>
              <w:ind w:right="714"/>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3"/>
              </w:rPr>
              <w:t>17.45</w:t>
            </w:r>
          </w:p>
        </w:tc>
        <w:tc>
          <w:tcPr>
            <w:tcW w:w="2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25.96</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34.20</w:t>
            </w:r>
          </w:p>
        </w:tc>
        <w:tc>
          <w:tcPr>
            <w:tcW w:w="3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620"/>
        </w:trPr>
        <w:tc>
          <w:tcPr>
            <w:tcW w:w="4120" w:type="dxa"/>
            <w:vAlign w:val="bottom"/>
          </w:tcPr>
          <w:p>
            <w:pPr>
              <w:spacing w:after="0"/>
              <w:rPr>
                <w:sz w:val="24"/>
                <w:szCs w:val="24"/>
                <w:color w:val="auto"/>
              </w:rPr>
            </w:pPr>
          </w:p>
        </w:tc>
        <w:tc>
          <w:tcPr>
            <w:tcW w:w="2340" w:type="dxa"/>
            <w:vAlign w:val="bottom"/>
          </w:tcPr>
          <w:p>
            <w:pPr>
              <w:jc w:val="right"/>
              <w:ind w:right="574"/>
              <w:spacing w:after="0"/>
              <w:rPr>
                <w:sz w:val="20"/>
                <w:szCs w:val="20"/>
                <w:color w:val="auto"/>
              </w:rPr>
            </w:pPr>
            <w:r>
              <w:rPr>
                <w:rFonts w:ascii="Arial" w:cs="Arial" w:eastAsia="Arial" w:hAnsi="Arial"/>
                <w:sz w:val="17"/>
                <w:szCs w:val="17"/>
                <w:color w:val="auto"/>
              </w:rPr>
              <w:t>49</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41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The following table summarizes information related to options outstanding and options exercisable as of December 31, 2016: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38"/>
        </w:trPr>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color w:val="auto"/>
              </w:rPr>
              <w:t>Options Outstanding</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120"/>
              <w:spacing w:after="0"/>
              <w:rPr>
                <w:sz w:val="20"/>
                <w:szCs w:val="20"/>
                <w:color w:val="auto"/>
              </w:rPr>
            </w:pPr>
            <w:r>
              <w:rPr>
                <w:rFonts w:ascii="Arial" w:cs="Arial" w:eastAsia="Arial" w:hAnsi="Arial"/>
                <w:sz w:val="17"/>
                <w:szCs w:val="17"/>
                <w:color w:val="auto"/>
                <w:w w:val="92"/>
              </w:rPr>
              <w:t>Options Exercisable</w:t>
            </w:r>
          </w:p>
        </w:tc>
      </w:tr>
      <w:tr>
        <w:trPr>
          <w:trHeight w:val="213"/>
        </w:trPr>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90"/>
              </w:rPr>
              <w:t>Weighted-</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Average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Remaining</w:t>
            </w:r>
          </w:p>
        </w:tc>
        <w:tc>
          <w:tcPr>
            <w:tcW w:w="12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color w:val="auto"/>
                <w:w w:val="92"/>
              </w:rPr>
              <w:t>Weighted-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Weighted-</w:t>
            </w:r>
          </w:p>
        </w:tc>
      </w:tr>
      <w:tr>
        <w:trPr>
          <w:trHeight w:val="220"/>
        </w:trPr>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Options</w:t>
            </w:r>
          </w:p>
        </w:tc>
        <w:tc>
          <w:tcPr>
            <w:tcW w:w="170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Contractual Life</w:t>
            </w:r>
          </w:p>
        </w:tc>
        <w:tc>
          <w:tcPr>
            <w:tcW w:w="1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color w:val="auto"/>
                <w:w w:val="91"/>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Options</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Average</w:t>
            </w:r>
          </w:p>
        </w:tc>
      </w:tr>
      <w:tr>
        <w:trPr>
          <w:trHeight w:val="181"/>
        </w:trPr>
        <w:tc>
          <w:tcPr>
            <w:tcW w:w="4340" w:type="dxa"/>
            <w:vAlign w:val="bottom"/>
            <w:gridSpan w:val="3"/>
          </w:tcPr>
          <w:p>
            <w:pPr>
              <w:spacing w:after="0" w:line="180" w:lineRule="exact"/>
              <w:rPr>
                <w:sz w:val="20"/>
                <w:szCs w:val="20"/>
                <w:color w:val="auto"/>
              </w:rPr>
            </w:pPr>
            <w:r>
              <w:rPr>
                <w:rFonts w:ascii="Arial" w:cs="Arial" w:eastAsia="Arial" w:hAnsi="Arial"/>
                <w:sz w:val="17"/>
                <w:szCs w:val="17"/>
                <w:color w:val="auto"/>
              </w:rPr>
              <w:t>Exercise prices range</w:t>
            </w:r>
          </w:p>
        </w:tc>
        <w:tc>
          <w:tcPr>
            <w:tcW w:w="1300" w:type="dxa"/>
            <w:vAlign w:val="bottom"/>
            <w:gridSpan w:val="2"/>
          </w:tcPr>
          <w:p>
            <w:pPr>
              <w:jc w:val="center"/>
              <w:ind w:right="260"/>
              <w:spacing w:after="0" w:line="180" w:lineRule="exact"/>
              <w:rPr>
                <w:sz w:val="20"/>
                <w:szCs w:val="20"/>
                <w:color w:val="auto"/>
              </w:rPr>
            </w:pPr>
            <w:r>
              <w:rPr>
                <w:rFonts w:ascii="Arial" w:cs="Arial" w:eastAsia="Arial" w:hAnsi="Arial"/>
                <w:sz w:val="17"/>
                <w:szCs w:val="17"/>
                <w:color w:val="auto"/>
                <w:w w:val="91"/>
              </w:rPr>
              <w:t>Outstanding</w:t>
            </w:r>
          </w:p>
        </w:tc>
        <w:tc>
          <w:tcPr>
            <w:tcW w:w="1700" w:type="dxa"/>
            <w:vAlign w:val="bottom"/>
            <w:gridSpan w:val="2"/>
          </w:tcPr>
          <w:p>
            <w:pPr>
              <w:jc w:val="center"/>
              <w:ind w:right="240"/>
              <w:spacing w:after="0" w:line="180" w:lineRule="exact"/>
              <w:rPr>
                <w:sz w:val="20"/>
                <w:szCs w:val="20"/>
                <w:color w:val="auto"/>
              </w:rPr>
            </w:pPr>
            <w:r>
              <w:rPr>
                <w:rFonts w:ascii="Arial" w:cs="Arial" w:eastAsia="Arial" w:hAnsi="Arial"/>
                <w:sz w:val="17"/>
                <w:szCs w:val="17"/>
                <w:color w:val="auto"/>
                <w:w w:val="93"/>
              </w:rPr>
              <w:t>(in years)</w:t>
            </w:r>
          </w:p>
        </w:tc>
        <w:tc>
          <w:tcPr>
            <w:tcW w:w="120" w:type="dxa"/>
            <w:vAlign w:val="bottom"/>
          </w:tcPr>
          <w:p>
            <w:pPr>
              <w:spacing w:after="0"/>
              <w:rPr>
                <w:sz w:val="15"/>
                <w:szCs w:val="15"/>
                <w:color w:val="auto"/>
              </w:rPr>
            </w:pPr>
          </w:p>
        </w:tc>
        <w:tc>
          <w:tcPr>
            <w:tcW w:w="1380" w:type="dxa"/>
            <w:vAlign w:val="bottom"/>
            <w:gridSpan w:val="2"/>
          </w:tcPr>
          <w:p>
            <w:pPr>
              <w:jc w:val="center"/>
              <w:ind w:right="360"/>
              <w:spacing w:after="0" w:line="180" w:lineRule="exact"/>
              <w:rPr>
                <w:sz w:val="20"/>
                <w:szCs w:val="20"/>
                <w:color w:val="auto"/>
              </w:rPr>
            </w:pPr>
            <w:r>
              <w:rPr>
                <w:rFonts w:ascii="Arial" w:cs="Arial" w:eastAsia="Arial" w:hAnsi="Arial"/>
                <w:sz w:val="17"/>
                <w:szCs w:val="17"/>
                <w:color w:val="auto"/>
                <w:w w:val="90"/>
              </w:rPr>
              <w:t>Exercise Price</w:t>
            </w:r>
          </w:p>
        </w:tc>
        <w:tc>
          <w:tcPr>
            <w:tcW w:w="1220" w:type="dxa"/>
            <w:vAlign w:val="bottom"/>
            <w:gridSpan w:val="2"/>
          </w:tcPr>
          <w:p>
            <w:pPr>
              <w:jc w:val="center"/>
              <w:ind w:right="220"/>
              <w:spacing w:after="0" w:line="180" w:lineRule="exact"/>
              <w:rPr>
                <w:sz w:val="20"/>
                <w:szCs w:val="20"/>
                <w:color w:val="auto"/>
              </w:rPr>
            </w:pPr>
            <w:r>
              <w:rPr>
                <w:rFonts w:ascii="Arial" w:cs="Arial" w:eastAsia="Arial" w:hAnsi="Arial"/>
                <w:sz w:val="17"/>
                <w:szCs w:val="17"/>
                <w:color w:val="auto"/>
                <w:w w:val="91"/>
              </w:rPr>
              <w:t>Exercisable</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80" w:lineRule="exact"/>
              <w:rPr>
                <w:sz w:val="20"/>
                <w:szCs w:val="20"/>
                <w:color w:val="auto"/>
              </w:rPr>
            </w:pPr>
            <w:r>
              <w:rPr>
                <w:rFonts w:ascii="Arial" w:cs="Arial" w:eastAsia="Arial" w:hAnsi="Arial"/>
                <w:sz w:val="17"/>
                <w:szCs w:val="17"/>
                <w:color w:val="auto"/>
                <w:w w:val="90"/>
              </w:rPr>
              <w:t>Exercise Price</w:t>
            </w:r>
          </w:p>
        </w:tc>
      </w:tr>
      <w:tr>
        <w:trPr>
          <w:trHeight w:val="20"/>
        </w:trPr>
        <w:tc>
          <w:tcPr>
            <w:tcW w:w="500" w:type="dxa"/>
            <w:vAlign w:val="bottom"/>
            <w:tcBorders>
              <w:top w:val="single" w:sz="8" w:color="auto"/>
              <w:bottom w:val="single" w:sz="8" w:color="CFF0FC"/>
            </w:tcBorders>
          </w:tcPr>
          <w:p>
            <w:pPr>
              <w:spacing w:after="0" w:line="20" w:lineRule="exact"/>
              <w:rPr>
                <w:sz w:val="1"/>
                <w:szCs w:val="1"/>
                <w:color w:val="auto"/>
              </w:rPr>
            </w:pPr>
          </w:p>
        </w:tc>
        <w:tc>
          <w:tcPr>
            <w:tcW w:w="980" w:type="dxa"/>
            <w:vAlign w:val="bottom"/>
            <w:tcBorders>
              <w:top w:val="single" w:sz="8" w:color="auto"/>
              <w:bottom w:val="single" w:sz="8" w:color="CFF0FC"/>
            </w:tcBorders>
          </w:tcPr>
          <w:p>
            <w:pPr>
              <w:spacing w:after="0" w:line="20" w:lineRule="exact"/>
              <w:rPr>
                <w:sz w:val="1"/>
                <w:szCs w:val="1"/>
                <w:color w:val="auto"/>
              </w:rPr>
            </w:pPr>
          </w:p>
        </w:tc>
        <w:tc>
          <w:tcPr>
            <w:tcW w:w="286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1"/>
        </w:trPr>
        <w:tc>
          <w:tcPr>
            <w:tcW w:w="1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$37.85 - $67.87</w:t>
            </w:r>
          </w:p>
        </w:tc>
        <w:tc>
          <w:tcPr>
            <w:tcW w:w="28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6,526</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52.78</w:t>
            </w:r>
          </w:p>
        </w:tc>
        <w:tc>
          <w:tcPr>
            <w:tcW w:w="100" w:type="dxa"/>
            <w:vAlign w:val="bottom"/>
            <w:shd w:val="clear" w:color="auto" w:fill="CFF0FC"/>
          </w:tcPr>
          <w:p>
            <w:pPr>
              <w:spacing w:after="0"/>
              <w:rPr>
                <w:sz w:val="18"/>
                <w:szCs w:val="18"/>
                <w:color w:val="auto"/>
              </w:rPr>
            </w:pPr>
          </w:p>
        </w:tc>
      </w:tr>
      <w:tr>
        <w:trPr>
          <w:trHeight w:val="220"/>
        </w:trPr>
        <w:tc>
          <w:tcPr>
            <w:tcW w:w="500" w:type="dxa"/>
            <w:vAlign w:val="bottom"/>
          </w:tcPr>
          <w:p>
            <w:pPr>
              <w:spacing w:after="0"/>
              <w:rPr>
                <w:sz w:val="20"/>
                <w:szCs w:val="20"/>
                <w:color w:val="auto"/>
              </w:rPr>
            </w:pPr>
            <w:r>
              <w:rPr>
                <w:rFonts w:ascii="Arial" w:cs="Arial" w:eastAsia="Arial" w:hAnsi="Arial"/>
                <w:sz w:val="17"/>
                <w:szCs w:val="17"/>
                <w:color w:val="auto"/>
                <w:w w:val="92"/>
              </w:rPr>
              <w:t>$68.51</w:t>
            </w:r>
          </w:p>
        </w:tc>
        <w:tc>
          <w:tcPr>
            <w:tcW w:w="980" w:type="dxa"/>
            <w:vAlign w:val="bottom"/>
          </w:tcPr>
          <w:p>
            <w:pPr>
              <w:ind w:left="20"/>
              <w:spacing w:after="0"/>
              <w:rPr>
                <w:sz w:val="20"/>
                <w:szCs w:val="20"/>
                <w:color w:val="auto"/>
              </w:rPr>
            </w:pPr>
            <w:r>
              <w:rPr>
                <w:rFonts w:ascii="Arial" w:cs="Arial" w:eastAsia="Arial" w:hAnsi="Arial"/>
                <w:sz w:val="17"/>
                <w:szCs w:val="17"/>
                <w:color w:val="auto"/>
              </w:rPr>
              <w:t>- $72.00</w:t>
            </w:r>
          </w:p>
        </w:tc>
        <w:tc>
          <w:tcPr>
            <w:tcW w:w="2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7,501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70.08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5,761</w:t>
            </w:r>
          </w:p>
        </w:tc>
        <w:tc>
          <w:tcPr>
            <w:tcW w:w="2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69.79</w:t>
            </w:r>
          </w:p>
        </w:tc>
        <w:tc>
          <w:tcPr>
            <w:tcW w:w="100" w:type="dxa"/>
            <w:vAlign w:val="bottom"/>
          </w:tcPr>
          <w:p>
            <w:pPr>
              <w:spacing w:after="0"/>
              <w:rPr>
                <w:sz w:val="19"/>
                <w:szCs w:val="19"/>
                <w:color w:val="auto"/>
              </w:rPr>
            </w:pPr>
          </w:p>
        </w:tc>
      </w:tr>
      <w:tr>
        <w:trPr>
          <w:trHeight w:val="220"/>
        </w:trPr>
        <w:tc>
          <w:tcPr>
            <w:tcW w:w="1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$72.11 - $79.85</w:t>
            </w:r>
          </w:p>
        </w:tc>
        <w:tc>
          <w:tcPr>
            <w:tcW w:w="28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8,767</w:t>
            </w: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74.01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72.82</w:t>
            </w:r>
          </w:p>
        </w:tc>
        <w:tc>
          <w:tcPr>
            <w:tcW w:w="100" w:type="dxa"/>
            <w:vAlign w:val="bottom"/>
            <w:shd w:val="clear" w:color="auto" w:fill="CFF0FC"/>
          </w:tcPr>
          <w:p>
            <w:pPr>
              <w:spacing w:after="0"/>
              <w:rPr>
                <w:sz w:val="19"/>
                <w:szCs w:val="19"/>
                <w:color w:val="auto"/>
              </w:rPr>
            </w:pPr>
          </w:p>
        </w:tc>
      </w:tr>
      <w:tr>
        <w:trPr>
          <w:trHeight w:val="220"/>
        </w:trPr>
        <w:tc>
          <w:tcPr>
            <w:tcW w:w="500" w:type="dxa"/>
            <w:vAlign w:val="bottom"/>
          </w:tcPr>
          <w:p>
            <w:pPr>
              <w:spacing w:after="0"/>
              <w:rPr>
                <w:sz w:val="20"/>
                <w:szCs w:val="20"/>
                <w:color w:val="auto"/>
              </w:rPr>
            </w:pPr>
            <w:r>
              <w:rPr>
                <w:rFonts w:ascii="Arial" w:cs="Arial" w:eastAsia="Arial" w:hAnsi="Arial"/>
                <w:sz w:val="17"/>
                <w:szCs w:val="17"/>
                <w:color w:val="auto"/>
                <w:w w:val="92"/>
              </w:rPr>
              <w:t>$80.53</w:t>
            </w:r>
          </w:p>
        </w:tc>
        <w:tc>
          <w:tcPr>
            <w:tcW w:w="980" w:type="dxa"/>
            <w:vAlign w:val="bottom"/>
          </w:tcPr>
          <w:p>
            <w:pPr>
              <w:ind w:left="20"/>
              <w:spacing w:after="0"/>
              <w:rPr>
                <w:sz w:val="20"/>
                <w:szCs w:val="20"/>
                <w:color w:val="auto"/>
              </w:rPr>
            </w:pPr>
            <w:r>
              <w:rPr>
                <w:rFonts w:ascii="Arial" w:cs="Arial" w:eastAsia="Arial" w:hAnsi="Arial"/>
                <w:sz w:val="17"/>
                <w:szCs w:val="17"/>
                <w:color w:val="auto"/>
              </w:rPr>
              <w:t>- $84.93</w:t>
            </w:r>
          </w:p>
        </w:tc>
        <w:tc>
          <w:tcPr>
            <w:tcW w:w="28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12,375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82.72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7,093</w:t>
            </w:r>
          </w:p>
        </w:tc>
        <w:tc>
          <w:tcPr>
            <w:tcW w:w="2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84.17</w:t>
            </w:r>
          </w:p>
        </w:tc>
        <w:tc>
          <w:tcPr>
            <w:tcW w:w="100" w:type="dxa"/>
            <w:vAlign w:val="bottom"/>
          </w:tcPr>
          <w:p>
            <w:pPr>
              <w:spacing w:after="0"/>
              <w:rPr>
                <w:sz w:val="19"/>
                <w:szCs w:val="19"/>
                <w:color w:val="auto"/>
              </w:rPr>
            </w:pPr>
          </w:p>
        </w:tc>
      </w:tr>
      <w:tr>
        <w:trPr>
          <w:trHeight w:val="220"/>
        </w:trPr>
        <w:tc>
          <w:tcPr>
            <w:tcW w:w="500" w:type="dxa"/>
            <w:vAlign w:val="bottom"/>
            <w:shd w:val="clear" w:color="auto" w:fill="CFF0FC"/>
          </w:tcPr>
          <w:p>
            <w:pPr>
              <w:spacing w:after="0"/>
              <w:rPr>
                <w:sz w:val="20"/>
                <w:szCs w:val="20"/>
                <w:color w:val="auto"/>
              </w:rPr>
            </w:pPr>
            <w:r>
              <w:rPr>
                <w:rFonts w:ascii="Arial" w:cs="Arial" w:eastAsia="Arial" w:hAnsi="Arial"/>
                <w:sz w:val="17"/>
                <w:szCs w:val="17"/>
                <w:color w:val="auto"/>
                <w:w w:val="92"/>
              </w:rPr>
              <w:t>$88.61</w:t>
            </w:r>
          </w:p>
        </w:tc>
        <w:tc>
          <w:tcPr>
            <w:tcW w:w="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 $114.83</w:t>
            </w:r>
          </w:p>
        </w:tc>
        <w:tc>
          <w:tcPr>
            <w:tcW w:w="28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11,333</w:t>
            </w:r>
          </w:p>
        </w:tc>
        <w:tc>
          <w:tcPr>
            <w:tcW w:w="24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95.37</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95.89</w:t>
            </w:r>
          </w:p>
        </w:tc>
        <w:tc>
          <w:tcPr>
            <w:tcW w:w="100" w:type="dxa"/>
            <w:vAlign w:val="bottom"/>
            <w:shd w:val="clear" w:color="auto" w:fill="CFF0FC"/>
          </w:tcPr>
          <w:p>
            <w:pPr>
              <w:spacing w:after="0"/>
              <w:rPr>
                <w:sz w:val="19"/>
                <w:szCs w:val="19"/>
                <w:color w:val="auto"/>
              </w:rPr>
            </w:pPr>
          </w:p>
        </w:tc>
      </w:tr>
      <w:tr>
        <w:trPr>
          <w:trHeight w:val="213"/>
        </w:trPr>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46,502</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75.91</w:t>
            </w: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remaining contractual life of stock options exercisable as of December 31, 2016 was 4.5 years.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during the years ended December 31, 2016, 2015 and 2014:</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ind w:left="480"/>
              <w:spacing w:after="0"/>
              <w:rPr>
                <w:sz w:val="20"/>
                <w:szCs w:val="20"/>
                <w:color w:val="auto"/>
              </w:rPr>
            </w:pPr>
            <w:r>
              <w:rPr>
                <w:rFonts w:ascii="Arial" w:cs="Arial" w:eastAsia="Arial" w:hAnsi="Arial"/>
                <w:sz w:val="14"/>
                <w:szCs w:val="14"/>
                <w:i w:val="1"/>
                <w:iCs w:val="1"/>
                <w:color w:val="auto"/>
                <w:w w:val="92"/>
              </w:rPr>
              <w:t>(Shares stated in thousands)</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2016</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rPr>
              <w:t>2015</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rPr>
              <w:t>2014</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Weighted-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Average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Average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Exercise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Exercise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Exercise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Shares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1"/>
              </w:rPr>
              <w:t>Price</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Shares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7"/>
              </w:rPr>
              <w:t>Price</w:t>
            </w: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Shares</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2"/>
              </w:rPr>
              <w:t>Price</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41,087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78.73</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38,583</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76.10</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41,939</w:t>
            </w:r>
          </w:p>
        </w:tc>
        <w:tc>
          <w:tcPr>
            <w:tcW w:w="20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7,672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76.14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7,118</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86.86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6,105</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Assumed in Cameron transaction</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3,088</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63.24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spacing w:after="0"/>
              <w:rPr>
                <w:sz w:val="20"/>
                <w:szCs w:val="20"/>
                <w:color w:val="auto"/>
              </w:rPr>
            </w:pPr>
            <w:r>
              <w:rPr>
                <w:rFonts w:ascii="Arial" w:cs="Arial" w:eastAsia="Arial" w:hAnsi="Arial"/>
                <w:sz w:val="17"/>
                <w:szCs w:val="17"/>
                <w:color w:val="auto"/>
              </w:rPr>
              <w:t>Exercised</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(3,357)</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60.70</w:t>
            </w: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(2,561)</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60.10</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(8,269)</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Forfeited</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(1,988)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84.60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(2,053)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80.34</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(1,192)</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Outstanding at year-end</w:t>
            </w: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46,502</w:t>
            </w:r>
          </w:p>
        </w:tc>
        <w:tc>
          <w:tcPr>
            <w:tcW w:w="1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78.31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41,087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78.73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38,583</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The aggregate intrinsic value of stock options outstanding and stock options exercisable as of December 31, 2016 was $393 million and $280 million,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total intrinsic value of options exercised during the years ended December 31, 2016, 2015 and 2014 was $45 million, $62 million and $314 million, respectively.</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w:t>
      </w:r>
    </w:p>
    <w:p>
      <w:pPr>
        <w:spacing w:after="0" w:line="115"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Schlumberger grants performance share units to certain executives. The number of shares earned is determined at the end of each performance period, which is generally three years, based on Schlumberger’s achievement of certain predefined targets as defined in the underlying performance share unit agreement. In the event Schlumberger exceeds the predefined target, shares for up to the maximum of 250% of the target award may be granted. In the event Schlumberger falls below the predefined target, a reduced number of shares may be granted. If Schlumberger falls below the threshold award performance level, no shares will be granted. As of December 31, 2016, 1.0 million performance share units were outstanding based on the achievement of 100% of target.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All other restricted stock awards generally vest at the end of three years.</w:t>
      </w:r>
    </w:p>
    <w:p>
      <w:pPr>
        <w:spacing w:after="0" w:line="218" w:lineRule="exact"/>
        <w:rPr>
          <w:sz w:val="20"/>
          <w:szCs w:val="20"/>
          <w:color w:val="auto"/>
        </w:rPr>
      </w:pPr>
    </w:p>
    <w:p>
      <w:pPr>
        <w:jc w:val="both"/>
        <w:ind w:right="60"/>
        <w:spacing w:after="0" w:line="283" w:lineRule="auto"/>
        <w:rPr>
          <w:sz w:val="20"/>
          <w:szCs w:val="20"/>
          <w:color w:val="auto"/>
        </w:rPr>
      </w:pPr>
      <w:r>
        <w:rPr>
          <w:rFonts w:ascii="Arial" w:cs="Arial" w:eastAsia="Arial" w:hAnsi="Arial"/>
          <w:sz w:val="17"/>
          <w:szCs w:val="17"/>
          <w:color w:val="auto"/>
        </w:rPr>
        <w:t>Restricted stock awards do not pay dividends or have voting rights prior to vesting. Accordingly, the fair value of a restricted stock award is the quoted market price of Schlumberger’s stock on the date of grant less the present value of the expected dividends not received prior to vesting.</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80"/>
          </w:cols>
          <w:pgMar w:left="240" w:top="166" w:right="17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The following table summarizes information related to restricted stock transactions: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i w:val="1"/>
                <w:iCs w:val="1"/>
                <w:color w:val="auto"/>
              </w:rPr>
              <w:t>(Shares stated in thousand</w:t>
            </w:r>
          </w:p>
        </w:tc>
      </w:tr>
      <w:tr>
        <w:trPr>
          <w:trHeight w:val="438"/>
        </w:trPr>
        <w:tc>
          <w:tcPr>
            <w:tcW w:w="4660" w:type="dxa"/>
            <w:vAlign w:val="bottom"/>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2016</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2015</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2014</w:t>
            </w:r>
          </w:p>
        </w:tc>
        <w:tc>
          <w:tcPr>
            <w:tcW w:w="760" w:type="dxa"/>
            <w:vAlign w:val="bottom"/>
            <w:tcBorders>
              <w:bottom w:val="single" w:sz="8" w:color="auto"/>
            </w:tcBorders>
          </w:tcPr>
          <w:p>
            <w:pPr>
              <w:spacing w:after="0"/>
              <w:rPr>
                <w:sz w:val="24"/>
                <w:szCs w:val="24"/>
                <w:color w:val="auto"/>
              </w:rPr>
            </w:pPr>
          </w:p>
        </w:tc>
      </w:tr>
      <w:tr>
        <w:trPr>
          <w:trHeight w:val="207"/>
        </w:trPr>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7"/>
                <w:szCs w:val="17"/>
                <w:b w:val="1"/>
                <w:bCs w:val="1"/>
                <w:color w:val="auto"/>
                <w:w w:val="92"/>
              </w:rPr>
              <w:t>Weighted-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color w:val="auto"/>
                <w:w w:val="92"/>
              </w:rPr>
              <w:t>Weighted-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2"/>
              </w:rPr>
              <w:t>Weighted-</w:t>
            </w:r>
          </w:p>
        </w:tc>
      </w:tr>
      <w:tr>
        <w:trPr>
          <w:trHeight w:val="220"/>
        </w:trPr>
        <w:tc>
          <w:tcPr>
            <w:tcW w:w="4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Average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Average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Average</w:t>
            </w:r>
          </w:p>
        </w:tc>
      </w:tr>
      <w:tr>
        <w:trPr>
          <w:trHeight w:val="220"/>
        </w:trPr>
        <w:tc>
          <w:tcPr>
            <w:tcW w:w="46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Restricted</w:t>
            </w:r>
          </w:p>
        </w:tc>
        <w:tc>
          <w:tcPr>
            <w:tcW w:w="12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Grant Date</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Restricted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Grant Date</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Restricted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8"/>
              </w:rPr>
              <w:t>Grant Date</w:t>
            </w:r>
          </w:p>
        </w:tc>
      </w:tr>
      <w:tr>
        <w:trPr>
          <w:trHeight w:val="225"/>
        </w:trPr>
        <w:tc>
          <w:tcPr>
            <w:tcW w:w="46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Stock</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5"/>
              </w:rPr>
              <w:t>Fair Value</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Stock</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2"/>
              </w:rPr>
              <w:t>Fair Value</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Stock</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Fair Value</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Unvested at beginning of year</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3,571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85.04</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80.80</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76.0</w:t>
            </w:r>
          </w:p>
        </w:tc>
      </w:tr>
      <w:tr>
        <w:trPr>
          <w:trHeight w:val="220"/>
        </w:trPr>
        <w:tc>
          <w:tcPr>
            <w:tcW w:w="4660" w:type="dxa"/>
            <w:vAlign w:val="bottom"/>
          </w:tcPr>
          <w:p>
            <w:pPr>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1,678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68.66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82.37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1,341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96.0</w:t>
            </w:r>
          </w:p>
        </w:tc>
      </w:tr>
      <w:tr>
        <w:trPr>
          <w:trHeight w:val="220"/>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Assumed in Cameron transaction</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72.12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spacing w:after="0"/>
              <w:rPr>
                <w:sz w:val="19"/>
                <w:szCs w:val="19"/>
                <w:color w:val="auto"/>
              </w:rPr>
            </w:pPr>
          </w:p>
        </w:tc>
      </w:tr>
      <w:tr>
        <w:trPr>
          <w:trHeight w:val="220"/>
        </w:trPr>
        <w:tc>
          <w:tcPr>
            <w:tcW w:w="4660" w:type="dxa"/>
            <w:vAlign w:val="bottom"/>
          </w:tcPr>
          <w:p>
            <w:pPr>
              <w:spacing w:after="0"/>
              <w:rPr>
                <w:sz w:val="20"/>
                <w:szCs w:val="20"/>
                <w:color w:val="auto"/>
              </w:rPr>
            </w:pPr>
            <w:r>
              <w:rPr>
                <w:rFonts w:ascii="Arial" w:cs="Arial" w:eastAsia="Arial" w:hAnsi="Arial"/>
                <w:sz w:val="17"/>
                <w:szCs w:val="17"/>
                <w:color w:val="auto"/>
              </w:rPr>
              <w:t>Vested</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(1,720)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72.64</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(1,495)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71.30</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(1,186)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81.5</w:t>
            </w:r>
          </w:p>
        </w:tc>
      </w:tr>
      <w:tr>
        <w:trPr>
          <w:trHeight w:val="220"/>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Forfeited</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(241)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80.87</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83.86</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78.6</w:t>
            </w:r>
          </w:p>
        </w:tc>
      </w:tr>
      <w:tr>
        <w:trPr>
          <w:trHeight w:val="213"/>
        </w:trPr>
        <w:tc>
          <w:tcPr>
            <w:tcW w:w="4660" w:type="dxa"/>
            <w:vAlign w:val="bottom"/>
          </w:tcPr>
          <w:p>
            <w:pPr>
              <w:spacing w:after="0"/>
              <w:rPr>
                <w:sz w:val="20"/>
                <w:szCs w:val="20"/>
                <w:color w:val="auto"/>
              </w:rPr>
            </w:pPr>
            <w:r>
              <w:rPr>
                <w:rFonts w:ascii="Arial" w:cs="Arial" w:eastAsia="Arial" w:hAnsi="Arial"/>
                <w:sz w:val="17"/>
                <w:szCs w:val="17"/>
                <w:color w:val="auto"/>
              </w:rPr>
              <w:t>Unvested at year-end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5,112</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78.31</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85.04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Discounted Stock Purchase Plan</w:t>
      </w:r>
    </w:p>
    <w:p>
      <w:pPr>
        <w:spacing w:after="0" w:line="115" w:lineRule="exact"/>
        <w:rPr>
          <w:sz w:val="20"/>
          <w:szCs w:val="20"/>
          <w:color w:val="auto"/>
        </w:rPr>
      </w:pPr>
    </w:p>
    <w:p>
      <w:pPr>
        <w:ind w:right="100"/>
        <w:spacing w:after="0" w:line="315"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37"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fair value of the employees’ purchase rights under the DSPP was estimated using the Black-Scholes model with the following assumptions and resulting weighted-average fair value per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2014</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Dividend yield</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2.3%</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1.6%</w:t>
            </w: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19%</w:t>
            </w: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0.2%</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0.1%</w:t>
            </w:r>
          </w:p>
        </w:tc>
      </w:tr>
      <w:tr>
        <w:trPr>
          <w:trHeight w:val="225"/>
        </w:trPr>
        <w:tc>
          <w:tcPr>
            <w:tcW w:w="6560" w:type="dxa"/>
            <w:vAlign w:val="bottom"/>
          </w:tcPr>
          <w:p>
            <w:pPr>
              <w:spacing w:after="0"/>
              <w:rPr>
                <w:sz w:val="20"/>
                <w:szCs w:val="20"/>
                <w:color w:val="auto"/>
              </w:rPr>
            </w:pPr>
            <w:r>
              <w:rPr>
                <w:rFonts w:ascii="Arial" w:cs="Arial" w:eastAsia="Arial" w:hAnsi="Arial"/>
                <w:sz w:val="17"/>
                <w:szCs w:val="17"/>
                <w:color w:val="auto"/>
              </w:rPr>
              <w:t>Weighted-average fair value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10.37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gridSpan w:val="3"/>
          </w:tcPr>
          <w:p>
            <w:pPr>
              <w:jc w:val="right"/>
              <w:ind w:right="16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37"/>
        </w:trPr>
        <w:tc>
          <w:tcPr>
            <w:tcW w:w="6560" w:type="dxa"/>
            <w:vAlign w:val="bottom"/>
          </w:tcPr>
          <w:p>
            <w:pPr>
              <w:spacing w:after="0"/>
              <w:rPr>
                <w:sz w:val="20"/>
                <w:szCs w:val="20"/>
                <w:color w:val="auto"/>
              </w:rPr>
            </w:pPr>
            <w:r>
              <w:rPr>
                <w:rFonts w:ascii="Arial" w:cs="Arial" w:eastAsia="Arial" w:hAnsi="Arial"/>
                <w:sz w:val="17"/>
                <w:szCs w:val="17"/>
                <w:b w:val="1"/>
                <w:bCs w:val="1"/>
                <w:i w:val="1"/>
                <w:iCs w:val="1"/>
                <w:color w:val="auto"/>
              </w:rPr>
              <w:t>Total Stock-based Compensation Expense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6560" w:type="dxa"/>
            <w:vAlign w:val="bottom"/>
          </w:tcPr>
          <w:p>
            <w:pPr>
              <w:spacing w:after="0"/>
              <w:rPr>
                <w:sz w:val="20"/>
                <w:szCs w:val="20"/>
                <w:color w:val="auto"/>
              </w:rPr>
            </w:pPr>
            <w:r>
              <w:rPr>
                <w:rFonts w:ascii="Arial" w:cs="Arial" w:eastAsia="Arial" w:hAnsi="Arial"/>
                <w:sz w:val="17"/>
                <w:szCs w:val="17"/>
                <w:color w:val="auto"/>
              </w:rPr>
              <w:t>The following summarizes stock-based compensation expense recognized in income: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6"/>
        </w:trPr>
        <w:tc>
          <w:tcPr>
            <w:tcW w:w="6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25"/>
        </w:trPr>
        <w:tc>
          <w:tcPr>
            <w:tcW w:w="656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2015</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Stock options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175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22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FF0FC"/>
          </w:tcPr>
          <w:p>
            <w:pPr>
              <w:spacing w:after="0"/>
              <w:rPr>
                <w:sz w:val="18"/>
                <w:szCs w:val="18"/>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Restricted stock</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DSPP</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FF0FC"/>
          </w:tcPr>
          <w:p>
            <w:pPr>
              <w:spacing w:after="0"/>
              <w:rPr>
                <w:sz w:val="19"/>
                <w:szCs w:val="19"/>
                <w:color w:val="auto"/>
              </w:rPr>
            </w:pPr>
          </w:p>
        </w:tc>
      </w:tr>
      <w:tr>
        <w:trPr>
          <w:trHeight w:val="213"/>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267</w:t>
            </w: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220" w:type="dxa"/>
            <w:vAlign w:val="bottom"/>
          </w:tcPr>
          <w:p>
            <w:pPr>
              <w:spacing w:after="0"/>
              <w:rPr>
                <w:sz w:val="18"/>
                <w:szCs w:val="18"/>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100"/>
        <w:spacing w:after="0" w:line="283" w:lineRule="auto"/>
        <w:rPr>
          <w:sz w:val="20"/>
          <w:szCs w:val="20"/>
          <w:color w:val="auto"/>
        </w:rPr>
      </w:pPr>
      <w:r>
        <w:rPr>
          <w:rFonts w:ascii="Arial" w:cs="Arial" w:eastAsia="Arial" w:hAnsi="Arial"/>
          <w:sz w:val="17"/>
          <w:szCs w:val="17"/>
          <w:color w:val="auto"/>
        </w:rPr>
        <w:t>At December 31, 2016, there was $480 million of total unrecognized compensation cost related to nonvested stock-based compensation arrangements, of which $212 million is expected to be recognized in 2017, $157 million in 2018, $74 million in 2019, $31 million in 2020 and $6 million in 2021.</w:t>
      </w:r>
    </w:p>
    <w:p>
      <w:pPr>
        <w:spacing w:after="0" w:line="159" w:lineRule="exact"/>
        <w:rPr>
          <w:sz w:val="20"/>
          <w:szCs w:val="20"/>
          <w:color w:val="auto"/>
        </w:rPr>
      </w:pPr>
    </w:p>
    <w:p>
      <w:pPr>
        <w:jc w:val="both"/>
        <w:ind w:right="100"/>
        <w:spacing w:after="0" w:line="283" w:lineRule="auto"/>
        <w:rPr>
          <w:sz w:val="20"/>
          <w:szCs w:val="20"/>
          <w:color w:val="auto"/>
        </w:rPr>
      </w:pPr>
      <w:r>
        <w:rPr>
          <w:rFonts w:ascii="Arial" w:cs="Arial" w:eastAsia="Arial" w:hAnsi="Arial"/>
          <w:sz w:val="17"/>
          <w:szCs w:val="17"/>
          <w:color w:val="auto"/>
        </w:rPr>
        <w:t>As of December 31, 2016, approximately 20 million shares of Schlumberger common stock were available for future grants under Schlumberger’s stock-based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334" w:right="139" w:bottom="1440" w:gutter="0" w:footer="0" w:header="0"/>
        </w:sectPr>
      </w:pPr>
    </w:p>
    <w:bookmarkStart w:id="51" w:name="page52"/>
    <w:bookmarkEnd w:id="51"/>
    <w:p>
      <w:pPr>
        <w:ind w:left="300" w:hanging="297"/>
        <w:spacing w:after="0"/>
        <w:tabs>
          <w:tab w:leader="none" w:pos="3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Schlumberger operates in more than 100 tax jurisdictions, where statutory tax rates generally vary from 0% to 40%.</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Income (loss) from continuing operations before taxes </w:t>
      </w:r>
      <w:r>
        <w:rPr>
          <w:rFonts w:ascii="Arial" w:cs="Arial" w:eastAsia="Arial" w:hAnsi="Arial"/>
          <w:sz w:val="17"/>
          <w:szCs w:val="17"/>
          <w:color w:val="auto"/>
        </w:rPr>
        <w:t>subject to United States and non-United States income taxes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5"/>
        </w:trPr>
        <w:tc>
          <w:tcPr>
            <w:tcW w:w="3900" w:type="dxa"/>
            <w:vAlign w:val="bottom"/>
            <w:tcBorders>
              <w:bottom w:val="single" w:sz="8" w:color="CFF0FC"/>
            </w:tcBorders>
          </w:tcPr>
          <w:p>
            <w:pPr>
              <w:spacing w:after="0"/>
              <w:rPr>
                <w:sz w:val="24"/>
                <w:szCs w:val="24"/>
                <w:color w:val="auto"/>
              </w:rPr>
            </w:pPr>
          </w:p>
        </w:tc>
        <w:tc>
          <w:tcPr>
            <w:tcW w:w="23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23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1"/>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92"/>
              </w:rPr>
              <w:t>(3,103)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(691)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1,990</w:t>
            </w:r>
          </w:p>
        </w:tc>
        <w:tc>
          <w:tcPr>
            <w:tcW w:w="100" w:type="dxa"/>
            <w:vAlign w:val="bottom"/>
            <w:shd w:val="clear" w:color="auto" w:fill="CFF0FC"/>
          </w:tcPr>
          <w:p>
            <w:pPr>
              <w:spacing w:after="0"/>
              <w:rPr>
                <w:sz w:val="18"/>
                <w:szCs w:val="18"/>
                <w:color w:val="auto"/>
              </w:rPr>
            </w:pPr>
          </w:p>
        </w:tc>
      </w:tr>
      <w:tr>
        <w:trPr>
          <w:trHeight w:val="220"/>
        </w:trPr>
        <w:tc>
          <w:tcPr>
            <w:tcW w:w="3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Outside United States</w:t>
            </w:r>
          </w:p>
        </w:tc>
        <w:tc>
          <w:tcPr>
            <w:tcW w:w="23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5,649</w:t>
            </w:r>
          </w:p>
        </w:tc>
        <w:tc>
          <w:tcPr>
            <w:tcW w:w="100" w:type="dxa"/>
            <w:vAlign w:val="bottom"/>
            <w:tcBorders>
              <w:bottom w:val="single" w:sz="8" w:color="CFF0FC"/>
            </w:tcBorders>
          </w:tcPr>
          <w:p>
            <w:pPr>
              <w:spacing w:after="0"/>
              <w:rPr>
                <w:sz w:val="19"/>
                <w:szCs w:val="19"/>
                <w:color w:val="auto"/>
              </w:rPr>
            </w:pPr>
          </w:p>
        </w:tc>
      </w:tr>
      <w:tr>
        <w:trPr>
          <w:trHeight w:val="213"/>
        </w:trPr>
        <w:tc>
          <w:tcPr>
            <w:tcW w:w="3900" w:type="dxa"/>
            <w:vAlign w:val="bottom"/>
            <w:tcBorders>
              <w:bottom w:val="single" w:sz="8" w:color="CFF0FC"/>
            </w:tcBorders>
            <w:shd w:val="clear" w:color="auto" w:fill="CFF0FC"/>
          </w:tcPr>
          <w:p>
            <w:pPr>
              <w:spacing w:after="0"/>
              <w:rPr>
                <w:sz w:val="18"/>
                <w:szCs w:val="18"/>
                <w:color w:val="auto"/>
              </w:rPr>
            </w:pPr>
          </w:p>
        </w:tc>
        <w:tc>
          <w:tcPr>
            <w:tcW w:w="23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92"/>
              </w:rPr>
              <w:t>(1,905)</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2,881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 xml:space="preserve">Schlumberger recorded pretax charges of $3.820 billion in 2016 ($1.848 billion in the US and $1.972 billion outside of the US); $2.575 billion in 2015 ($883 million in the US and $1.692 billion outside the US); and $1.773 billion in 2014 ($289 million in the US and $1.484 billion outside the US). These charges and credits are included in the table above and are more fully described in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deferred tax assets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5"/>
        </w:trPr>
        <w:tc>
          <w:tcPr>
            <w:tcW w:w="5140" w:type="dxa"/>
            <w:vAlign w:val="bottom"/>
          </w:tcPr>
          <w:p>
            <w:pPr>
              <w:spacing w:after="0"/>
              <w:rPr>
                <w:sz w:val="24"/>
                <w:szCs w:val="24"/>
                <w:color w:val="auto"/>
              </w:rPr>
            </w:pPr>
          </w:p>
        </w:tc>
        <w:tc>
          <w:tcPr>
            <w:tcW w:w="3740" w:type="dxa"/>
            <w:vAlign w:val="bottom"/>
            <w:gridSpan w:val="2"/>
          </w:tcPr>
          <w:p>
            <w:pPr>
              <w:jc w:val="right"/>
              <w:ind w:right="5"/>
              <w:spacing w:after="0"/>
              <w:rPr>
                <w:sz w:val="20"/>
                <w:szCs w:val="20"/>
                <w:color w:val="auto"/>
              </w:rPr>
            </w:pPr>
            <w:r>
              <w:rPr>
                <w:rFonts w:ascii="Arial" w:cs="Arial" w:eastAsia="Arial" w:hAnsi="Arial"/>
                <w:sz w:val="17"/>
                <w:szCs w:val="17"/>
                <w:b w:val="1"/>
                <w:bCs w:val="1"/>
                <w:color w:val="auto"/>
              </w:rPr>
              <w:t>2016</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55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r>
      <w:tr>
        <w:trPr>
          <w:trHeight w:val="21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Postretirement benefits</w:t>
            </w:r>
          </w:p>
        </w:tc>
        <w:tc>
          <w:tcPr>
            <w:tcW w:w="27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253</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140" w:type="dxa"/>
            <w:vAlign w:val="bottom"/>
          </w:tcPr>
          <w:p>
            <w:pPr>
              <w:spacing w:after="0"/>
              <w:rPr>
                <w:sz w:val="20"/>
                <w:szCs w:val="20"/>
                <w:color w:val="auto"/>
              </w:rPr>
            </w:pPr>
            <w:r>
              <w:rPr>
                <w:rFonts w:ascii="Arial" w:cs="Arial" w:eastAsia="Arial" w:hAnsi="Arial"/>
                <w:sz w:val="17"/>
                <w:szCs w:val="17"/>
                <w:color w:val="auto"/>
              </w:rPr>
              <w:t>Intangible assets</w:t>
            </w: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(2,869)</w:t>
            </w:r>
          </w:p>
        </w:tc>
        <w:tc>
          <w:tcPr>
            <w:tcW w:w="3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(1,418)</w:t>
            </w:r>
          </w:p>
        </w:tc>
      </w:tr>
      <w:tr>
        <w:trPr>
          <w:trHeight w:val="220"/>
        </w:trPr>
        <w:tc>
          <w:tcPr>
            <w:tcW w:w="5140" w:type="dxa"/>
            <w:vAlign w:val="bottom"/>
            <w:shd w:val="clear" w:color="auto" w:fill="CFF0FC"/>
          </w:tcPr>
          <w:p>
            <w:pPr>
              <w:spacing w:after="0"/>
              <w:rPr>
                <w:sz w:val="20"/>
                <w:szCs w:val="20"/>
                <w:color w:val="auto"/>
              </w:rPr>
            </w:pPr>
            <w:r>
              <w:rPr>
                <w:rFonts w:ascii="Arial" w:cs="Arial" w:eastAsia="Arial" w:hAnsi="Arial"/>
                <w:sz w:val="17"/>
                <w:szCs w:val="17"/>
                <w:color w:val="auto"/>
              </w:rPr>
              <w:t>Investments in non-US subsidiaries</w:t>
            </w: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(271)</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(152)</w:t>
            </w:r>
          </w:p>
        </w:tc>
      </w:tr>
      <w:tr>
        <w:trPr>
          <w:trHeight w:val="220"/>
        </w:trPr>
        <w:tc>
          <w:tcPr>
            <w:tcW w:w="5140" w:type="dxa"/>
            <w:vAlign w:val="bottom"/>
          </w:tcPr>
          <w:p>
            <w:pPr>
              <w:spacing w:after="0"/>
              <w:rPr>
                <w:sz w:val="20"/>
                <w:szCs w:val="20"/>
                <w:color w:val="auto"/>
              </w:rPr>
            </w:pPr>
            <w:r>
              <w:rPr>
                <w:rFonts w:ascii="Arial" w:cs="Arial" w:eastAsia="Arial" w:hAnsi="Arial"/>
                <w:sz w:val="17"/>
                <w:szCs w:val="17"/>
                <w:color w:val="auto"/>
              </w:rPr>
              <w:t>Fixed assets, net</w:t>
            </w: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(79)</w:t>
            </w:r>
          </w:p>
        </w:tc>
        <w:tc>
          <w:tcPr>
            <w:tcW w:w="3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(176)</w:t>
            </w:r>
          </w:p>
        </w:tc>
      </w:tr>
      <w:tr>
        <w:trPr>
          <w:trHeight w:val="220"/>
        </w:trPr>
        <w:tc>
          <w:tcPr>
            <w:tcW w:w="5140" w:type="dxa"/>
            <w:vAlign w:val="bottom"/>
            <w:shd w:val="clear" w:color="auto" w:fill="CFF0FC"/>
          </w:tcPr>
          <w:p>
            <w:pPr>
              <w:spacing w:after="0"/>
              <w:rPr>
                <w:sz w:val="20"/>
                <w:szCs w:val="20"/>
                <w:color w:val="auto"/>
              </w:rPr>
            </w:pPr>
            <w:r>
              <w:rPr>
                <w:rFonts w:ascii="Arial" w:cs="Arial" w:eastAsia="Arial" w:hAnsi="Arial"/>
                <w:sz w:val="17"/>
                <w:szCs w:val="17"/>
                <w:color w:val="auto"/>
              </w:rPr>
              <w:t>Inventories</w:t>
            </w: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248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FF0FC"/>
          </w:tcPr>
          <w:p>
            <w:pPr>
              <w:spacing w:after="0"/>
              <w:rPr>
                <w:sz w:val="19"/>
                <w:szCs w:val="19"/>
                <w:color w:val="auto"/>
              </w:rPr>
            </w:pPr>
          </w:p>
        </w:tc>
      </w:tr>
      <w:tr>
        <w:trPr>
          <w:trHeight w:val="220"/>
        </w:trPr>
        <w:tc>
          <w:tcPr>
            <w:tcW w:w="5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net</w:t>
            </w:r>
          </w:p>
        </w:tc>
        <w:tc>
          <w:tcPr>
            <w:tcW w:w="27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FF0FC"/>
            </w:tcBorders>
          </w:tcPr>
          <w:p>
            <w:pPr>
              <w:spacing w:after="0"/>
              <w:rPr>
                <w:sz w:val="19"/>
                <w:szCs w:val="19"/>
                <w:color w:val="auto"/>
              </w:rPr>
            </w:pPr>
          </w:p>
        </w:tc>
      </w:tr>
      <w:tr>
        <w:trPr>
          <w:trHeight w:val="213"/>
        </w:trPr>
        <w:tc>
          <w:tcPr>
            <w:tcW w:w="514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5"/>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(1,880)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(867)</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4"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The above deferred tax balances at December 31, 2016 and 2015 were net of valuation allowances relating to net operating losses in certain countries of $186 million and $162 million, respectively.</w:t>
      </w:r>
    </w:p>
    <w:p>
      <w:pPr>
        <w:spacing w:after="0" w:line="159"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Schlumberger generally does not provide for taxes relating to undistributed earnings because such earnings would not be taxable when remitted or they are considered to be indefinitely reinvested. In connection with Schlumberger’s 2016 acquisition of Cameron, certain non-US subsidiaries of Cameron are now either wholly or partially owned by a US subsidiary of Schlumberger. Undistributed earnings of these non-US subsidiaries that are indefinitely invested outside the US are approximately $3 billion. Such earnings would be subject to US taxes if they were to be repatriated to the US. However, determination of the unrecognized deferred tax liability that would be incurred if such amounts were repatriated to the US is not practicable. In addition, any taxes that would be incurred if the undistributed earnings of other Schlumberger subsidiaries were distributed to their ultimate parent company would not be material.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components of </w:t>
      </w:r>
      <w:r>
        <w:rPr>
          <w:rFonts w:ascii="Arial" w:cs="Arial" w:eastAsia="Arial" w:hAnsi="Arial"/>
          <w:sz w:val="17"/>
          <w:szCs w:val="17"/>
          <w:i w:val="1"/>
          <w:iCs w:val="1"/>
          <w:color w:val="auto"/>
        </w:rPr>
        <w:t>Taxes on income (loss)</w:t>
      </w:r>
      <w:r>
        <w:rPr>
          <w:rFonts w:ascii="Arial" w:cs="Arial" w:eastAsia="Arial" w:hAnsi="Arial"/>
          <w:sz w:val="17"/>
          <w:szCs w:val="17"/>
          <w:color w:val="auto"/>
        </w:rPr>
        <w:t xml:space="preserve">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3560" w:type="dxa"/>
            <w:vAlign w:val="bottom"/>
            <w:tcBorders>
              <w:bottom w:val="single" w:sz="8" w:color="CFF0FC"/>
            </w:tcBorders>
          </w:tcPr>
          <w:p>
            <w:pPr>
              <w:spacing w:after="0"/>
              <w:rPr>
                <w:sz w:val="24"/>
                <w:szCs w:val="24"/>
                <w:color w:val="auto"/>
              </w:rPr>
            </w:pPr>
          </w:p>
        </w:tc>
        <w:tc>
          <w:tcPr>
            <w:tcW w:w="27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2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20"/>
                <w:szCs w:val="20"/>
                <w:color w:val="auto"/>
              </w:rPr>
            </w:pPr>
            <w:r>
              <w:rPr>
                <w:rFonts w:ascii="Arial" w:cs="Arial" w:eastAsia="Arial" w:hAnsi="Arial"/>
                <w:sz w:val="17"/>
                <w:szCs w:val="17"/>
                <w:color w:val="auto"/>
              </w:rPr>
              <w:t>United States-Federal</w:t>
            </w:r>
          </w:p>
        </w:tc>
        <w:tc>
          <w:tcPr>
            <w:tcW w:w="3060" w:type="dxa"/>
            <w:vAlign w:val="bottom"/>
            <w:gridSpan w:val="2"/>
          </w:tcPr>
          <w:p>
            <w:pPr>
              <w:jc w:val="right"/>
              <w:ind w:right="185"/>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(511)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United States-State</w:t>
            </w:r>
          </w:p>
        </w:tc>
        <w:tc>
          <w:tcPr>
            <w:tcW w:w="2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(36)</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Outside United States</w:t>
            </w:r>
          </w:p>
        </w:tc>
        <w:tc>
          <w:tcPr>
            <w:tcW w:w="2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1,380</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101</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1,187</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2,149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7"/>
                <w:szCs w:val="17"/>
                <w:color w:val="auto"/>
              </w:rPr>
              <w:t>Deferred:</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United States-Federal</w:t>
            </w:r>
          </w:p>
        </w:tc>
        <w:tc>
          <w:tcPr>
            <w:tcW w:w="3060" w:type="dxa"/>
            <w:vAlign w:val="bottom"/>
            <w:gridSpan w:val="2"/>
            <w:shd w:val="clear" w:color="auto" w:fill="CFF0FC"/>
          </w:tcPr>
          <w:p>
            <w:pPr>
              <w:jc w:val="right"/>
              <w:ind w:right="185"/>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(352)</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(356)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20"/>
                <w:szCs w:val="20"/>
                <w:color w:val="auto"/>
              </w:rPr>
            </w:pPr>
            <w:r>
              <w:rPr>
                <w:rFonts w:ascii="Arial" w:cs="Arial" w:eastAsia="Arial" w:hAnsi="Arial"/>
                <w:sz w:val="17"/>
                <w:szCs w:val="17"/>
                <w:color w:val="auto"/>
              </w:rPr>
              <w:t>United States-State</w:t>
            </w: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(13)</w:t>
            </w: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Outside United States</w:t>
            </w:r>
          </w:p>
        </w:tc>
        <w:tc>
          <w:tcPr>
            <w:tcW w:w="2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(51)</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(52)</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20"/>
                <w:szCs w:val="20"/>
                <w:color w:val="auto"/>
              </w:rPr>
            </w:pPr>
            <w:r>
              <w:rPr>
                <w:rFonts w:ascii="Arial" w:cs="Arial" w:eastAsia="Arial" w:hAnsi="Arial"/>
                <w:sz w:val="17"/>
                <w:szCs w:val="17"/>
                <w:color w:val="auto"/>
              </w:rPr>
              <w:t>Valuation allowance</w:t>
            </w:r>
          </w:p>
        </w:tc>
        <w:tc>
          <w:tcPr>
            <w:tcW w:w="2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(14)</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6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(379)</w:t>
            </w:r>
          </w:p>
        </w:tc>
        <w:tc>
          <w:tcPr>
            <w:tcW w:w="28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(441)</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720" w:type="dxa"/>
            <w:vAlign w:val="bottom"/>
            <w:vMerge w:val="restart"/>
          </w:tcPr>
          <w:p>
            <w:pPr>
              <w:jc w:val="right"/>
              <w:ind w:right="394"/>
              <w:spacing w:after="0"/>
              <w:rPr>
                <w:sz w:val="20"/>
                <w:szCs w:val="20"/>
                <w:color w:val="auto"/>
              </w:rPr>
            </w:pPr>
            <w:r>
              <w:rPr>
                <w:rFonts w:ascii="Arial" w:cs="Arial" w:eastAsia="Arial" w:hAnsi="Arial"/>
                <w:sz w:val="17"/>
                <w:szCs w:val="17"/>
                <w:color w:val="auto"/>
              </w:rPr>
              <w:t>52</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5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A reconciliation of the United States statutory federal tax rate (35%) to the consolidated effective tax rate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2015</w:t>
            </w:r>
          </w:p>
        </w:tc>
        <w:tc>
          <w:tcPr>
            <w:tcW w:w="3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2014</w:t>
            </w:r>
          </w:p>
        </w:tc>
        <w:tc>
          <w:tcPr>
            <w:tcW w:w="160" w:type="dxa"/>
            <w:vAlign w:val="bottom"/>
            <w:tcBorders>
              <w:bottom w:val="single" w:sz="8" w:color="CFF0FC"/>
            </w:tcBorders>
          </w:tcPr>
          <w:p>
            <w:pPr>
              <w:spacing w:after="0"/>
              <w:rPr>
                <w:sz w:val="19"/>
                <w:szCs w:val="19"/>
                <w:color w:val="auto"/>
              </w:rPr>
            </w:pPr>
          </w:p>
        </w:tc>
      </w:tr>
      <w:tr>
        <w:trPr>
          <w:trHeight w:val="213"/>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US federal statutory rate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35%</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w:t>
            </w:r>
          </w:p>
        </w:tc>
      </w:tr>
      <w:tr>
        <w:trPr>
          <w:trHeight w:val="220"/>
        </w:trPr>
        <w:tc>
          <w:tcPr>
            <w:tcW w:w="6140" w:type="dxa"/>
            <w:vAlign w:val="bottom"/>
          </w:tcPr>
          <w:p>
            <w:pPr>
              <w:spacing w:after="0"/>
              <w:rPr>
                <w:sz w:val="20"/>
                <w:szCs w:val="20"/>
                <w:color w:val="auto"/>
              </w:rPr>
            </w:pPr>
            <w:r>
              <w:rPr>
                <w:rFonts w:ascii="Arial" w:cs="Arial" w:eastAsia="Arial" w:hAnsi="Arial"/>
                <w:sz w:val="17"/>
                <w:szCs w:val="17"/>
                <w:color w:val="auto"/>
              </w:rPr>
              <w:t>State tax</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r>
      <w:tr>
        <w:trPr>
          <w:trHeight w:val="220"/>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Non-US income taxed at different rates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b w:val="1"/>
                <w:bCs w:val="1"/>
                <w:color w:val="auto"/>
              </w:rPr>
              <w:t>(21)</w:t>
            </w: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(13)</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(11)</w:t>
            </w:r>
          </w:p>
        </w:tc>
      </w:tr>
      <w:tr>
        <w:trPr>
          <w:trHeight w:val="220"/>
        </w:trPr>
        <w:tc>
          <w:tcPr>
            <w:tcW w:w="6140" w:type="dxa"/>
            <w:vAlign w:val="bottom"/>
          </w:tcPr>
          <w:p>
            <w:pPr>
              <w:spacing w:after="0"/>
              <w:rPr>
                <w:sz w:val="20"/>
                <w:szCs w:val="20"/>
                <w:color w:val="auto"/>
              </w:rPr>
            </w:pPr>
            <w:r>
              <w:rPr>
                <w:rFonts w:ascii="Arial" w:cs="Arial" w:eastAsia="Arial" w:hAnsi="Arial"/>
                <w:sz w:val="17"/>
                <w:szCs w:val="17"/>
                <w:color w:val="auto"/>
              </w:rPr>
              <w:t>Charges and credits (See Note 3)</w:t>
            </w:r>
          </w:p>
        </w:tc>
        <w:tc>
          <w:tcPr>
            <w:tcW w:w="18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(1)</w:t>
            </w:r>
          </w:p>
        </w:tc>
        <w:tc>
          <w:tcPr>
            <w:tcW w:w="1460" w:type="dxa"/>
            <w:vAlign w:val="bottom"/>
          </w:tcPr>
          <w:p>
            <w:pPr>
              <w:jc w:val="right"/>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9"/>
                <w:szCs w:val="19"/>
                <w:color w:val="auto"/>
              </w:rPr>
            </w:pPr>
          </w:p>
        </w:tc>
      </w:tr>
      <w:tr>
        <w:trPr>
          <w:trHeight w:val="220"/>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w:t>
            </w:r>
          </w:p>
        </w:tc>
      </w:tr>
      <w:tr>
        <w:trPr>
          <w:trHeight w:val="20"/>
        </w:trPr>
        <w:tc>
          <w:tcPr>
            <w:tcW w:w="6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614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15%</w:t>
            </w:r>
          </w:p>
        </w:tc>
        <w:tc>
          <w:tcPr>
            <w:tcW w:w="1800" w:type="dxa"/>
            <w:vAlign w:val="bottom"/>
            <w:gridSpan w:val="2"/>
          </w:tcPr>
          <w:p>
            <w:pPr>
              <w:jc w:val="right"/>
              <w:ind w:right="180"/>
              <w:spacing w:after="0"/>
              <w:rPr>
                <w:sz w:val="20"/>
                <w:szCs w:val="20"/>
                <w:color w:val="auto"/>
              </w:rPr>
            </w:pPr>
            <w:r>
              <w:rPr>
                <w:rFonts w:ascii="Arial" w:cs="Arial" w:eastAsia="Arial" w:hAnsi="Arial"/>
                <w:sz w:val="17"/>
                <w:szCs w:val="17"/>
                <w:color w:val="auto"/>
              </w:rPr>
              <w:t>26%</w:t>
            </w:r>
          </w:p>
        </w:tc>
        <w:tc>
          <w:tcPr>
            <w:tcW w:w="1640" w:type="dxa"/>
            <w:vAlign w:val="bottom"/>
            <w:gridSpan w:val="2"/>
          </w:tcPr>
          <w:p>
            <w:pPr>
              <w:jc w:val="right"/>
              <w:ind w:right="20"/>
              <w:spacing w:after="0"/>
              <w:rPr>
                <w:sz w:val="20"/>
                <w:szCs w:val="20"/>
                <w:color w:val="auto"/>
              </w:rPr>
            </w:pPr>
            <w:r>
              <w:rPr>
                <w:rFonts w:ascii="Arial" w:cs="Arial" w:eastAsia="Arial" w:hAnsi="Arial"/>
                <w:sz w:val="17"/>
                <w:szCs w:val="17"/>
                <w:color w:val="auto"/>
              </w:rPr>
              <w:t>25%</w:t>
            </w:r>
          </w:p>
        </w:tc>
      </w:tr>
      <w:tr>
        <w:trPr>
          <w:trHeight w:val="20"/>
        </w:trPr>
        <w:tc>
          <w:tcPr>
            <w:tcW w:w="6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 reconciliation of the beginning and ending amount of liabilities associated with uncertain tax positions for the years ended December 31, 2016, 2015 and 2014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5"/>
        </w:trPr>
        <w:tc>
          <w:tcPr>
            <w:tcW w:w="5420" w:type="dxa"/>
            <w:vAlign w:val="bottom"/>
          </w:tcPr>
          <w:p>
            <w:pPr>
              <w:spacing w:after="0"/>
              <w:rPr>
                <w:sz w:val="24"/>
                <w:szCs w:val="24"/>
                <w:color w:val="auto"/>
              </w:rPr>
            </w:pPr>
          </w:p>
        </w:tc>
        <w:tc>
          <w:tcPr>
            <w:tcW w:w="1860" w:type="dxa"/>
            <w:vAlign w:val="bottom"/>
            <w:gridSpan w:val="2"/>
          </w:tcPr>
          <w:p>
            <w:pPr>
              <w:jc w:val="right"/>
              <w:ind w:right="5"/>
              <w:spacing w:after="0"/>
              <w:rPr>
                <w:sz w:val="20"/>
                <w:szCs w:val="20"/>
                <w:color w:val="auto"/>
              </w:rPr>
            </w:pPr>
            <w:r>
              <w:rPr>
                <w:rFonts w:ascii="Arial" w:cs="Arial" w:eastAsia="Arial" w:hAnsi="Arial"/>
                <w:sz w:val="17"/>
                <w:szCs w:val="17"/>
                <w:b w:val="1"/>
                <w:bCs w:val="1"/>
                <w:color w:val="auto"/>
              </w:rPr>
              <w:t>2016</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14"/>
              <w:spacing w:after="0"/>
              <w:rPr>
                <w:sz w:val="20"/>
                <w:szCs w:val="20"/>
                <w:color w:val="auto"/>
              </w:rPr>
            </w:pPr>
            <w:r>
              <w:rPr>
                <w:rFonts w:ascii="Arial" w:cs="Arial" w:eastAsia="Arial" w:hAnsi="Arial"/>
                <w:sz w:val="17"/>
                <w:szCs w:val="17"/>
                <w:color w:val="auto"/>
              </w:rPr>
              <w:t>2015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95"/>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24"/>
                <w:szCs w:val="24"/>
                <w:color w:val="auto"/>
              </w:rPr>
            </w:pPr>
          </w:p>
        </w:tc>
      </w:tr>
      <w:tr>
        <w:trPr>
          <w:trHeight w:val="21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8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1,285</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1,402</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7"/>
                <w:szCs w:val="17"/>
                <w:color w:val="auto"/>
              </w:rPr>
              <w:t>Additions based on tax positions related to the current year</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Additions for tax positions of prior years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FF0FC"/>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7"/>
                <w:szCs w:val="17"/>
                <w:color w:val="auto"/>
              </w:rPr>
              <w:t>Additions related to acquisitions</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127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Impact of changes in exchange rates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(25)</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(78)</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w:t>
            </w:r>
          </w:p>
        </w:tc>
      </w:tr>
      <w:tr>
        <w:trPr>
          <w:trHeight w:val="220"/>
        </w:trPr>
        <w:tc>
          <w:tcPr>
            <w:tcW w:w="5420" w:type="dxa"/>
            <w:vAlign w:val="bottom"/>
          </w:tcPr>
          <w:p>
            <w:pPr>
              <w:spacing w:after="0"/>
              <w:rPr>
                <w:sz w:val="20"/>
                <w:szCs w:val="20"/>
                <w:color w:val="auto"/>
              </w:rPr>
            </w:pPr>
            <w:r>
              <w:rPr>
                <w:rFonts w:ascii="Arial" w:cs="Arial" w:eastAsia="Arial" w:hAnsi="Arial"/>
                <w:sz w:val="17"/>
                <w:szCs w:val="17"/>
                <w:color w:val="auto"/>
              </w:rPr>
              <w:t>Settlements with tax authorities</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(45)</w:t>
            </w: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Reductions for tax positions of prior years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(85)</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(203)</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(212)</w:t>
            </w:r>
          </w:p>
        </w:tc>
      </w:tr>
      <w:tr>
        <w:trPr>
          <w:trHeight w:val="220"/>
        </w:trPr>
        <w:tc>
          <w:tcPr>
            <w:tcW w:w="5420" w:type="dxa"/>
            <w:vAlign w:val="bottom"/>
          </w:tcPr>
          <w:p>
            <w:pPr>
              <w:spacing w:after="0"/>
              <w:rPr>
                <w:sz w:val="20"/>
                <w:szCs w:val="20"/>
                <w:color w:val="auto"/>
              </w:rPr>
            </w:pPr>
            <w:r>
              <w:rPr>
                <w:rFonts w:ascii="Arial" w:cs="Arial" w:eastAsia="Arial" w:hAnsi="Arial"/>
                <w:sz w:val="17"/>
                <w:szCs w:val="17"/>
                <w:color w:val="auto"/>
              </w:rPr>
              <w:t>Reductions due to the lapse of the applicable statute of limitations</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(27)</w:t>
            </w: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1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end of year</w:t>
            </w: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1,419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 xml:space="preserve">The amounts above exclude accrued interest and penalties of $178 million, $176 million and $243 million at December 31, 2016, 2015 and 2014, respectively. Schlumberger classifies interest and penalties relating to uncertain tax positions within </w:t>
      </w:r>
      <w:r>
        <w:rPr>
          <w:rFonts w:ascii="Arial" w:cs="Arial" w:eastAsia="Arial" w:hAnsi="Arial"/>
          <w:sz w:val="16"/>
          <w:szCs w:val="16"/>
          <w:i w:val="1"/>
          <w:iCs w:val="1"/>
          <w:color w:val="auto"/>
        </w:rPr>
        <w:t>Taxes on income (loss)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Brazil</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2011 - 2016</w:t>
            </w: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Canada</w:t>
            </w:r>
          </w:p>
        </w:tc>
        <w:tc>
          <w:tcPr>
            <w:tcW w:w="4160" w:type="dxa"/>
            <w:vAlign w:val="bottom"/>
          </w:tcPr>
          <w:p>
            <w:pPr>
              <w:jc w:val="right"/>
              <w:spacing w:after="0"/>
              <w:rPr>
                <w:sz w:val="20"/>
                <w:szCs w:val="20"/>
                <w:color w:val="auto"/>
              </w:rPr>
            </w:pPr>
            <w:r>
              <w:rPr>
                <w:rFonts w:ascii="Arial" w:cs="Arial" w:eastAsia="Arial" w:hAnsi="Arial"/>
                <w:sz w:val="17"/>
                <w:szCs w:val="17"/>
                <w:color w:val="auto"/>
              </w:rPr>
              <w:t>2009 - 2016</w:t>
            </w: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Ecuador</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2013 - 2016</w:t>
            </w: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Mexico</w:t>
            </w:r>
          </w:p>
        </w:tc>
        <w:tc>
          <w:tcPr>
            <w:tcW w:w="4160" w:type="dxa"/>
            <w:vAlign w:val="bottom"/>
          </w:tcPr>
          <w:p>
            <w:pPr>
              <w:jc w:val="right"/>
              <w:spacing w:after="0"/>
              <w:rPr>
                <w:sz w:val="20"/>
                <w:szCs w:val="20"/>
                <w:color w:val="auto"/>
              </w:rPr>
            </w:pPr>
            <w:r>
              <w:rPr>
                <w:rFonts w:ascii="Arial" w:cs="Arial" w:eastAsia="Arial" w:hAnsi="Arial"/>
                <w:sz w:val="17"/>
                <w:szCs w:val="17"/>
                <w:color w:val="auto"/>
              </w:rPr>
              <w:t>2010 - 2016</w:t>
            </w: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Norway</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2013 - 2016</w:t>
            </w: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Russia</w:t>
            </w:r>
          </w:p>
        </w:tc>
        <w:tc>
          <w:tcPr>
            <w:tcW w:w="4160" w:type="dxa"/>
            <w:vAlign w:val="bottom"/>
          </w:tcPr>
          <w:p>
            <w:pPr>
              <w:jc w:val="right"/>
              <w:spacing w:after="0"/>
              <w:rPr>
                <w:sz w:val="20"/>
                <w:szCs w:val="20"/>
                <w:color w:val="auto"/>
              </w:rPr>
            </w:pPr>
            <w:r>
              <w:rPr>
                <w:rFonts w:ascii="Arial" w:cs="Arial" w:eastAsia="Arial" w:hAnsi="Arial"/>
                <w:sz w:val="17"/>
                <w:szCs w:val="17"/>
                <w:color w:val="auto"/>
              </w:rPr>
              <w:t>2013 - 2016</w:t>
            </w: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Saudi Arabia</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2004 - 2016</w:t>
            </w: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United Kingdom</w:t>
            </w:r>
          </w:p>
        </w:tc>
        <w:tc>
          <w:tcPr>
            <w:tcW w:w="4160" w:type="dxa"/>
            <w:vAlign w:val="bottom"/>
          </w:tcPr>
          <w:p>
            <w:pPr>
              <w:jc w:val="right"/>
              <w:spacing w:after="0"/>
              <w:rPr>
                <w:sz w:val="20"/>
                <w:szCs w:val="20"/>
                <w:color w:val="auto"/>
              </w:rPr>
            </w:pPr>
            <w:r>
              <w:rPr>
                <w:rFonts w:ascii="Arial" w:cs="Arial" w:eastAsia="Arial" w:hAnsi="Arial"/>
                <w:sz w:val="17"/>
                <w:szCs w:val="17"/>
                <w:color w:val="auto"/>
              </w:rPr>
              <w:t>2014 - 2016</w:t>
            </w: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2014 - 2016</w:t>
            </w:r>
          </w:p>
        </w:tc>
      </w:tr>
    </w:tbl>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53" w:name="page54"/>
    <w:bookmarkEnd w:id="53"/>
    <w:p>
      <w:pPr>
        <w:ind w:left="260" w:hanging="257"/>
        <w:spacing w:after="0"/>
        <w:tabs>
          <w:tab w:leader="none" w:pos="2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Leases and Lease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Total rental expense was $1.2 billion in 2016, $1.6 billion in 2015, and $2.1 billion in 2014.</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commitments under noncancelable operating leases for each of the next five years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i w:val="1"/>
                <w:iCs w:val="1"/>
                <w:color w:val="auto"/>
                <w:w w:val="98"/>
              </w:rPr>
              <w:t>(Stated in millions)</w:t>
            </w:r>
          </w:p>
        </w:tc>
      </w:tr>
      <w:tr>
        <w:trPr>
          <w:trHeight w:val="205"/>
        </w:trPr>
        <w:tc>
          <w:tcPr>
            <w:tcW w:w="7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480" w:type="dxa"/>
            <w:vAlign w:val="bottom"/>
            <w:shd w:val="clear" w:color="auto" w:fill="CFF0FC"/>
          </w:tcPr>
          <w:p>
            <w:pPr>
              <w:spacing w:after="0"/>
              <w:rPr>
                <w:sz w:val="20"/>
                <w:szCs w:val="20"/>
                <w:color w:val="auto"/>
              </w:rPr>
            </w:pPr>
            <w:r>
              <w:rPr>
                <w:rFonts w:ascii="Arial" w:cs="Arial" w:eastAsia="Arial" w:hAnsi="Arial"/>
                <w:sz w:val="17"/>
                <w:szCs w:val="17"/>
                <w:color w:val="auto"/>
              </w:rPr>
              <w:t>2017</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FF0FC"/>
          </w:tcPr>
          <w:p>
            <w:pPr>
              <w:spacing w:after="0"/>
              <w:rPr>
                <w:sz w:val="19"/>
                <w:szCs w:val="19"/>
                <w:color w:val="auto"/>
              </w:rPr>
            </w:pPr>
          </w:p>
        </w:tc>
      </w:tr>
      <w:tr>
        <w:trPr>
          <w:trHeight w:val="220"/>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r>
      <w:tr>
        <w:trPr>
          <w:trHeight w:val="220"/>
        </w:trPr>
        <w:tc>
          <w:tcPr>
            <w:tcW w:w="748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FF0FC"/>
          </w:tcPr>
          <w:p>
            <w:pPr>
              <w:spacing w:after="0"/>
              <w:rPr>
                <w:sz w:val="19"/>
                <w:szCs w:val="19"/>
                <w:color w:val="auto"/>
              </w:rPr>
            </w:pPr>
          </w:p>
        </w:tc>
      </w:tr>
      <w:tr>
        <w:trPr>
          <w:trHeight w:val="220"/>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r>
      <w:tr>
        <w:trPr>
          <w:trHeight w:val="220"/>
        </w:trPr>
        <w:tc>
          <w:tcPr>
            <w:tcW w:w="748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FF0FC"/>
          </w:tcPr>
          <w:p>
            <w:pPr>
              <w:spacing w:after="0"/>
              <w:rPr>
                <w:sz w:val="19"/>
                <w:szCs w:val="19"/>
                <w:color w:val="auto"/>
              </w:rPr>
            </w:pPr>
          </w:p>
        </w:tc>
      </w:tr>
      <w:tr>
        <w:trPr>
          <w:trHeight w:val="220"/>
        </w:trPr>
        <w:tc>
          <w:tcPr>
            <w:tcW w:w="7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Borders>
              <w:bottom w:val="single" w:sz="8" w:color="CFF0FC"/>
            </w:tcBorders>
          </w:tcPr>
          <w:p>
            <w:pPr>
              <w:spacing w:after="0"/>
              <w:rPr>
                <w:sz w:val="19"/>
                <w:szCs w:val="19"/>
                <w:color w:val="auto"/>
              </w:rPr>
            </w:pPr>
          </w:p>
        </w:tc>
      </w:tr>
      <w:tr>
        <w:trPr>
          <w:trHeight w:val="213"/>
        </w:trPr>
        <w:tc>
          <w:tcPr>
            <w:tcW w:w="74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ind w:left="260" w:hanging="257"/>
        <w:spacing w:after="0"/>
        <w:tabs>
          <w:tab w:leader="none" w:pos="2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Contingencies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347" w:lineRule="exact"/>
        <w:rPr>
          <w:sz w:val="20"/>
          <w:szCs w:val="20"/>
          <w:color w:val="auto"/>
        </w:rPr>
      </w:pPr>
    </w:p>
    <w:p>
      <w:pPr>
        <w:ind w:left="260" w:hanging="257"/>
        <w:spacing w:after="0"/>
        <w:tabs>
          <w:tab w:leader="none" w:pos="2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Schlumberger’s segments are as follows:</w:t>
      </w:r>
    </w:p>
    <w:p>
      <w:pPr>
        <w:spacing w:after="0" w:line="115" w:lineRule="exact"/>
        <w:rPr>
          <w:sz w:val="20"/>
          <w:szCs w:val="20"/>
          <w:color w:val="auto"/>
        </w:rPr>
      </w:pPr>
    </w:p>
    <w:p>
      <w:pPr>
        <w:ind w:left="760" w:hanging="382"/>
        <w:spacing w:after="0" w:line="283"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finding and defining hydrocarbon resources. These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WesternGeco, Wireline, Testing &amp; Process, Software Integrated Solutions and Integrated Services Management.</w:t>
      </w:r>
    </w:p>
    <w:p>
      <w:pPr>
        <w:spacing w:after="0" w:line="55"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Drilling Group </w:t>
      </w:r>
      <w:r>
        <w:rPr>
          <w:rFonts w:ascii="Arial" w:cs="Arial" w:eastAsia="Arial" w:hAnsi="Arial"/>
          <w:sz w:val="17"/>
          <w:szCs w:val="17"/>
          <w:color w:val="auto"/>
        </w:rPr>
        <w:t>– Consists of the principal Technologies involved in the drilling and positioning of oil and gas wells. These include Bits &amp; Drilling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 SWACO, Drilling &amp; Measurements, Land Rigs and Integrated Drilling Services.</w:t>
      </w:r>
    </w:p>
    <w:p>
      <w:pPr>
        <w:spacing w:after="0" w:line="55" w:lineRule="exact"/>
        <w:rPr>
          <w:rFonts w:ascii="Arial" w:cs="Arial" w:eastAsia="Arial" w:hAnsi="Arial"/>
          <w:sz w:val="17"/>
          <w:szCs w:val="17"/>
          <w:color w:val="auto"/>
        </w:rPr>
      </w:pPr>
    </w:p>
    <w:p>
      <w:pPr>
        <w:ind w:left="760" w:hanging="382"/>
        <w:spacing w:after="0" w:line="283" w:lineRule="auto"/>
        <w:tabs>
          <w:tab w:leader="none" w:pos="76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Production Group </w:t>
      </w:r>
      <w:r>
        <w:rPr>
          <w:rFonts w:ascii="Arial" w:cs="Arial" w:eastAsia="Arial" w:hAnsi="Arial"/>
          <w:sz w:val="17"/>
          <w:szCs w:val="17"/>
          <w:color w:val="auto"/>
        </w:rPr>
        <w:t>– Consists of the principal Technologies involved in the lifetime production of oil and gas reservoirs. These include Well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Completions, Artificial Lift, Integrated Production Services and Schlumberger Production Management.</w:t>
      </w:r>
    </w:p>
    <w:p>
      <w:pPr>
        <w:spacing w:after="0" w:line="55" w:lineRule="exact"/>
        <w:rPr>
          <w:rFonts w:ascii="Arial" w:cs="Arial" w:eastAsia="Arial" w:hAnsi="Arial"/>
          <w:sz w:val="17"/>
          <w:szCs w:val="17"/>
          <w:color w:val="auto"/>
        </w:rPr>
      </w:pPr>
    </w:p>
    <w:p>
      <w:pPr>
        <w:ind w:left="760"/>
        <w:spacing w:after="0" w:line="283"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Cameron Group</w:t>
      </w:r>
      <w:r>
        <w:rPr>
          <w:rFonts w:ascii="Arial" w:cs="Arial" w:eastAsia="Arial" w:hAnsi="Arial"/>
          <w:sz w:val="17"/>
          <w:szCs w:val="17"/>
          <w:color w:val="auto"/>
        </w:rPr>
        <w:t xml:space="preserve"> – Consists of the principal Technologies involved in pressure and flow control for drilling and intervention rigs, oil and gas wells and production facilities. These include OneSubsea, Surface Systems, Drilling Systems and Valves &amp; Measurements.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Financial information for the years ended December 31, 2016, 2015 and 2014, by segment,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tcPr>
          <w:p>
            <w:pPr>
              <w:jc w:val="right"/>
              <w:spacing w:after="0"/>
              <w:rPr>
                <w:sz w:val="20"/>
                <w:szCs w:val="20"/>
                <w:color w:val="auto"/>
              </w:rPr>
            </w:pPr>
            <w:r>
              <w:rPr>
                <w:rFonts w:ascii="Arial" w:cs="Arial" w:eastAsia="Arial" w:hAnsi="Arial"/>
                <w:sz w:val="14"/>
                <w:szCs w:val="14"/>
                <w:i w:val="1"/>
                <w:iCs w:val="1"/>
                <w:color w:val="auto"/>
                <w:w w:val="93"/>
              </w:rPr>
              <w:t>(Stated in millions)</w:t>
            </w:r>
          </w:p>
        </w:tc>
      </w:tr>
      <w:tr>
        <w:trPr>
          <w:trHeight w:val="425"/>
        </w:trPr>
        <w:tc>
          <w:tcPr>
            <w:tcW w:w="5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89"/>
              </w:rPr>
              <w:t>2016</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3"/>
        </w:trPr>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7"/>
                <w:szCs w:val="17"/>
                <w:color w:val="auto"/>
                <w:w w:val="92"/>
              </w:rPr>
              <w:t>Depreciation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7"/>
                <w:szCs w:val="17"/>
                <w:color w:val="auto"/>
              </w:rPr>
              <w:t>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7"/>
                <w:szCs w:val="17"/>
                <w:color w:val="auto"/>
                <w:w w:val="84"/>
              </w:rPr>
              <w:t>and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w w:val="90"/>
              </w:rPr>
              <w:t>Capital</w:t>
            </w:r>
          </w:p>
        </w:tc>
      </w:tr>
      <w:tr>
        <w:trPr>
          <w:trHeight w:val="219"/>
        </w:trPr>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7"/>
                <w:szCs w:val="17"/>
                <w:color w:val="auto"/>
                <w:w w:val="88"/>
              </w:rPr>
              <w:t>Revenue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Before Taxes</w:t>
            </w:r>
          </w:p>
        </w:tc>
        <w:tc>
          <w:tcPr>
            <w:tcW w:w="18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7"/>
                <w:szCs w:val="17"/>
                <w:color w:val="auto"/>
                <w:w w:val="97"/>
              </w:rPr>
              <w:t>Assets</w:t>
            </w:r>
          </w:p>
        </w:tc>
        <w:tc>
          <w:tcPr>
            <w:tcW w:w="80" w:type="dxa"/>
            <w:vAlign w:val="bottom"/>
          </w:tcPr>
          <w:p>
            <w:pPr>
              <w:spacing w:after="0"/>
              <w:rPr>
                <w:sz w:val="19"/>
                <w:szCs w:val="19"/>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7"/>
                <w:szCs w:val="17"/>
                <w:color w:val="auto"/>
                <w:w w:val="97"/>
              </w:rPr>
              <w:t>Amortization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w w:val="90"/>
              </w:rPr>
              <w:t>Expenditures</w:t>
            </w:r>
          </w:p>
        </w:tc>
      </w:tr>
      <w:tr>
        <w:trPr>
          <w:trHeight w:val="21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80" w:type="dxa"/>
            <w:vAlign w:val="bottom"/>
            <w:tcBorders>
              <w:top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6,743</w:t>
            </w: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1,228</w:t>
            </w: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6,913</w:t>
            </w: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1,116</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531</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Drilling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8,561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6,741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auto"/>
              </w:rPr>
              <w:t>418</w:t>
            </w: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8,709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528</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10,453</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1,222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647</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Cameron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4,211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4,246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b w:val="1"/>
                <w:bCs w:val="1"/>
                <w:color w:val="auto"/>
              </w:rPr>
              <w:t>176</w:t>
            </w: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(414)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1,611</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283</w:t>
            </w:r>
          </w:p>
        </w:tc>
      </w:tr>
      <w:tr>
        <w:trPr>
          <w:trHeight w:val="213"/>
        </w:trPr>
        <w:tc>
          <w:tcPr>
            <w:tcW w:w="5200" w:type="dxa"/>
            <w:vAlign w:val="bottom"/>
          </w:tcPr>
          <w:p>
            <w:pPr>
              <w:ind w:left="240"/>
              <w:spacing w:after="0"/>
              <w:rPr>
                <w:sz w:val="20"/>
                <w:szCs w:val="20"/>
                <w:color w:val="auto"/>
              </w:rPr>
            </w:pPr>
            <w:r>
              <w:rPr>
                <w:rFonts w:ascii="Arial" w:cs="Arial" w:eastAsia="Arial" w:hAnsi="Arial"/>
                <w:sz w:val="17"/>
                <w:szCs w:val="17"/>
                <w:color w:val="auto"/>
              </w:rPr>
              <w:t>Pretax operating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Goodwill and intangible assets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34,845</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All other assets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2,408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(925)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10,739</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(517)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(3,820)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(1,905)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77,956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4,094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2,055</w:t>
            </w:r>
          </w:p>
        </w:tc>
      </w:tr>
      <w:tr>
        <w:trPr>
          <w:trHeight w:val="20"/>
        </w:trPr>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665"/>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w w:val="97"/>
              </w:rPr>
              <w:t>(Stated in milli</w:t>
            </w:r>
          </w:p>
        </w:tc>
      </w:tr>
      <w:tr>
        <w:trPr>
          <w:trHeight w:val="425"/>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3"/>
        </w:trPr>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7"/>
                <w:szCs w:val="17"/>
                <w:color w:val="auto"/>
                <w:w w:val="92"/>
              </w:rPr>
              <w:t>Depreciation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7"/>
                <w:szCs w:val="17"/>
                <w:color w:val="auto"/>
              </w:rPr>
              <w:t>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7"/>
                <w:szCs w:val="17"/>
                <w:color w:val="auto"/>
                <w:w w:val="84"/>
              </w:rPr>
              <w:t>and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Capital</w:t>
            </w:r>
          </w:p>
        </w:tc>
      </w:tr>
      <w:tr>
        <w:trPr>
          <w:trHeight w:val="219"/>
        </w:trPr>
        <w:tc>
          <w:tcPr>
            <w:tcW w:w="5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w w:val="96"/>
              </w:rPr>
              <w:t>Revenue</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Before Taxes</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Assets</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7"/>
              </w:rPr>
              <w:t>Amortization</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3"/>
              </w:rPr>
              <w:t>Expenditur</w:t>
            </w: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9,738</w:t>
            </w:r>
          </w:p>
        </w:tc>
        <w:tc>
          <w:tcPr>
            <w:tcW w:w="100" w:type="dxa"/>
            <w:vAlign w:val="bottom"/>
            <w:shd w:val="clear" w:color="auto" w:fill="CFF0FC"/>
          </w:tcPr>
          <w:p>
            <w:pPr>
              <w:spacing w:after="0"/>
              <w:rPr>
                <w:sz w:val="18"/>
                <w:szCs w:val="18"/>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2,465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8,338</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Drilling</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13,563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2,538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8,549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1,177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12,311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9,866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7"/>
                <w:szCs w:val="17"/>
                <w:color w:val="auto"/>
              </w:rPr>
              <w:t>1,201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Eliminations &amp; other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7"/>
                <w:szCs w:val="17"/>
                <w:color w:val="auto"/>
              </w:rPr>
              <w:t>(137)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92"/>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2,052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213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52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Pretax operating income</w:t>
            </w: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6,510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Goodwill and intangible assets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20,174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All other assets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92"/>
              <w:spacing w:after="0"/>
              <w:rPr>
                <w:sz w:val="20"/>
                <w:szCs w:val="20"/>
                <w:color w:val="auto"/>
              </w:rPr>
            </w:pPr>
            <w:r>
              <w:rPr>
                <w:rFonts w:ascii="Arial" w:cs="Arial" w:eastAsia="Arial" w:hAnsi="Arial"/>
                <w:sz w:val="17"/>
                <w:szCs w:val="17"/>
                <w:color w:val="auto"/>
              </w:rPr>
              <w:t>(768)</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16,764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92"/>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92"/>
              <w:spacing w:after="0"/>
              <w:rPr>
                <w:sz w:val="20"/>
                <w:szCs w:val="20"/>
                <w:color w:val="auto"/>
              </w:rPr>
            </w:pPr>
            <w:r>
              <w:rPr>
                <w:rFonts w:ascii="Arial" w:cs="Arial" w:eastAsia="Arial" w:hAnsi="Arial"/>
                <w:sz w:val="17"/>
                <w:szCs w:val="17"/>
                <w:color w:val="auto"/>
              </w:rPr>
              <w:t>(2,575)</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213"/>
        </w:trPr>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35,475</w:t>
            </w:r>
          </w:p>
        </w:tc>
        <w:tc>
          <w:tcPr>
            <w:tcW w:w="1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2,881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68,005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4,078</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w:t>
            </w:r>
          </w:p>
        </w:tc>
      </w:tr>
      <w:tr>
        <w:trPr>
          <w:trHeight w:val="20"/>
        </w:trPr>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819"/>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334"/>
              <w:spacing w:after="0"/>
              <w:rPr>
                <w:sz w:val="20"/>
                <w:szCs w:val="20"/>
                <w:color w:val="auto"/>
              </w:rPr>
            </w:pPr>
            <w:r>
              <w:rPr>
                <w:rFonts w:ascii="Arial" w:cs="Arial" w:eastAsia="Arial" w:hAnsi="Arial"/>
                <w:sz w:val="17"/>
                <w:szCs w:val="17"/>
                <w:color w:val="auto"/>
              </w:rPr>
              <w:t>55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2"/>
        </w:trPr>
        <w:tc>
          <w:tcPr>
            <w:tcW w:w="5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520"/>
          </w:cols>
          <w:pgMar w:left="240" w:top="334" w:right="1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i w:val="1"/>
                <w:iCs w:val="1"/>
                <w:color w:val="auto"/>
                <w:w w:val="92"/>
              </w:rPr>
              <w:t>(Stated in million</w:t>
            </w:r>
          </w:p>
        </w:tc>
      </w:tr>
      <w:tr>
        <w:trPr>
          <w:trHeight w:val="425"/>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2014</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3"/>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Depreciation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Income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and</w:t>
            </w:r>
          </w:p>
        </w:tc>
        <w:tc>
          <w:tcPr>
            <w:tcW w:w="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Capital</w:t>
            </w:r>
          </w:p>
        </w:tc>
      </w:tr>
      <w:tr>
        <w:trPr>
          <w:trHeight w:val="219"/>
        </w:trPr>
        <w:tc>
          <w:tcPr>
            <w:tcW w:w="5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3"/>
              </w:rPr>
              <w:t>Revenue</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2"/>
              </w:rPr>
              <w:t>Before Taxes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Assets</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Amortization</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Expenditures</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Reservoir Characterization</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13,339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9,324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w:t>
            </w:r>
          </w:p>
        </w:tc>
      </w:t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Drilling</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3,805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Production</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Eliminations &amp; other</w:t>
            </w: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3"/>
        </w:trPr>
        <w:tc>
          <w:tcPr>
            <w:tcW w:w="52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Pretax operating income</w:t>
            </w:r>
          </w:p>
        </w:tc>
        <w:tc>
          <w:tcPr>
            <w:tcW w:w="1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10,576</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Goodwill and intangible assets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20,141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All other assets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 xml:space="preserve">Corporate &amp; other </w:t>
            </w:r>
            <w:r>
              <w:rPr>
                <w:rFonts w:ascii="Arial" w:cs="Arial" w:eastAsia="Arial" w:hAnsi="Arial"/>
                <w:sz w:val="14"/>
                <w:szCs w:val="14"/>
                <w:color w:val="auto"/>
              </w:rPr>
              <w:t>(1)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(848)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income </w:t>
            </w:r>
            <w:r>
              <w:rPr>
                <w:rFonts w:ascii="Arial" w:cs="Arial" w:eastAsia="Arial" w:hAnsi="Arial"/>
                <w:sz w:val="14"/>
                <w:szCs w:val="14"/>
                <w:color w:val="auto"/>
              </w:rPr>
              <w:t>(2)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(3)</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(347)</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14"/>
                <w:szCs w:val="14"/>
                <w:color w:val="auto"/>
              </w:rPr>
              <w:t>(4)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(1,773)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13"/>
        </w:trPr>
        <w:tc>
          <w:tcPr>
            <w:tcW w:w="5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48,580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7,639</w:t>
            </w:r>
          </w:p>
        </w:tc>
        <w:tc>
          <w:tcPr>
            <w:tcW w:w="2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66,904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4,094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80" w:right="100" w:hanging="377"/>
        <w:spacing w:after="0" w:line="219" w:lineRule="auto"/>
        <w:tabs>
          <w:tab w:leader="none" w:pos="38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2016 acquisition of Cameron), certain centrally managed initiatives and other nonoperating items.</w:t>
      </w:r>
    </w:p>
    <w:p>
      <w:pPr>
        <w:spacing w:after="0" w:line="24" w:lineRule="exact"/>
        <w:rPr>
          <w:rFonts w:ascii="Arial" w:cs="Arial" w:eastAsia="Arial" w:hAnsi="Arial"/>
          <w:sz w:val="23"/>
          <w:szCs w:val="23"/>
          <w:color w:val="auto"/>
          <w:vertAlign w:val="superscript"/>
        </w:rPr>
      </w:pPr>
    </w:p>
    <w:p>
      <w:pPr>
        <w:ind w:left="380" w:hanging="377"/>
        <w:spacing w:after="0"/>
        <w:tabs>
          <w:tab w:leader="none" w:pos="38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Interest income excludes amounts which are included in the segments’ income (2016: $26 million; 2015: $22 million; 2014: $20 million).</w:t>
      </w:r>
    </w:p>
    <w:p>
      <w:pPr>
        <w:spacing w:after="0" w:line="125" w:lineRule="exact"/>
        <w:rPr>
          <w:rFonts w:ascii="Arial" w:cs="Arial" w:eastAsia="Arial" w:hAnsi="Arial"/>
          <w:sz w:val="25"/>
          <w:szCs w:val="25"/>
          <w:color w:val="auto"/>
          <w:vertAlign w:val="superscript"/>
        </w:rPr>
      </w:pPr>
    </w:p>
    <w:p>
      <w:pPr>
        <w:ind w:left="380" w:hanging="377"/>
        <w:spacing w:after="0" w:line="183" w:lineRule="auto"/>
        <w:tabs>
          <w:tab w:leader="none" w:pos="380" w:val="left"/>
        </w:tabs>
        <w:numPr>
          <w:ilvl w:val="0"/>
          <w:numId w:val="44"/>
        </w:numPr>
        <w:rPr>
          <w:rFonts w:ascii="Arial" w:cs="Arial" w:eastAsia="Arial" w:hAnsi="Arial"/>
          <w:sz w:val="21"/>
          <w:szCs w:val="21"/>
          <w:color w:val="auto"/>
          <w:vertAlign w:val="superscript"/>
        </w:rPr>
      </w:pPr>
      <w:r>
        <w:rPr>
          <w:rFonts w:ascii="Arial" w:cs="Arial" w:eastAsia="Arial" w:hAnsi="Arial"/>
          <w:sz w:val="13"/>
          <w:szCs w:val="13"/>
          <w:color w:val="auto"/>
        </w:rPr>
        <w:t>Interest expense excludes amounts which are included in the segments’ income (2016: $53 million; 2015: $30 million; 2014: $22 million).</w:t>
      </w:r>
    </w:p>
    <w:p>
      <w:pPr>
        <w:spacing w:after="0" w:line="125" w:lineRule="exact"/>
        <w:rPr>
          <w:rFonts w:ascii="Arial" w:cs="Arial" w:eastAsia="Arial" w:hAnsi="Arial"/>
          <w:sz w:val="21"/>
          <w:szCs w:val="21"/>
          <w:color w:val="auto"/>
          <w:vertAlign w:val="superscript"/>
        </w:rPr>
      </w:pPr>
    </w:p>
    <w:p>
      <w:pPr>
        <w:ind w:left="380" w:hanging="377"/>
        <w:spacing w:after="0" w:line="183" w:lineRule="auto"/>
        <w:tabs>
          <w:tab w:leader="none" w:pos="380" w:val="left"/>
        </w:tabs>
        <w:numPr>
          <w:ilvl w:val="0"/>
          <w:numId w:val="44"/>
        </w:numPr>
        <w:rPr>
          <w:rFonts w:ascii="Arial" w:cs="Arial" w:eastAsia="Arial" w:hAnsi="Arial"/>
          <w:sz w:val="21"/>
          <w:szCs w:val="21"/>
          <w:color w:val="auto"/>
          <w:vertAlign w:val="superscript"/>
        </w:rPr>
      </w:pPr>
      <w:r>
        <w:rPr>
          <w:rFonts w:ascii="Arial" w:cs="Arial" w:eastAsia="Arial" w:hAnsi="Arial"/>
          <w:sz w:val="13"/>
          <w:szCs w:val="13"/>
          <w:color w:val="auto"/>
        </w:rPr>
        <w:t xml:space="preserve">See Note 3 – </w:t>
      </w:r>
      <w:r>
        <w:rPr>
          <w:rFonts w:ascii="Arial" w:cs="Arial" w:eastAsia="Arial" w:hAnsi="Arial"/>
          <w:sz w:val="13"/>
          <w:szCs w:val="13"/>
          <w:i w:val="1"/>
          <w:iCs w:val="1"/>
          <w:color w:val="auto"/>
        </w:rPr>
        <w:t>Charges and Credits</w:t>
      </w:r>
      <w:r>
        <w:rPr>
          <w:rFonts w:ascii="Arial" w:cs="Arial" w:eastAsia="Arial" w:hAnsi="Arial"/>
          <w:sz w:val="13"/>
          <w:szCs w:val="13"/>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Segment assets consist of receivables, inventories, fixed assets, multiclient seismic data and SPM investments.</w:t>
      </w:r>
    </w:p>
    <w:p>
      <w:pPr>
        <w:spacing w:after="0" w:line="218"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Depreciation and amortization includes depreciation of property, plant and equipment and amortization of intangible assets, multiclient seismic data costs and SPM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by geographic area for the years ended December 31, 2016, 2015 and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100" w:type="dxa"/>
            <w:vAlign w:val="bottom"/>
            <w:tcBorders>
              <w:bottom w:val="single" w:sz="8" w:color="CFF0FC"/>
            </w:tcBorders>
          </w:tcPr>
          <w:p>
            <w:pPr>
              <w:spacing w:after="0"/>
              <w:rPr>
                <w:sz w:val="24"/>
                <w:szCs w:val="24"/>
                <w:color w:val="auto"/>
              </w:rPr>
            </w:pPr>
          </w:p>
        </w:tc>
        <w:tc>
          <w:tcPr>
            <w:tcW w:w="264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6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6,665</w:t>
            </w:r>
          </w:p>
        </w:tc>
        <w:tc>
          <w:tcPr>
            <w:tcW w:w="1100" w:type="dxa"/>
            <w:vAlign w:val="bottom"/>
            <w:gridSpan w:val="2"/>
            <w:shd w:val="clear" w:color="auto" w:fill="CFF0FC"/>
          </w:tcPr>
          <w:p>
            <w:pPr>
              <w:jc w:val="right"/>
              <w:ind w:right="6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9,811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16,151</w:t>
            </w:r>
          </w:p>
        </w:tc>
        <w:tc>
          <w:tcPr>
            <w:tcW w:w="100" w:type="dxa"/>
            <w:vAlign w:val="bottom"/>
            <w:shd w:val="clear" w:color="auto" w:fill="CFF0FC"/>
          </w:tcPr>
          <w:p>
            <w:pPr>
              <w:spacing w:after="0"/>
              <w:rPr>
                <w:sz w:val="18"/>
                <w:szCs w:val="18"/>
                <w:color w:val="auto"/>
              </w:rPr>
            </w:pPr>
          </w:p>
        </w:tc>
      </w:tr>
      <w:tr>
        <w:trPr>
          <w:trHeight w:val="220"/>
        </w:trPr>
        <w:tc>
          <w:tcPr>
            <w:tcW w:w="4100" w:type="dxa"/>
            <w:vAlign w:val="bottom"/>
          </w:tcPr>
          <w:p>
            <w:pPr>
              <w:spacing w:after="0"/>
              <w:rPr>
                <w:sz w:val="20"/>
                <w:szCs w:val="20"/>
                <w:color w:val="auto"/>
              </w:rPr>
            </w:pPr>
            <w:r>
              <w:rPr>
                <w:rFonts w:ascii="Arial" w:cs="Arial" w:eastAsia="Arial" w:hAnsi="Arial"/>
                <w:sz w:val="17"/>
                <w:szCs w:val="17"/>
                <w:color w:val="auto"/>
              </w:rPr>
              <w:t>Latin America</w:t>
            </w:r>
          </w:p>
        </w:tc>
        <w:tc>
          <w:tcPr>
            <w:tcW w:w="2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4,230</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6,014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7,699</w:t>
            </w:r>
          </w:p>
        </w:tc>
        <w:tc>
          <w:tcPr>
            <w:tcW w:w="100" w:type="dxa"/>
            <w:vAlign w:val="bottom"/>
          </w:tcPr>
          <w:p>
            <w:pPr>
              <w:spacing w:after="0"/>
              <w:rPr>
                <w:sz w:val="19"/>
                <w:szCs w:val="19"/>
                <w:color w:val="auto"/>
              </w:rPr>
            </w:pP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Europe/CIS/Africa</w:t>
            </w:r>
          </w:p>
        </w:tc>
        <w:tc>
          <w:tcPr>
            <w:tcW w:w="2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7,351</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9,284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12,515</w:t>
            </w:r>
          </w:p>
        </w:tc>
        <w:tc>
          <w:tcPr>
            <w:tcW w:w="100" w:type="dxa"/>
            <w:vAlign w:val="bottom"/>
            <w:shd w:val="clear" w:color="auto" w:fill="CFF0FC"/>
          </w:tcPr>
          <w:p>
            <w:pPr>
              <w:spacing w:after="0"/>
              <w:rPr>
                <w:sz w:val="19"/>
                <w:szCs w:val="19"/>
                <w:color w:val="auto"/>
              </w:rPr>
            </w:pPr>
          </w:p>
        </w:tc>
      </w:tr>
      <w:tr>
        <w:trPr>
          <w:trHeight w:val="220"/>
        </w:trPr>
        <w:tc>
          <w:tcPr>
            <w:tcW w:w="4100" w:type="dxa"/>
            <w:vAlign w:val="bottom"/>
          </w:tcPr>
          <w:p>
            <w:pPr>
              <w:spacing w:after="0"/>
              <w:rPr>
                <w:sz w:val="20"/>
                <w:szCs w:val="20"/>
                <w:color w:val="auto"/>
              </w:rPr>
            </w:pPr>
            <w:r>
              <w:rPr>
                <w:rFonts w:ascii="Arial" w:cs="Arial" w:eastAsia="Arial" w:hAnsi="Arial"/>
                <w:sz w:val="17"/>
                <w:szCs w:val="17"/>
                <w:color w:val="auto"/>
              </w:rPr>
              <w:t>Middle East &amp; Asia</w:t>
            </w:r>
          </w:p>
        </w:tc>
        <w:tc>
          <w:tcPr>
            <w:tcW w:w="2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9,286</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9,898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11,875</w:t>
            </w:r>
          </w:p>
        </w:tc>
        <w:tc>
          <w:tcPr>
            <w:tcW w:w="100" w:type="dxa"/>
            <w:vAlign w:val="bottom"/>
          </w:tcPr>
          <w:p>
            <w:pPr>
              <w:spacing w:after="0"/>
              <w:rPr>
                <w:sz w:val="19"/>
                <w:szCs w:val="19"/>
                <w:color w:val="auto"/>
              </w:rPr>
            </w:pP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Eliminations &amp; other</w:t>
            </w:r>
          </w:p>
        </w:tc>
        <w:tc>
          <w:tcPr>
            <w:tcW w:w="26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278</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FF0FC"/>
          </w:tcPr>
          <w:p>
            <w:pPr>
              <w:spacing w:after="0"/>
              <w:rPr>
                <w:sz w:val="19"/>
                <w:szCs w:val="19"/>
                <w:color w:val="auto"/>
              </w:rPr>
            </w:pPr>
          </w:p>
        </w:tc>
      </w:tr>
      <w:tr>
        <w:trPr>
          <w:trHeight w:val="213"/>
        </w:trPr>
        <w:tc>
          <w:tcPr>
            <w:tcW w:w="4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60" w:type="dxa"/>
            <w:vAlign w:val="bottom"/>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w w:val="88"/>
              </w:rPr>
              <w:t>27,810</w:t>
            </w:r>
          </w:p>
        </w:tc>
        <w:tc>
          <w:tcPr>
            <w:tcW w:w="110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35,475</w:t>
            </w:r>
          </w:p>
        </w:tc>
        <w:tc>
          <w:tcPr>
            <w:tcW w:w="2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48,580</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Revenue is based on the location where services are provided and products are sold.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During each of the three years ended December 31, 2016, 2015 and 2014, no single customer exceeded 10% of consolidated revenue.</w:t>
      </w:r>
    </w:p>
    <w:p>
      <w:pPr>
        <w:spacing w:after="0" w:line="218" w:lineRule="exact"/>
        <w:rPr>
          <w:sz w:val="20"/>
          <w:szCs w:val="20"/>
          <w:color w:val="auto"/>
        </w:rPr>
      </w:pPr>
    </w:p>
    <w:p>
      <w:pPr>
        <w:jc w:val="both"/>
        <w:ind w:right="100"/>
        <w:spacing w:after="0" w:line="283" w:lineRule="auto"/>
        <w:rPr>
          <w:sz w:val="20"/>
          <w:szCs w:val="20"/>
          <w:color w:val="auto"/>
        </w:rPr>
      </w:pPr>
      <w:r>
        <w:rPr>
          <w:rFonts w:ascii="Arial" w:cs="Arial" w:eastAsia="Arial" w:hAnsi="Arial"/>
          <w:sz w:val="17"/>
          <w:szCs w:val="17"/>
          <w:color w:val="auto"/>
        </w:rPr>
        <w:t>Schlumberger did not have revenue from third-party customers in its country of domicile during the last three years. Revenue in the United States in 2016, 2015 and 2014 was $5.4 billion, $8.5 billion and $14.0 billion, respectively.</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199" w:right="139" w:bottom="1440" w:gutter="0" w:footer="0" w:header="0"/>
        </w:sectPr>
      </w:pPr>
    </w:p>
    <w:bookmarkStart w:id="56" w:name="page57"/>
    <w:bookmarkEnd w:id="56"/>
    <w:p>
      <w:pPr>
        <w:spacing w:after="0"/>
        <w:rPr>
          <w:sz w:val="20"/>
          <w:szCs w:val="20"/>
          <w:color w:val="auto"/>
        </w:rPr>
      </w:pPr>
      <w:r>
        <w:rPr>
          <w:rFonts w:ascii="Arial" w:cs="Arial" w:eastAsia="Arial" w:hAnsi="Arial"/>
          <w:sz w:val="17"/>
          <w:szCs w:val="17"/>
          <w:i w:val="1"/>
          <w:iCs w:val="1"/>
          <w:color w:val="auto"/>
        </w:rPr>
        <w:t xml:space="preserve">Fixed Assets less accumulated depreciation </w:t>
      </w:r>
      <w:r>
        <w:rPr>
          <w:rFonts w:ascii="Arial" w:cs="Arial" w:eastAsia="Arial" w:hAnsi="Arial"/>
          <w:sz w:val="17"/>
          <w:szCs w:val="17"/>
          <w:color w:val="auto"/>
        </w:rPr>
        <w:t>by geographic area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25"/>
        </w:trPr>
        <w:tc>
          <w:tcPr>
            <w:tcW w:w="4060" w:type="dxa"/>
            <w:vAlign w:val="bottom"/>
            <w:tcBorders>
              <w:bottom w:val="single" w:sz="8" w:color="CFF0FC"/>
            </w:tcBorders>
          </w:tcPr>
          <w:p>
            <w:pPr>
              <w:spacing w:after="0"/>
              <w:rPr>
                <w:sz w:val="24"/>
                <w:szCs w:val="24"/>
                <w:color w:val="auto"/>
              </w:rPr>
            </w:pPr>
          </w:p>
        </w:tc>
        <w:tc>
          <w:tcPr>
            <w:tcW w:w="268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6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4,428</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4,885</w:t>
            </w:r>
          </w:p>
        </w:tc>
        <w:tc>
          <w:tcPr>
            <w:tcW w:w="100" w:type="dxa"/>
            <w:vAlign w:val="bottom"/>
            <w:shd w:val="clear" w:color="auto" w:fill="CFF0FC"/>
          </w:tcPr>
          <w:p>
            <w:pPr>
              <w:spacing w:after="0"/>
              <w:rPr>
                <w:sz w:val="18"/>
                <w:szCs w:val="18"/>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7"/>
                <w:szCs w:val="17"/>
                <w:color w:val="auto"/>
              </w:rPr>
              <w:t>Latin America</w:t>
            </w: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1,460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1,969</w:t>
            </w:r>
          </w:p>
        </w:tc>
        <w:tc>
          <w:tcPr>
            <w:tcW w:w="100" w:type="dxa"/>
            <w:vAlign w:val="bottom"/>
          </w:tcPr>
          <w:p>
            <w:pPr>
              <w:spacing w:after="0"/>
              <w:rPr>
                <w:sz w:val="19"/>
                <w:szCs w:val="19"/>
                <w:color w:val="auto"/>
              </w:rPr>
            </w:pPr>
          </w:p>
        </w:tc>
      </w:tr>
      <w:tr>
        <w:trPr>
          <w:trHeight w:val="220"/>
        </w:trPr>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Europe/CIS/Africa</w:t>
            </w:r>
          </w:p>
        </w:tc>
        <w:tc>
          <w:tcPr>
            <w:tcW w:w="2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3,640</w:t>
            </w:r>
          </w:p>
        </w:tc>
        <w:tc>
          <w:tcPr>
            <w:tcW w:w="100" w:type="dxa"/>
            <w:vAlign w:val="bottom"/>
            <w:shd w:val="clear" w:color="auto" w:fill="CFF0FC"/>
          </w:tcPr>
          <w:p>
            <w:pPr>
              <w:spacing w:after="0"/>
              <w:rPr>
                <w:sz w:val="19"/>
                <w:szCs w:val="19"/>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7"/>
                <w:szCs w:val="17"/>
                <w:color w:val="auto"/>
              </w:rPr>
              <w:t>Middle East &amp; Asia</w:t>
            </w: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3,149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3,078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3,446</w:t>
            </w:r>
          </w:p>
        </w:tc>
        <w:tc>
          <w:tcPr>
            <w:tcW w:w="100" w:type="dxa"/>
            <w:vAlign w:val="bottom"/>
          </w:tcPr>
          <w:p>
            <w:pPr>
              <w:spacing w:after="0"/>
              <w:rPr>
                <w:sz w:val="19"/>
                <w:szCs w:val="19"/>
                <w:color w:val="auto"/>
              </w:rPr>
            </w:pPr>
          </w:p>
        </w:tc>
      </w:tr>
      <w:tr>
        <w:trPr>
          <w:trHeight w:val="220"/>
        </w:trPr>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Unallocated </w:t>
            </w:r>
            <w:r>
              <w:rPr>
                <w:rFonts w:ascii="Arial" w:cs="Arial" w:eastAsia="Arial" w:hAnsi="Arial"/>
                <w:sz w:val="14"/>
                <w:szCs w:val="14"/>
                <w:color w:val="auto"/>
              </w:rPr>
              <w:t>(1)</w:t>
            </w:r>
          </w:p>
        </w:tc>
        <w:tc>
          <w:tcPr>
            <w:tcW w:w="26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1,078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1,239</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60" w:type="dxa"/>
            <w:vAlign w:val="bottom"/>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w w:val="88"/>
              </w:rPr>
              <w:t>12,821</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13,415</w:t>
            </w:r>
          </w:p>
        </w:tc>
        <w:tc>
          <w:tcPr>
            <w:tcW w:w="2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15,396</w:t>
            </w: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ind w:left="380" w:hanging="377"/>
        <w:spacing w:after="0"/>
        <w:tabs>
          <w:tab w:leader="none" w:pos="380" w:val="left"/>
        </w:tabs>
        <w:numPr>
          <w:ilvl w:val="0"/>
          <w:numId w:val="45"/>
        </w:numPr>
        <w:rPr>
          <w:rFonts w:ascii="Arial" w:cs="Arial" w:eastAsia="Arial" w:hAnsi="Arial"/>
          <w:sz w:val="26"/>
          <w:szCs w:val="26"/>
          <w:color w:val="auto"/>
          <w:vertAlign w:val="superscript"/>
        </w:rPr>
      </w:pPr>
      <w:r>
        <w:rPr>
          <w:rFonts w:ascii="Arial" w:cs="Arial" w:eastAsia="Arial" w:hAnsi="Arial"/>
          <w:sz w:val="16"/>
          <w:szCs w:val="16"/>
          <w:color w:val="auto"/>
        </w:rPr>
        <w:t>Represents seismic vessels, including the related on-board equipment, which frequently transition between geographic areas.</w:t>
      </w:r>
    </w:p>
    <w:p>
      <w:pPr>
        <w:spacing w:after="0" w:line="297" w:lineRule="exact"/>
        <w:rPr>
          <w:sz w:val="20"/>
          <w:szCs w:val="20"/>
          <w:color w:val="auto"/>
        </w:rPr>
      </w:pPr>
    </w:p>
    <w:p>
      <w:pPr>
        <w:ind w:left="300" w:hanging="297"/>
        <w:spacing w:after="0"/>
        <w:tabs>
          <w:tab w:leader="none" w:pos="3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Pension and Other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Plans</w:t>
      </w:r>
    </w:p>
    <w:p>
      <w:pPr>
        <w:spacing w:after="0" w:line="115"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59"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In addition to the US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60"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The weighted-average assumed discount rate, compensation increases and the expected long-term rate of return on plan assets used to determine the net pension cost for the US and International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7"/>
                <w:szCs w:val="17"/>
                <w:color w:val="auto"/>
                <w:w w:val="92"/>
              </w:rPr>
              <w:t>US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7"/>
                <w:szCs w:val="17"/>
                <w:color w:val="auto"/>
                <w:w w:val="94"/>
              </w:rPr>
              <w:t>International</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45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2015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9"/>
              </w:rPr>
              <w:t>2014</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5"/>
              </w:rPr>
              <w:t>2016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2015</w:t>
            </w: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2014</w:t>
            </w: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4.50%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4.36%</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4.07%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4.76%</w:t>
            </w:r>
          </w:p>
        </w:tc>
      </w:tr>
      <w:tr>
        <w:trPr>
          <w:trHeight w:val="220"/>
        </w:trPr>
        <w:tc>
          <w:tcPr>
            <w:tcW w:w="4500" w:type="dxa"/>
            <w:vAlign w:val="bottom"/>
          </w:tcPr>
          <w:p>
            <w:pPr>
              <w:spacing w:after="0"/>
              <w:rPr>
                <w:sz w:val="20"/>
                <w:szCs w:val="20"/>
                <w:color w:val="auto"/>
              </w:rPr>
            </w:pPr>
            <w:r>
              <w:rPr>
                <w:rFonts w:ascii="Arial" w:cs="Arial" w:eastAsia="Arial" w:hAnsi="Arial"/>
                <w:sz w:val="17"/>
                <w:szCs w:val="17"/>
                <w:color w:val="auto"/>
              </w:rPr>
              <w:t>Compensation increases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4.80%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7"/>
                <w:szCs w:val="17"/>
                <w:color w:val="auto"/>
              </w:rPr>
              <w:t>4.80%</w:t>
            </w:r>
          </w:p>
        </w:tc>
      </w:tr>
      <w:tr>
        <w:trPr>
          <w:trHeight w:val="220"/>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Return on plan assets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7.25%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b w:val="1"/>
                <w:bCs w:val="1"/>
                <w:color w:val="auto"/>
              </w:rPr>
              <w:t>7.40%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7.40%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7.50%</w:t>
            </w:r>
          </w:p>
        </w:tc>
      </w:tr>
      <w:tr>
        <w:trPr>
          <w:trHeight w:val="453"/>
        </w:trPr>
        <w:tc>
          <w:tcPr>
            <w:tcW w:w="5800" w:type="dxa"/>
            <w:vAlign w:val="bottom"/>
            <w:gridSpan w:val="7"/>
          </w:tcPr>
          <w:p>
            <w:pPr>
              <w:spacing w:after="0"/>
              <w:rPr>
                <w:sz w:val="20"/>
                <w:szCs w:val="20"/>
                <w:color w:val="auto"/>
              </w:rPr>
            </w:pPr>
            <w:r>
              <w:rPr>
                <w:rFonts w:ascii="Arial" w:cs="Arial" w:eastAsia="Arial" w:hAnsi="Arial"/>
                <w:sz w:val="17"/>
                <w:szCs w:val="17"/>
                <w:color w:val="auto"/>
                <w:w w:val="98"/>
              </w:rPr>
              <w:t>Net pension cost for 2016, 2015 and 2014 included the following components: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6"/>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6"/>
          </w:tcPr>
          <w:p>
            <w:pPr>
              <w:jc w:val="center"/>
              <w:ind w:right="100"/>
              <w:spacing w:after="0"/>
              <w:rPr>
                <w:sz w:val="20"/>
                <w:szCs w:val="20"/>
                <w:color w:val="auto"/>
              </w:rPr>
            </w:pPr>
            <w:r>
              <w:rPr>
                <w:rFonts w:ascii="Arial" w:cs="Arial" w:eastAsia="Arial" w:hAnsi="Arial"/>
                <w:sz w:val="14"/>
                <w:szCs w:val="14"/>
                <w:i w:val="1"/>
                <w:iCs w:val="1"/>
                <w:color w:val="auto"/>
                <w:w w:val="90"/>
              </w:rPr>
              <w:t>(Stated in millions)</w:t>
            </w:r>
          </w:p>
        </w:tc>
      </w:tr>
      <w:tr>
        <w:trPr>
          <w:trHeight w:val="412"/>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7"/>
                <w:szCs w:val="17"/>
                <w:color w:val="auto"/>
                <w:w w:val="92"/>
              </w:rPr>
              <w:t>US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7"/>
                <w:szCs w:val="17"/>
                <w:color w:val="auto"/>
                <w:w w:val="94"/>
              </w:rPr>
              <w:t>International</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45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2014</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2015</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2014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Service cost - benefits earned during the period</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62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110</w:t>
            </w:r>
          </w:p>
        </w:tc>
        <w:tc>
          <w:tcPr>
            <w:tcW w:w="10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167</w:t>
            </w:r>
          </w:p>
        </w:tc>
        <w:tc>
          <w:tcPr>
            <w:tcW w:w="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FF0FC"/>
          </w:tcPr>
          <w:p>
            <w:pPr>
              <w:spacing w:after="0"/>
              <w:rPr>
                <w:sz w:val="18"/>
                <w:szCs w:val="18"/>
                <w:color w:val="auto"/>
              </w:rPr>
            </w:pPr>
          </w:p>
        </w:tc>
      </w:tr>
      <w:tr>
        <w:trPr>
          <w:trHeight w:val="220"/>
        </w:trPr>
        <w:tc>
          <w:tcPr>
            <w:tcW w:w="4500" w:type="dxa"/>
            <w:vAlign w:val="bottom"/>
          </w:tcPr>
          <w:p>
            <w:pPr>
              <w:spacing w:after="0"/>
              <w:rPr>
                <w:sz w:val="20"/>
                <w:szCs w:val="20"/>
                <w:color w:val="auto"/>
              </w:rPr>
            </w:pPr>
            <w:r>
              <w:rPr>
                <w:rFonts w:ascii="Arial" w:cs="Arial" w:eastAsia="Arial" w:hAnsi="Arial"/>
                <w:sz w:val="17"/>
                <w:szCs w:val="17"/>
                <w:color w:val="auto"/>
              </w:rPr>
              <w:t>Interest cost on projected benefit obligation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311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9"/>
                <w:szCs w:val="19"/>
                <w:color w:val="auto"/>
              </w:rPr>
            </w:pPr>
          </w:p>
        </w:tc>
      </w:tr>
      <w:tr>
        <w:trPr>
          <w:trHeight w:val="220"/>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Expected return on plan assets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(235)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b w:val="1"/>
                <w:bCs w:val="1"/>
                <w:color w:val="auto"/>
              </w:rPr>
              <w:t>(517)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(498)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(450)</w:t>
            </w:r>
          </w:p>
        </w:tc>
      </w:tr>
      <w:tr>
        <w:trPr>
          <w:trHeight w:val="220"/>
        </w:trPr>
        <w:tc>
          <w:tcPr>
            <w:tcW w:w="4500" w:type="dxa"/>
            <w:vAlign w:val="bottom"/>
          </w:tcPr>
          <w:p>
            <w:pPr>
              <w:spacing w:after="0"/>
              <w:rPr>
                <w:sz w:val="20"/>
                <w:szCs w:val="20"/>
                <w:color w:val="auto"/>
              </w:rPr>
            </w:pPr>
            <w:r>
              <w:rPr>
                <w:rFonts w:ascii="Arial" w:cs="Arial" w:eastAsia="Arial" w:hAnsi="Arial"/>
                <w:sz w:val="17"/>
                <w:szCs w:val="17"/>
                <w:color w:val="auto"/>
              </w:rPr>
              <w:t>Amortization of prior service cost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r>
      <w:tr>
        <w:trPr>
          <w:trHeight w:val="220"/>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net loss</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79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78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FF0FC"/>
          </w:tcPr>
          <w:p>
            <w:pPr>
              <w:spacing w:after="0"/>
              <w:rPr>
                <w:sz w:val="19"/>
                <w:szCs w:val="19"/>
                <w:color w:val="auto"/>
              </w:rPr>
            </w:pPr>
          </w:p>
        </w:tc>
      </w:t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104</w:t>
            </w:r>
          </w:p>
        </w:tc>
        <w:tc>
          <w:tcPr>
            <w:tcW w:w="1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257</w:t>
            </w: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The weighted-average assumed discount rate and compensation increases used to determine the projected benefit obligations for the US and International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US</w:t>
            </w:r>
          </w:p>
        </w:tc>
        <w:tc>
          <w:tcPr>
            <w:tcW w:w="11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Borders>
              <w:bottom w:val="single" w:sz="8" w:color="auto"/>
            </w:tcBorders>
            <w:gridSpan w:val="3"/>
          </w:tcPr>
          <w:p>
            <w:pPr>
              <w:ind w:left="860"/>
              <w:spacing w:after="0"/>
              <w:rPr>
                <w:sz w:val="20"/>
                <w:szCs w:val="20"/>
                <w:color w:val="auto"/>
              </w:rPr>
            </w:pPr>
            <w:r>
              <w:rPr>
                <w:rFonts w:ascii="Arial" w:cs="Arial" w:eastAsia="Arial" w:hAnsi="Arial"/>
                <w:sz w:val="17"/>
                <w:szCs w:val="17"/>
                <w:color w:val="auto"/>
                <w:w w:val="98"/>
              </w:rPr>
              <w:t>International</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57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3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6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680" w:type="dxa"/>
            <w:vAlign w:val="bottom"/>
            <w:gridSpan w:val="2"/>
            <w:shd w:val="clear" w:color="auto" w:fill="CFF0FC"/>
          </w:tcPr>
          <w:p>
            <w:pPr>
              <w:jc w:val="right"/>
              <w:ind w:right="54"/>
              <w:spacing w:after="0"/>
              <w:rPr>
                <w:sz w:val="20"/>
                <w:szCs w:val="20"/>
                <w:color w:val="auto"/>
              </w:rPr>
            </w:pPr>
            <w:r>
              <w:rPr>
                <w:rFonts w:ascii="Arial" w:cs="Arial" w:eastAsia="Arial" w:hAnsi="Arial"/>
                <w:sz w:val="17"/>
                <w:szCs w:val="17"/>
                <w:b w:val="1"/>
                <w:bCs w:val="1"/>
                <w:color w:val="auto"/>
              </w:rPr>
              <w:t>4.20%</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4.50%</w:t>
            </w:r>
          </w:p>
        </w:tc>
        <w:tc>
          <w:tcPr>
            <w:tcW w:w="1460" w:type="dxa"/>
            <w:vAlign w:val="bottom"/>
            <w:gridSpan w:val="2"/>
            <w:shd w:val="clear" w:color="auto" w:fill="CFF0FC"/>
          </w:tcPr>
          <w:p>
            <w:pPr>
              <w:ind w:left="820"/>
              <w:spacing w:after="0"/>
              <w:rPr>
                <w:sz w:val="20"/>
                <w:szCs w:val="20"/>
                <w:color w:val="auto"/>
              </w:rPr>
            </w:pPr>
            <w:r>
              <w:rPr>
                <w:rFonts w:ascii="Arial" w:cs="Arial" w:eastAsia="Arial" w:hAnsi="Arial"/>
                <w:sz w:val="17"/>
                <w:szCs w:val="17"/>
                <w:b w:val="1"/>
                <w:bCs w:val="1"/>
                <w:color w:val="auto"/>
              </w:rPr>
              <w:t>4.13%</w:t>
            </w: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4.36%</w:t>
            </w:r>
          </w:p>
        </w:tc>
        <w:tc>
          <w:tcPr>
            <w:tcW w:w="40" w:type="dxa"/>
            <w:vAlign w:val="bottom"/>
          </w:tcPr>
          <w:p>
            <w:pPr>
              <w:spacing w:after="0"/>
              <w:rPr>
                <w:sz w:val="18"/>
                <w:szCs w:val="18"/>
                <w:color w:val="auto"/>
              </w:rPr>
            </w:pPr>
          </w:p>
        </w:tc>
      </w:tr>
      <w:tr>
        <w:trPr>
          <w:trHeight w:val="225"/>
        </w:trPr>
        <w:tc>
          <w:tcPr>
            <w:tcW w:w="6500" w:type="dxa"/>
            <w:vAlign w:val="bottom"/>
            <w:gridSpan w:val="2"/>
          </w:tcPr>
          <w:p>
            <w:pPr>
              <w:spacing w:after="0"/>
              <w:rPr>
                <w:sz w:val="20"/>
                <w:szCs w:val="20"/>
                <w:color w:val="auto"/>
              </w:rPr>
            </w:pPr>
            <w:r>
              <w:rPr>
                <w:rFonts w:ascii="Arial" w:cs="Arial" w:eastAsia="Arial" w:hAnsi="Arial"/>
                <w:sz w:val="17"/>
                <w:szCs w:val="17"/>
                <w:color w:val="auto"/>
              </w:rPr>
              <w:t>Compensation increases</w:t>
            </w:r>
          </w:p>
        </w:tc>
        <w:tc>
          <w:tcPr>
            <w:tcW w:w="68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rPr>
              <w:t>4.00%</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4.00%</w:t>
            </w:r>
          </w:p>
        </w:tc>
        <w:tc>
          <w:tcPr>
            <w:tcW w:w="1460" w:type="dxa"/>
            <w:vAlign w:val="bottom"/>
            <w:gridSpan w:val="2"/>
          </w:tcPr>
          <w:p>
            <w:pPr>
              <w:ind w:left="820"/>
              <w:spacing w:after="0"/>
              <w:rPr>
                <w:sz w:val="20"/>
                <w:szCs w:val="20"/>
                <w:color w:val="auto"/>
              </w:rPr>
            </w:pPr>
            <w:r>
              <w:rPr>
                <w:rFonts w:ascii="Arial" w:cs="Arial" w:eastAsia="Arial" w:hAnsi="Arial"/>
                <w:sz w:val="17"/>
                <w:szCs w:val="17"/>
                <w:b w:val="1"/>
                <w:bCs w:val="1"/>
                <w:color w:val="auto"/>
              </w:rPr>
              <w:t>4.81%</w:t>
            </w: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4.80%</w:t>
            </w:r>
          </w:p>
        </w:tc>
        <w:tc>
          <w:tcPr>
            <w:tcW w:w="40" w:type="dxa"/>
            <w:vAlign w:val="bottom"/>
          </w:tcPr>
          <w:p>
            <w:pPr>
              <w:spacing w:after="0"/>
              <w:rPr>
                <w:sz w:val="19"/>
                <w:szCs w:val="19"/>
                <w:color w:val="auto"/>
              </w:rPr>
            </w:pPr>
          </w:p>
        </w:tc>
      </w:tr>
      <w:tr>
        <w:trPr>
          <w:trHeight w:val="408"/>
        </w:trPr>
        <w:tc>
          <w:tcPr>
            <w:tcW w:w="6500" w:type="dxa"/>
            <w:vAlign w:val="bottom"/>
            <w:gridSpan w:val="2"/>
          </w:tcPr>
          <w:p>
            <w:pPr>
              <w:jc w:val="right"/>
              <w:ind w:right="614"/>
              <w:spacing w:after="0"/>
              <w:rPr>
                <w:sz w:val="20"/>
                <w:szCs w:val="20"/>
                <w:color w:val="auto"/>
              </w:rPr>
            </w:pPr>
            <w:r>
              <w:rPr>
                <w:rFonts w:ascii="Arial" w:cs="Arial" w:eastAsia="Arial" w:hAnsi="Arial"/>
                <w:sz w:val="17"/>
                <w:szCs w:val="17"/>
                <w:color w:val="auto"/>
              </w:rPr>
              <w:t>57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5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The changes in the projected benefit obligation, plan assets and funded status of the plans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412"/>
        </w:trPr>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US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17"/>
                <w:szCs w:val="17"/>
                <w:color w:val="auto"/>
              </w:rPr>
              <w:t>International</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2016</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color w:val="auto"/>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Projected Benefit Obligations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Projected benefit obligation at beginning of year</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4,025</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4,137</w:t>
            </w:r>
          </w:p>
        </w:tc>
        <w:tc>
          <w:tcPr>
            <w:tcW w:w="2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7,340</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Service cost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Interest cost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Contribution by plan participants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Actuarial (gains)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(205)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Currency effect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(290)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Benefits paid</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(183)</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(163)</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22</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7"/>
                <w:szCs w:val="17"/>
                <w:color w:val="auto"/>
              </w:rPr>
              <w:t>Projected benefit obligation at end of year</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4,240</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4,025</w:t>
            </w:r>
          </w:p>
        </w:tc>
        <w:tc>
          <w:tcPr>
            <w:tcW w:w="2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7,793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Plan Assets</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Plan assets at fair value at beginning of year</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3,467</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3,549</w:t>
            </w:r>
          </w:p>
        </w:tc>
        <w:tc>
          <w:tcPr>
            <w:tcW w:w="2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6,832</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Actual return on plan assets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320</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Currency effect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Company contributions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Contributions by plan participants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Benefits paid</w:t>
            </w:r>
          </w:p>
        </w:tc>
        <w:tc>
          <w:tcPr>
            <w:tcW w:w="2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b w:val="1"/>
                <w:bCs w:val="1"/>
                <w:color w:val="auto"/>
              </w:rPr>
              <w:t>(183)</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(163)</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20"/>
        </w:trPr>
        <w:tc>
          <w:tcPr>
            <w:tcW w:w="5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Plan assets at fair value at end of year</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3,625</w:t>
            </w: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7,194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Unfunded Liability</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vMerge w:val="continue"/>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(615)</w:t>
            </w:r>
          </w:p>
        </w:tc>
        <w:tc>
          <w:tcPr>
            <w:tcW w:w="24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(558)</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(599)</w:t>
            </w:r>
          </w:p>
        </w:tc>
        <w:tc>
          <w:tcPr>
            <w:tcW w:w="140" w:type="dxa"/>
            <w:vAlign w:val="bottom"/>
            <w:vMerge w:val="continue"/>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1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Amounts Recognized in Balance Sheet</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Postretirement Benefits</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(615)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(558)</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(724)</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(615)</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(558)</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(599)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21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Amounts Recognized in Accumulated Other Comprehensive Loss</w:t>
            </w: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7"/>
                <w:szCs w:val="17"/>
                <w:color w:val="auto"/>
              </w:rPr>
              <w:t>Actuarial losses</w:t>
            </w: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982</w:t>
            </w:r>
          </w:p>
        </w:tc>
        <w:tc>
          <w:tcPr>
            <w:tcW w:w="2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1,008</w:t>
            </w:r>
          </w:p>
        </w:tc>
        <w:tc>
          <w:tcPr>
            <w:tcW w:w="2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1,644</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cost</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w:t>
            </w:r>
          </w:p>
        </w:tc>
        <w:tc>
          <w:tcPr>
            <w:tcW w:w="24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1,024</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1,062</w:t>
            </w:r>
          </w:p>
        </w:tc>
        <w:tc>
          <w:tcPr>
            <w:tcW w:w="2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1,758</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Accumulated benefit obligation</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3,999</w:t>
            </w:r>
          </w:p>
        </w:tc>
        <w:tc>
          <w:tcPr>
            <w:tcW w:w="2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7,454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allocation of plan assets and the target allocations by asset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4"/>
              <w:spacing w:after="0"/>
              <w:rPr>
                <w:sz w:val="20"/>
                <w:szCs w:val="20"/>
                <w:color w:val="auto"/>
              </w:rPr>
            </w:pPr>
            <w:r>
              <w:rPr>
                <w:rFonts w:ascii="Arial" w:cs="Arial" w:eastAsia="Arial" w:hAnsi="Arial"/>
                <w:sz w:val="17"/>
                <w:szCs w:val="17"/>
                <w:color w:val="auto"/>
                <w:w w:val="92"/>
              </w:rPr>
              <w:t>US</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w w:val="91"/>
              </w:rPr>
              <w:t>International</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3"/>
        </w:trPr>
        <w:tc>
          <w:tcPr>
            <w:tcW w:w="45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7"/>
                <w:szCs w:val="17"/>
                <w:color w:val="auto"/>
              </w:rPr>
              <w:t>Target</w:t>
            </w:r>
          </w:p>
        </w:tc>
        <w:tc>
          <w:tcPr>
            <w:tcW w:w="2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color w:val="auto"/>
              </w:rPr>
              <w:t>Target</w:t>
            </w:r>
          </w:p>
        </w:tc>
        <w:tc>
          <w:tcPr>
            <w:tcW w:w="2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18"/>
                <w:szCs w:val="18"/>
                <w:color w:val="auto"/>
              </w:rPr>
            </w:pPr>
          </w:p>
        </w:tc>
      </w:tr>
      <w:tr>
        <w:trPr>
          <w:trHeight w:val="213"/>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- 56%</w:t>
            </w:r>
          </w:p>
        </w:tc>
        <w:tc>
          <w:tcPr>
            <w:tcW w:w="6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52%</w:t>
            </w:r>
          </w:p>
        </w:tc>
        <w:tc>
          <w:tcPr>
            <w:tcW w:w="6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52%</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8"/>
              </w:rPr>
              <w:t>- 71%</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64%</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w:t>
            </w:r>
          </w:p>
        </w:tc>
      </w:tr>
      <w:tr>
        <w:trPr>
          <w:trHeight w:val="220"/>
        </w:trPr>
        <w:tc>
          <w:tcPr>
            <w:tcW w:w="4500" w:type="dxa"/>
            <w:vAlign w:val="bottom"/>
          </w:tcPr>
          <w:p>
            <w:pPr>
              <w:spacing w:after="0"/>
              <w:rPr>
                <w:sz w:val="20"/>
                <w:szCs w:val="20"/>
                <w:color w:val="auto"/>
              </w:rPr>
            </w:pPr>
            <w:r>
              <w:rPr>
                <w:rFonts w:ascii="Arial" w:cs="Arial" w:eastAsia="Arial" w:hAnsi="Arial"/>
                <w:sz w:val="17"/>
                <w:szCs w:val="17"/>
                <w:color w:val="auto"/>
              </w:rPr>
              <w:t>Debt securities</w:t>
            </w:r>
          </w:p>
        </w:tc>
        <w:tc>
          <w:tcPr>
            <w:tcW w:w="560" w:type="dxa"/>
            <w:vAlign w:val="bottom"/>
          </w:tcPr>
          <w:p>
            <w:pPr>
              <w:jc w:val="right"/>
              <w:spacing w:after="0"/>
              <w:rPr>
                <w:sz w:val="20"/>
                <w:szCs w:val="20"/>
                <w:color w:val="auto"/>
              </w:rPr>
            </w:pPr>
            <w:r>
              <w:rPr>
                <w:rFonts w:ascii="Arial" w:cs="Arial" w:eastAsia="Arial" w:hAnsi="Arial"/>
                <w:sz w:val="17"/>
                <w:szCs w:val="17"/>
                <w:color w:val="auto"/>
              </w:rPr>
              <w:t>35</w:t>
            </w:r>
          </w:p>
        </w:tc>
        <w:tc>
          <w:tcPr>
            <w:tcW w:w="340" w:type="dxa"/>
            <w:vAlign w:val="bottom"/>
          </w:tcPr>
          <w:p>
            <w:pPr>
              <w:jc w:val="right"/>
              <w:spacing w:after="0"/>
              <w:rPr>
                <w:sz w:val="20"/>
                <w:szCs w:val="20"/>
                <w:color w:val="auto"/>
              </w:rPr>
            </w:pPr>
            <w:r>
              <w:rPr>
                <w:rFonts w:ascii="Arial" w:cs="Arial" w:eastAsia="Arial" w:hAnsi="Arial"/>
                <w:sz w:val="17"/>
                <w:szCs w:val="17"/>
                <w:color w:val="auto"/>
              </w:rPr>
              <w:t>- 62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37</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w:t>
            </w:r>
          </w:p>
        </w:tc>
        <w:tc>
          <w:tcPr>
            <w:tcW w:w="320" w:type="dxa"/>
            <w:vAlign w:val="bottom"/>
          </w:tcPr>
          <w:p>
            <w:pPr>
              <w:jc w:val="right"/>
              <w:spacing w:after="0"/>
              <w:rPr>
                <w:sz w:val="20"/>
                <w:szCs w:val="20"/>
                <w:color w:val="auto"/>
              </w:rPr>
            </w:pPr>
            <w:r>
              <w:rPr>
                <w:rFonts w:ascii="Arial" w:cs="Arial" w:eastAsia="Arial" w:hAnsi="Arial"/>
                <w:sz w:val="17"/>
                <w:szCs w:val="17"/>
                <w:color w:val="auto"/>
              </w:rPr>
              <w:t>- 35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9"/>
                <w:szCs w:val="19"/>
                <w:color w:val="auto"/>
              </w:rPr>
            </w:pPr>
          </w:p>
        </w:tc>
      </w:tr>
      <w:tr>
        <w:trPr>
          <w:trHeight w:val="220"/>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0 - 3</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0 - 5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9"/>
                <w:szCs w:val="19"/>
                <w:color w:val="auto"/>
              </w:rPr>
            </w:pPr>
          </w:p>
        </w:tc>
      </w:tr>
      <w:tr>
        <w:trPr>
          <w:trHeight w:val="220"/>
        </w:trPr>
        <w:tc>
          <w:tcPr>
            <w:tcW w:w="4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Alternative investments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- 10</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- 25</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60" w:type="dxa"/>
            <w:vAlign w:val="bottom"/>
            <w:tcBorders>
              <w:bottom w:val="single" w:sz="8" w:color="CFF0FC"/>
            </w:tcBorders>
          </w:tcPr>
          <w:p>
            <w:pPr>
              <w:spacing w:after="0"/>
              <w:rPr>
                <w:sz w:val="19"/>
                <w:szCs w:val="19"/>
                <w:color w:val="auto"/>
              </w:rPr>
            </w:pPr>
          </w:p>
        </w:tc>
      </w:tr>
      <w:tr>
        <w:trPr>
          <w:trHeight w:val="213"/>
        </w:trPr>
        <w:tc>
          <w:tcPr>
            <w:tcW w:w="45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w:t>
            </w:r>
          </w:p>
        </w:tc>
        <w:tc>
          <w:tcPr>
            <w:tcW w:w="6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w w:val="96"/>
              </w:rPr>
              <w:t>100%</w:t>
            </w:r>
          </w:p>
        </w:tc>
        <w:tc>
          <w:tcPr>
            <w:tcW w:w="6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1"/>
              </w:rPr>
              <w:t>100%</w:t>
            </w:r>
          </w:p>
        </w:tc>
        <w:tc>
          <w:tcPr>
            <w:tcW w:w="5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100%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Asset performance is monitored frequently with an overall expectation that plan assets will meet or exceed the weighted index of its target asset allocation and component benchmark over rolling five-year periods.</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expected rate of return on assets assumptions reflect the long-term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8" w:name="page59"/>
    <w:bookmarkEnd w:id="58"/>
    <w:p>
      <w:pPr>
        <w:ind w:right="40"/>
        <w:spacing w:after="0" w:line="283" w:lineRule="auto"/>
        <w:rPr>
          <w:sz w:val="20"/>
          <w:szCs w:val="20"/>
          <w:color w:val="auto"/>
        </w:rPr>
      </w:pPr>
      <w:r>
        <w:rPr>
          <w:rFonts w:ascii="Arial" w:cs="Arial" w:eastAsia="Arial" w:hAnsi="Arial"/>
          <w:sz w:val="17"/>
          <w:szCs w:val="17"/>
          <w:color w:val="auto"/>
        </w:rPr>
        <w:t>The fair value of Schlumberger’s pension plan assets at December 31, 2016 and 2015, by asset category, is presented below and was determined based on valuation techniques categorized as follows:</w:t>
      </w:r>
    </w:p>
    <w:p>
      <w:pPr>
        <w:spacing w:after="0" w:line="56" w:lineRule="exact"/>
        <w:rPr>
          <w:sz w:val="20"/>
          <w:szCs w:val="20"/>
          <w:color w:val="auto"/>
        </w:rPr>
      </w:pPr>
    </w:p>
    <w:p>
      <w:pPr>
        <w:ind w:left="1040" w:hanging="391"/>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Level One: The use of quoted prices in active markets for identical instruments.</w:t>
      </w:r>
    </w:p>
    <w:p>
      <w:pPr>
        <w:spacing w:after="0" w:line="114" w:lineRule="exact"/>
        <w:rPr>
          <w:rFonts w:ascii="Arial" w:cs="Arial" w:eastAsia="Arial" w:hAnsi="Arial"/>
          <w:sz w:val="17"/>
          <w:szCs w:val="17"/>
          <w:color w:val="auto"/>
        </w:rPr>
      </w:pPr>
    </w:p>
    <w:p>
      <w:pPr>
        <w:ind w:left="1020" w:right="40" w:hanging="371"/>
        <w:spacing w:after="0" w:line="283"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5" w:lineRule="exact"/>
        <w:rPr>
          <w:rFonts w:ascii="Arial" w:cs="Arial" w:eastAsia="Arial" w:hAnsi="Arial"/>
          <w:sz w:val="17"/>
          <w:szCs w:val="17"/>
          <w:color w:val="auto"/>
        </w:rPr>
      </w:pPr>
    </w:p>
    <w:p>
      <w:pPr>
        <w:ind w:left="1020" w:right="40" w:hanging="371"/>
        <w:spacing w:after="0" w:line="283"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Level Three: The use of significant unobservable inputs that typically require the use of management’s estimates of assumptions that market participants would use in pricing.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ind w:left="54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7"/>
                <w:szCs w:val="17"/>
                <w:color w:val="auto"/>
              </w:rPr>
              <w:t>US Plan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7"/>
                <w:szCs w:val="17"/>
                <w:b w:val="1"/>
                <w:bCs w:val="1"/>
                <w:color w:val="auto"/>
                <w:w w:val="89"/>
              </w:rPr>
              <w:t>2016</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2015</w:t>
            </w: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34"/>
              <w:spacing w:after="0"/>
              <w:rPr>
                <w:sz w:val="20"/>
                <w:szCs w:val="20"/>
                <w:color w:val="auto"/>
              </w:rPr>
            </w:pPr>
            <w:r>
              <w:rPr>
                <w:rFonts w:ascii="Arial" w:cs="Arial" w:eastAsia="Arial" w:hAnsi="Arial"/>
                <w:sz w:val="17"/>
                <w:szCs w:val="17"/>
                <w:color w:val="auto"/>
                <w:w w:val="98"/>
              </w:rPr>
              <w:t>Level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7"/>
                <w:szCs w:val="17"/>
                <w:color w:val="auto"/>
                <w:w w:val="93"/>
              </w:rPr>
              <w:t>Level</w:t>
            </w: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Level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4"/>
              <w:spacing w:after="0"/>
              <w:rPr>
                <w:sz w:val="20"/>
                <w:szCs w:val="20"/>
                <w:color w:val="auto"/>
              </w:rPr>
            </w:pPr>
            <w:r>
              <w:rPr>
                <w:rFonts w:ascii="Arial" w:cs="Arial" w:eastAsia="Arial" w:hAnsi="Arial"/>
                <w:sz w:val="17"/>
                <w:szCs w:val="17"/>
                <w:color w:val="auto"/>
                <w:w w:val="98"/>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6"/>
              <w:spacing w:after="0"/>
              <w:rPr>
                <w:sz w:val="20"/>
                <w:szCs w:val="20"/>
                <w:color w:val="auto"/>
              </w:rPr>
            </w:pPr>
            <w:r>
              <w:rPr>
                <w:rFonts w:ascii="Arial" w:cs="Arial" w:eastAsia="Arial" w:hAnsi="Arial"/>
                <w:sz w:val="17"/>
                <w:szCs w:val="17"/>
                <w:color w:val="auto"/>
                <w:w w:val="98"/>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Level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right="34"/>
              <w:spacing w:after="0"/>
              <w:rPr>
                <w:sz w:val="20"/>
                <w:szCs w:val="20"/>
                <w:color w:val="auto"/>
              </w:rPr>
            </w:pPr>
            <w:r>
              <w:rPr>
                <w:rFonts w:ascii="Arial" w:cs="Arial" w:eastAsia="Arial" w:hAnsi="Arial"/>
                <w:sz w:val="17"/>
                <w:szCs w:val="17"/>
                <w:color w:val="auto"/>
                <w:w w:val="86"/>
              </w:rPr>
              <w:t>One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7"/>
                <w:szCs w:val="17"/>
                <w:color w:val="auto"/>
                <w:w w:val="93"/>
              </w:rPr>
              <w:t>Two</w:t>
            </w:r>
          </w:p>
        </w:tc>
        <w:tc>
          <w:tcPr>
            <w:tcW w:w="12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620" w:type="dxa"/>
            <w:vAlign w:val="bottom"/>
          </w:tcPr>
          <w:p>
            <w:pPr>
              <w:jc w:val="center"/>
              <w:ind w:right="54"/>
              <w:spacing w:after="0"/>
              <w:rPr>
                <w:sz w:val="20"/>
                <w:szCs w:val="20"/>
                <w:color w:val="auto"/>
              </w:rPr>
            </w:pPr>
            <w:r>
              <w:rPr>
                <w:rFonts w:ascii="Arial" w:cs="Arial" w:eastAsia="Arial" w:hAnsi="Arial"/>
                <w:sz w:val="17"/>
                <w:szCs w:val="17"/>
                <w:color w:val="auto"/>
                <w:w w:val="86"/>
              </w:rPr>
              <w:t>One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right="36"/>
              <w:spacing w:after="0"/>
              <w:rPr>
                <w:sz w:val="20"/>
                <w:szCs w:val="20"/>
                <w:color w:val="auto"/>
              </w:rPr>
            </w:pPr>
            <w:r>
              <w:rPr>
                <w:rFonts w:ascii="Arial" w:cs="Arial" w:eastAsia="Arial" w:hAnsi="Arial"/>
                <w:sz w:val="17"/>
                <w:szCs w:val="17"/>
                <w:color w:val="auto"/>
                <w:w w:val="93"/>
              </w:rPr>
              <w:t>Two</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60</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34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45</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 Securities: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40"/>
              <w:spacing w:after="0"/>
              <w:rPr>
                <w:sz w:val="20"/>
                <w:szCs w:val="20"/>
                <w:color w:val="auto"/>
              </w:rPr>
            </w:pPr>
            <w:r>
              <w:rPr>
                <w:rFonts w:ascii="Arial" w:cs="Arial" w:eastAsia="Arial" w:hAnsi="Arial"/>
                <w:sz w:val="17"/>
                <w:szCs w:val="17"/>
                <w:color w:val="auto"/>
              </w:rPr>
              <w:t xml:space="preserve">US </w:t>
            </w:r>
            <w:r>
              <w:rPr>
                <w:rFonts w:ascii="Arial" w:cs="Arial" w:eastAsia="Arial" w:hAnsi="Arial"/>
                <w:sz w:val="14"/>
                <w:szCs w:val="14"/>
                <w:color w:val="auto"/>
              </w:rPr>
              <w:t>(a)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1,049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14"/>
                <w:szCs w:val="14"/>
                <w:color w:val="auto"/>
              </w:rPr>
              <w:t>(b)</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662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649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7"/>
                <w:szCs w:val="17"/>
                <w:b w:val="1"/>
                <w:bCs w:val="1"/>
                <w:color w:val="auto"/>
              </w:rPr>
              <w:t>Debt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Corporate bonds </w:t>
            </w:r>
            <w:r>
              <w:rPr>
                <w:rFonts w:ascii="Arial" w:cs="Arial" w:eastAsia="Arial" w:hAnsi="Arial"/>
                <w:sz w:val="14"/>
                <w:szCs w:val="14"/>
                <w:color w:val="auto"/>
              </w:rPr>
              <w:t>(c)</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240"/>
              <w:spacing w:after="0"/>
              <w:rPr>
                <w:sz w:val="20"/>
                <w:szCs w:val="20"/>
                <w:color w:val="auto"/>
              </w:rPr>
            </w:pPr>
            <w:r>
              <w:rPr>
                <w:rFonts w:ascii="Arial" w:cs="Arial" w:eastAsia="Arial" w:hAnsi="Arial"/>
                <w:sz w:val="17"/>
                <w:szCs w:val="17"/>
                <w:color w:val="auto"/>
                <w:w w:val="94"/>
              </w:rPr>
              <w:t>Government and government-related debt securities</w:t>
            </w: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164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589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430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960" w:type="dxa"/>
            <w:vAlign w:val="bottom"/>
          </w:tcPr>
          <w:p>
            <w:pPr>
              <w:ind w:left="240"/>
              <w:spacing w:after="0" w:line="169" w:lineRule="exact"/>
              <w:rPr>
                <w:sz w:val="20"/>
                <w:szCs w:val="20"/>
                <w:color w:val="auto"/>
              </w:rPr>
            </w:pPr>
            <w:r>
              <w:rPr>
                <w:rFonts w:ascii="Arial" w:cs="Arial" w:eastAsia="Arial" w:hAnsi="Arial"/>
                <w:sz w:val="15"/>
                <w:szCs w:val="15"/>
                <w:color w:val="auto"/>
              </w:rPr>
              <w:t>(d)</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Collateralized mortgage obligations and mortgage</w:t>
            </w:r>
          </w:p>
        </w:tc>
        <w:tc>
          <w:tcPr>
            <w:tcW w:w="14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92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92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backed securities </w:t>
            </w:r>
            <w:r>
              <w:rPr>
                <w:rFonts w:ascii="Arial" w:cs="Arial" w:eastAsia="Arial" w:hAnsi="Arial"/>
                <w:sz w:val="14"/>
                <w:szCs w:val="14"/>
                <w:color w:val="auto"/>
              </w:rPr>
              <w:t>(e)</w:t>
            </w: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7"/>
                <w:szCs w:val="17"/>
                <w:b w:val="1"/>
                <w:bCs w:val="1"/>
                <w:color w:val="auto"/>
              </w:rPr>
              <w:t>Alternative Investments: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Private equity </w:t>
            </w:r>
            <w:r>
              <w:rPr>
                <w:rFonts w:ascii="Arial" w:cs="Arial" w:eastAsia="Arial" w:hAnsi="Arial"/>
                <w:sz w:val="14"/>
                <w:szCs w:val="14"/>
                <w:color w:val="auto"/>
              </w:rPr>
              <w:t>(f)</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 xml:space="preserve">Real estate </w:t>
            </w:r>
            <w:r>
              <w:rPr>
                <w:rFonts w:ascii="Arial" w:cs="Arial" w:eastAsia="Arial" w:hAnsi="Arial"/>
                <w:sz w:val="14"/>
                <w:szCs w:val="14"/>
                <w:color w:val="auto"/>
              </w:rPr>
              <w:t>(g)</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3,625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1,877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1,415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5"/>
          </w:tcPr>
          <w:p>
            <w:pPr>
              <w:ind w:left="54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color w:val="auto"/>
                <w:w w:val="97"/>
              </w:rPr>
              <w:t>International Plan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7"/>
                <w:szCs w:val="17"/>
                <w:b w:val="1"/>
                <w:bCs w:val="1"/>
                <w:color w:val="auto"/>
                <w:w w:val="89"/>
              </w:rPr>
              <w:t>2016</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2015</w:t>
            </w: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center"/>
              <w:ind w:right="34"/>
              <w:spacing w:after="0"/>
              <w:rPr>
                <w:sz w:val="20"/>
                <w:szCs w:val="20"/>
                <w:color w:val="auto"/>
              </w:rPr>
            </w:pPr>
            <w:r>
              <w:rPr>
                <w:rFonts w:ascii="Arial" w:cs="Arial" w:eastAsia="Arial" w:hAnsi="Arial"/>
                <w:sz w:val="17"/>
                <w:szCs w:val="17"/>
                <w:color w:val="auto"/>
                <w:w w:val="98"/>
              </w:rPr>
              <w:t>Level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7"/>
                <w:szCs w:val="17"/>
                <w:color w:val="auto"/>
                <w:w w:val="93"/>
              </w:rPr>
              <w:t>Level</w:t>
            </w: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Level</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4"/>
              <w:spacing w:after="0"/>
              <w:rPr>
                <w:sz w:val="20"/>
                <w:szCs w:val="20"/>
                <w:color w:val="auto"/>
              </w:rPr>
            </w:pPr>
            <w:r>
              <w:rPr>
                <w:rFonts w:ascii="Arial" w:cs="Arial" w:eastAsia="Arial" w:hAnsi="Arial"/>
                <w:sz w:val="17"/>
                <w:szCs w:val="17"/>
                <w:color w:val="auto"/>
                <w:w w:val="98"/>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56"/>
              <w:spacing w:after="0"/>
              <w:rPr>
                <w:sz w:val="20"/>
                <w:szCs w:val="20"/>
                <w:color w:val="auto"/>
              </w:rPr>
            </w:pPr>
            <w:r>
              <w:rPr>
                <w:rFonts w:ascii="Arial" w:cs="Arial" w:eastAsia="Arial" w:hAnsi="Arial"/>
                <w:sz w:val="17"/>
                <w:szCs w:val="17"/>
                <w:color w:val="auto"/>
                <w:w w:val="98"/>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Level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center"/>
              <w:ind w:right="34"/>
              <w:spacing w:after="0"/>
              <w:rPr>
                <w:sz w:val="20"/>
                <w:szCs w:val="20"/>
                <w:color w:val="auto"/>
              </w:rPr>
            </w:pPr>
            <w:r>
              <w:rPr>
                <w:rFonts w:ascii="Arial" w:cs="Arial" w:eastAsia="Arial" w:hAnsi="Arial"/>
                <w:sz w:val="17"/>
                <w:szCs w:val="17"/>
                <w:color w:val="auto"/>
                <w:w w:val="86"/>
              </w:rPr>
              <w:t>One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7"/>
                <w:szCs w:val="17"/>
                <w:color w:val="auto"/>
                <w:w w:val="93"/>
              </w:rPr>
              <w:t>Two</w:t>
            </w:r>
          </w:p>
        </w:tc>
        <w:tc>
          <w:tcPr>
            <w:tcW w:w="12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620" w:type="dxa"/>
            <w:vAlign w:val="bottom"/>
          </w:tcPr>
          <w:p>
            <w:pPr>
              <w:jc w:val="center"/>
              <w:ind w:right="54"/>
              <w:spacing w:after="0"/>
              <w:rPr>
                <w:sz w:val="20"/>
                <w:szCs w:val="20"/>
                <w:color w:val="auto"/>
              </w:rPr>
            </w:pPr>
            <w:r>
              <w:rPr>
                <w:rFonts w:ascii="Arial" w:cs="Arial" w:eastAsia="Arial" w:hAnsi="Arial"/>
                <w:sz w:val="17"/>
                <w:szCs w:val="17"/>
                <w:color w:val="auto"/>
                <w:w w:val="86"/>
              </w:rPr>
              <w:t>One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right="36"/>
              <w:spacing w:after="0"/>
              <w:rPr>
                <w:sz w:val="20"/>
                <w:szCs w:val="20"/>
                <w:color w:val="auto"/>
              </w:rPr>
            </w:pPr>
            <w:r>
              <w:rPr>
                <w:rFonts w:ascii="Arial" w:cs="Arial" w:eastAsia="Arial" w:hAnsi="Arial"/>
                <w:sz w:val="17"/>
                <w:szCs w:val="17"/>
                <w:color w:val="auto"/>
                <w:w w:val="93"/>
              </w:rPr>
              <w:t>Two</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Three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184</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135</w:t>
            </w:r>
          </w:p>
        </w:tc>
        <w:tc>
          <w:tcPr>
            <w:tcW w:w="34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115</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23</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 Securities: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40"/>
              <w:spacing w:after="0"/>
              <w:rPr>
                <w:sz w:val="20"/>
                <w:szCs w:val="20"/>
                <w:color w:val="auto"/>
              </w:rPr>
            </w:pPr>
            <w:r>
              <w:rPr>
                <w:rFonts w:ascii="Arial" w:cs="Arial" w:eastAsia="Arial" w:hAnsi="Arial"/>
                <w:sz w:val="17"/>
                <w:szCs w:val="17"/>
                <w:color w:val="auto"/>
              </w:rPr>
              <w:t xml:space="preserve">US </w:t>
            </w:r>
            <w:r>
              <w:rPr>
                <w:rFonts w:ascii="Arial" w:cs="Arial" w:eastAsia="Arial" w:hAnsi="Arial"/>
                <w:sz w:val="14"/>
                <w:szCs w:val="14"/>
                <w:color w:val="auto"/>
              </w:rPr>
              <w:t>(a)</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2,854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2,324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14"/>
                <w:szCs w:val="14"/>
                <w:color w:val="auto"/>
              </w:rPr>
              <w:t>(b)</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1,475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7"/>
                <w:szCs w:val="17"/>
                <w:b w:val="1"/>
                <w:bCs w:val="1"/>
                <w:color w:val="auto"/>
              </w:rPr>
              <w:t>Debt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Corporate bonds </w:t>
            </w:r>
            <w:r>
              <w:rPr>
                <w:rFonts w:ascii="Arial" w:cs="Arial" w:eastAsia="Arial" w:hAnsi="Arial"/>
                <w:sz w:val="14"/>
                <w:szCs w:val="14"/>
                <w:color w:val="auto"/>
              </w:rPr>
              <w:t>(c)</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240"/>
              <w:spacing w:after="0"/>
              <w:rPr>
                <w:sz w:val="20"/>
                <w:szCs w:val="20"/>
                <w:color w:val="auto"/>
              </w:rPr>
            </w:pPr>
            <w:r>
              <w:rPr>
                <w:rFonts w:ascii="Arial" w:cs="Arial" w:eastAsia="Arial" w:hAnsi="Arial"/>
                <w:sz w:val="17"/>
                <w:szCs w:val="17"/>
                <w:color w:val="auto"/>
                <w:w w:val="94"/>
              </w:rPr>
              <w:t>Government and government-related debt securities</w:t>
            </w: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1,036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1,028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960" w:type="dxa"/>
            <w:vAlign w:val="bottom"/>
          </w:tcPr>
          <w:p>
            <w:pPr>
              <w:ind w:left="240"/>
              <w:spacing w:after="0" w:line="169" w:lineRule="exact"/>
              <w:rPr>
                <w:sz w:val="20"/>
                <w:szCs w:val="20"/>
                <w:color w:val="auto"/>
              </w:rPr>
            </w:pPr>
            <w:r>
              <w:rPr>
                <w:rFonts w:ascii="Arial" w:cs="Arial" w:eastAsia="Arial" w:hAnsi="Arial"/>
                <w:sz w:val="15"/>
                <w:szCs w:val="15"/>
                <w:color w:val="auto"/>
              </w:rPr>
              <w:t>(d)</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w w:val="98"/>
              </w:rPr>
              <w:t>Collateralized mortgage obligations and mortgage</w:t>
            </w:r>
          </w:p>
        </w:tc>
        <w:tc>
          <w:tcPr>
            <w:tcW w:w="14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backed securities </w:t>
            </w:r>
            <w:r>
              <w:rPr>
                <w:rFonts w:ascii="Arial" w:cs="Arial" w:eastAsia="Arial" w:hAnsi="Arial"/>
                <w:sz w:val="14"/>
                <w:szCs w:val="14"/>
                <w:color w:val="auto"/>
              </w:rPr>
              <w:t>(e)</w:t>
            </w:r>
          </w:p>
        </w:tc>
        <w:tc>
          <w:tcPr>
            <w:tcW w:w="14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20"/>
                <w:szCs w:val="20"/>
                <w:color w:val="auto"/>
              </w:rPr>
            </w:pPr>
            <w:r>
              <w:rPr>
                <w:rFonts w:ascii="Arial" w:cs="Arial" w:eastAsia="Arial" w:hAnsi="Arial"/>
                <w:sz w:val="17"/>
                <w:szCs w:val="17"/>
                <w:b w:val="1"/>
                <w:bCs w:val="1"/>
                <w:color w:val="auto"/>
              </w:rPr>
              <w:t>Alternative Investments: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Private equity </w:t>
            </w:r>
            <w:r>
              <w:rPr>
                <w:rFonts w:ascii="Arial" w:cs="Arial" w:eastAsia="Arial" w:hAnsi="Arial"/>
                <w:sz w:val="14"/>
                <w:szCs w:val="14"/>
                <w:color w:val="auto"/>
              </w:rPr>
              <w:t>(f)</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240"/>
              <w:spacing w:after="0"/>
              <w:rPr>
                <w:sz w:val="20"/>
                <w:szCs w:val="20"/>
                <w:color w:val="auto"/>
              </w:rPr>
            </w:pPr>
            <w:r>
              <w:rPr>
                <w:rFonts w:ascii="Arial" w:cs="Arial" w:eastAsia="Arial" w:hAnsi="Arial"/>
                <w:sz w:val="17"/>
                <w:szCs w:val="17"/>
                <w:color w:val="auto"/>
              </w:rPr>
              <w:t xml:space="preserve">Real estate </w:t>
            </w:r>
            <w:r>
              <w:rPr>
                <w:rFonts w:ascii="Arial" w:cs="Arial" w:eastAsia="Arial" w:hAnsi="Arial"/>
                <w:sz w:val="14"/>
                <w:szCs w:val="14"/>
                <w:color w:val="auto"/>
              </w:rPr>
              <w:t>(g)</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7,194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3,944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2,636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614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6,832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3,542</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2,807</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7"/>
                <w:szCs w:val="17"/>
                <w:color w:val="auto"/>
                <w:w w:val="94"/>
              </w:rPr>
              <w:t>59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4" w:right="199" w:bottom="1440" w:gutter="0" w:footer="0" w:header="0"/>
        </w:sectPr>
      </w:pPr>
    </w:p>
    <w:bookmarkStart w:id="59" w:name="page60"/>
    <w:bookmarkEnd w:id="59"/>
    <w:p>
      <w:pPr>
        <w:ind w:left="520" w:right="40" w:hanging="517"/>
        <w:spacing w:after="0" w:line="193" w:lineRule="auto"/>
        <w:tabs>
          <w:tab w:leader="none" w:pos="5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US equities include companies that are well-diversified by industry sector and equity style (i.e., growth and value strategies). Active and passive management strategies are employed. Investments are primarily in large capitalization stocks and, to a lesser extent, mid- and small-cap stocks.</w:t>
      </w:r>
    </w:p>
    <w:p>
      <w:pPr>
        <w:spacing w:after="0" w:line="102" w:lineRule="exact"/>
        <w:rPr>
          <w:rFonts w:ascii="Arial" w:cs="Arial" w:eastAsia="Arial" w:hAnsi="Arial"/>
          <w:sz w:val="26"/>
          <w:szCs w:val="26"/>
          <w:color w:val="auto"/>
          <w:vertAlign w:val="superscript"/>
        </w:rPr>
      </w:pPr>
    </w:p>
    <w:p>
      <w:pPr>
        <w:ind w:left="520" w:right="40" w:hanging="517"/>
        <w:spacing w:after="0" w:line="219" w:lineRule="auto"/>
        <w:tabs>
          <w:tab w:leader="none" w:pos="52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International equities are invested in companies that are traded on exchanges outside the US and are well-diversified by industry sector, country and equity style. Active and passive strategies are employed. The vast majority of the investments are made in companies in developed markets with a small percentage in emerging markets.</w:t>
      </w:r>
    </w:p>
    <w:p>
      <w:pPr>
        <w:spacing w:after="0" w:line="1" w:lineRule="exact"/>
        <w:rPr>
          <w:rFonts w:ascii="Arial" w:cs="Arial" w:eastAsia="Arial" w:hAnsi="Arial"/>
          <w:sz w:val="23"/>
          <w:szCs w:val="23"/>
          <w:color w:val="auto"/>
          <w:vertAlign w:val="superscript"/>
        </w:rPr>
      </w:pPr>
    </w:p>
    <w:p>
      <w:pPr>
        <w:ind w:left="520" w:hanging="517"/>
        <w:spacing w:after="0" w:line="238" w:lineRule="auto"/>
        <w:tabs>
          <w:tab w:leader="none" w:pos="5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Corporate bonds consist primarily of investment grade bonds from diversified industries.</w:t>
      </w:r>
    </w:p>
    <w:p>
      <w:pPr>
        <w:spacing w:after="0" w:line="113" w:lineRule="exact"/>
        <w:rPr>
          <w:rFonts w:ascii="Arial" w:cs="Arial" w:eastAsia="Arial" w:hAnsi="Arial"/>
          <w:sz w:val="26"/>
          <w:szCs w:val="26"/>
          <w:color w:val="auto"/>
          <w:vertAlign w:val="superscript"/>
        </w:rPr>
      </w:pPr>
    </w:p>
    <w:p>
      <w:pPr>
        <w:ind w:left="520" w:hanging="517"/>
        <w:spacing w:after="0" w:line="183" w:lineRule="auto"/>
        <w:tabs>
          <w:tab w:leader="none" w:pos="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Government and government-related debt securities are comprised primarily of inflation-protected US treasuries and, to a lesser extent, other government-related securities.</w:t>
      </w:r>
    </w:p>
    <w:p>
      <w:pPr>
        <w:spacing w:after="0" w:line="113" w:lineRule="exact"/>
        <w:rPr>
          <w:rFonts w:ascii="Arial" w:cs="Arial" w:eastAsia="Arial" w:hAnsi="Arial"/>
          <w:sz w:val="21"/>
          <w:szCs w:val="21"/>
          <w:color w:val="auto"/>
          <w:vertAlign w:val="superscript"/>
        </w:rPr>
      </w:pPr>
    </w:p>
    <w:p>
      <w:pPr>
        <w:ind w:left="520" w:right="40" w:hanging="517"/>
        <w:spacing w:after="0" w:line="213" w:lineRule="auto"/>
        <w:tabs>
          <w:tab w:leader="none" w:pos="52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ind w:left="520" w:hanging="517"/>
        <w:spacing w:after="0" w:line="238" w:lineRule="auto"/>
        <w:tabs>
          <w:tab w:leader="none" w:pos="5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Private equity includes investments in several fund of funds limited partnerships.</w:t>
      </w:r>
    </w:p>
    <w:p>
      <w:pPr>
        <w:spacing w:after="0" w:line="113" w:lineRule="exact"/>
        <w:rPr>
          <w:rFonts w:ascii="Arial" w:cs="Arial" w:eastAsia="Arial" w:hAnsi="Arial"/>
          <w:sz w:val="26"/>
          <w:szCs w:val="26"/>
          <w:color w:val="auto"/>
          <w:vertAlign w:val="superscript"/>
        </w:rPr>
      </w:pPr>
    </w:p>
    <w:p>
      <w:pPr>
        <w:ind w:left="520" w:hanging="517"/>
        <w:spacing w:after="0" w:line="183" w:lineRule="auto"/>
        <w:tabs>
          <w:tab w:leader="none" w:pos="52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Real estate primarily includes investments in real estate limited partnerships, concentrated in commercial real estate.</w:t>
      </w:r>
    </w:p>
    <w:p>
      <w:pPr>
        <w:spacing w:after="0" w:line="200"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expects to contribute approximately $200 million to its postretirement benefit plans in 2017, subject to market and business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Postretirement Benefits Other Than Pensions</w:t>
      </w:r>
    </w:p>
    <w:p>
      <w:pPr>
        <w:spacing w:after="0" w:line="115"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Schlumberger provides certain healthcare benefits to certain former US employees who have retired. Effective April 1, 2015, Schlumberger changed the way it provides healthcare coverage to certain retirees who are age 65 and over. Under the amended plan, these retirees transferred to individual coverage under the Medicare Exchange. Schlumberger subsidizes the cost of the program by providing these retirees with a Health Reimbursement Account. The annual subsidy may be increased based on medical cost inflation, but it will not be increased by more than 5% in any given year.</w:t>
      </w:r>
    </w:p>
    <w:p>
      <w:pPr>
        <w:spacing w:after="0" w:line="177"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The actuarial assumptions used to determine the accumulated postretirement benefit obligation and net periodic benefit cost for the US postretirement medical plan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20" w:type="dxa"/>
            <w:vAlign w:val="bottom"/>
          </w:tcPr>
          <w:p>
            <w:pPr>
              <w:spacing w:after="0"/>
              <w:rPr>
                <w:sz w:val="19"/>
                <w:szCs w:val="19"/>
                <w:color w:val="auto"/>
              </w:rPr>
            </w:pPr>
          </w:p>
        </w:tc>
        <w:tc>
          <w:tcPr>
            <w:tcW w:w="2800" w:type="dxa"/>
            <w:vAlign w:val="bottom"/>
            <w:gridSpan w:val="7"/>
          </w:tcPr>
          <w:p>
            <w:pPr>
              <w:jc w:val="center"/>
              <w:ind w:right="480"/>
              <w:spacing w:after="0"/>
              <w:rPr>
                <w:sz w:val="20"/>
                <w:szCs w:val="20"/>
                <w:color w:val="auto"/>
              </w:rPr>
            </w:pPr>
            <w:r>
              <w:rPr>
                <w:rFonts w:ascii="Arial" w:cs="Arial" w:eastAsia="Arial" w:hAnsi="Arial"/>
                <w:sz w:val="17"/>
                <w:szCs w:val="17"/>
                <w:color w:val="auto"/>
                <w:w w:val="95"/>
              </w:rPr>
              <w:t>Benefit Obligations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5"/>
          </w:tcPr>
          <w:p>
            <w:pPr>
              <w:jc w:val="center"/>
              <w:spacing w:after="0"/>
              <w:rPr>
                <w:sz w:val="20"/>
                <w:szCs w:val="20"/>
                <w:color w:val="auto"/>
              </w:rPr>
            </w:pPr>
            <w:r>
              <w:rPr>
                <w:rFonts w:ascii="Arial" w:cs="Arial" w:eastAsia="Arial" w:hAnsi="Arial"/>
                <w:sz w:val="17"/>
                <w:szCs w:val="17"/>
                <w:color w:val="auto"/>
                <w:w w:val="93"/>
              </w:rPr>
              <w:t>Net Periodic Benefit</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tcPr>
          <w:p>
            <w:pPr>
              <w:spacing w:after="0"/>
              <w:rPr>
                <w:sz w:val="19"/>
                <w:szCs w:val="19"/>
                <w:color w:val="auto"/>
              </w:rPr>
            </w:pPr>
          </w:p>
        </w:tc>
        <w:tc>
          <w:tcPr>
            <w:tcW w:w="2800" w:type="dxa"/>
            <w:vAlign w:val="bottom"/>
            <w:gridSpan w:val="7"/>
          </w:tcPr>
          <w:p>
            <w:pPr>
              <w:jc w:val="center"/>
              <w:ind w:right="460"/>
              <w:spacing w:after="0"/>
              <w:rPr>
                <w:sz w:val="20"/>
                <w:szCs w:val="20"/>
                <w:color w:val="auto"/>
              </w:rPr>
            </w:pPr>
            <w:r>
              <w:rPr>
                <w:rFonts w:ascii="Arial" w:cs="Arial" w:eastAsia="Arial" w:hAnsi="Arial"/>
                <w:sz w:val="17"/>
                <w:szCs w:val="17"/>
                <w:color w:val="auto"/>
                <w:w w:val="92"/>
              </w:rPr>
              <w:t>At December 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4"/>
          </w:tcPr>
          <w:p>
            <w:pPr>
              <w:jc w:val="center"/>
              <w:ind w:right="114"/>
              <w:spacing w:after="0"/>
              <w:rPr>
                <w:sz w:val="20"/>
                <w:szCs w:val="20"/>
                <w:color w:val="auto"/>
              </w:rPr>
            </w:pPr>
            <w:r>
              <w:rPr>
                <w:rFonts w:ascii="Arial" w:cs="Arial" w:eastAsia="Arial" w:hAnsi="Arial"/>
                <w:sz w:val="17"/>
                <w:szCs w:val="17"/>
                <w:color w:val="auto"/>
                <w:w w:val="90"/>
              </w:rPr>
              <w:t>Cost for the Year</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top w:val="single" w:sz="8" w:color="auto"/>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61"/>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center"/>
              <w:ind w:left="154"/>
              <w:spacing w:after="0"/>
              <w:rPr>
                <w:sz w:val="20"/>
                <w:szCs w:val="20"/>
                <w:color w:val="auto"/>
              </w:rPr>
            </w:pPr>
            <w:r>
              <w:rPr>
                <w:rFonts w:ascii="Arial" w:cs="Arial" w:eastAsia="Arial" w:hAnsi="Arial"/>
                <w:sz w:val="17"/>
                <w:szCs w:val="17"/>
                <w:color w:val="auto"/>
                <w:w w:val="89"/>
              </w:rPr>
              <w:t>2015</w:t>
            </w: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2014</w:t>
            </w: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4.20%</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4.50%</w:t>
            </w:r>
          </w:p>
        </w:tc>
        <w:tc>
          <w:tcPr>
            <w:tcW w:w="1400" w:type="dxa"/>
            <w:vAlign w:val="bottom"/>
            <w:gridSpan w:val="4"/>
            <w:shd w:val="clear" w:color="auto" w:fill="CFF0FC"/>
          </w:tcPr>
          <w:p>
            <w:pPr>
              <w:jc w:val="right"/>
              <w:ind w:right="54"/>
              <w:spacing w:after="0"/>
              <w:rPr>
                <w:sz w:val="20"/>
                <w:szCs w:val="20"/>
                <w:color w:val="auto"/>
              </w:rPr>
            </w:pPr>
            <w:r>
              <w:rPr>
                <w:rFonts w:ascii="Arial" w:cs="Arial" w:eastAsia="Arial" w:hAnsi="Arial"/>
                <w:sz w:val="17"/>
                <w:szCs w:val="17"/>
                <w:color w:val="auto"/>
              </w:rPr>
              <w:t>4.15%</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7"/>
                <w:szCs w:val="17"/>
                <w:color w:val="auto"/>
              </w:rPr>
              <w:t>Return on plan assets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7.00%</w:t>
            </w:r>
          </w:p>
        </w:tc>
        <w:tc>
          <w:tcPr>
            <w:tcW w:w="1400" w:type="dxa"/>
            <w:vAlign w:val="bottom"/>
            <w:gridSpan w:val="4"/>
          </w:tcPr>
          <w:p>
            <w:pPr>
              <w:jc w:val="right"/>
              <w:ind w:right="54"/>
              <w:spacing w:after="0"/>
              <w:rPr>
                <w:sz w:val="20"/>
                <w:szCs w:val="20"/>
                <w:color w:val="auto"/>
              </w:rPr>
            </w:pPr>
            <w:r>
              <w:rPr>
                <w:rFonts w:ascii="Arial" w:cs="Arial" w:eastAsia="Arial" w:hAnsi="Arial"/>
                <w:sz w:val="17"/>
                <w:szCs w:val="17"/>
                <w:color w:val="auto"/>
              </w:rPr>
              <w:t>7.00%</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7.00%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Current medical cost trend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7.25%</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7.50%</w:t>
            </w:r>
          </w:p>
        </w:tc>
        <w:tc>
          <w:tcPr>
            <w:tcW w:w="1400" w:type="dxa"/>
            <w:vAlign w:val="bottom"/>
            <w:gridSpan w:val="4"/>
            <w:shd w:val="clear" w:color="auto" w:fill="CFF0FC"/>
          </w:tcPr>
          <w:p>
            <w:pPr>
              <w:jc w:val="right"/>
              <w:ind w:right="54"/>
              <w:spacing w:after="0"/>
              <w:rPr>
                <w:sz w:val="20"/>
                <w:szCs w:val="20"/>
                <w:color w:val="auto"/>
              </w:rPr>
            </w:pPr>
            <w:r>
              <w:rPr>
                <w:rFonts w:ascii="Arial" w:cs="Arial" w:eastAsia="Arial" w:hAnsi="Arial"/>
                <w:sz w:val="17"/>
                <w:szCs w:val="17"/>
                <w:color w:val="auto"/>
              </w:rPr>
              <w:t>7.00%</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7"/>
                <w:szCs w:val="17"/>
                <w:color w:val="auto"/>
              </w:rPr>
              <w:t>Ultimate medical cost trend rate</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5.00%</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5.00%</w:t>
            </w:r>
          </w:p>
        </w:tc>
        <w:tc>
          <w:tcPr>
            <w:tcW w:w="1400" w:type="dxa"/>
            <w:vAlign w:val="bottom"/>
            <w:gridSpan w:val="4"/>
          </w:tcPr>
          <w:p>
            <w:pPr>
              <w:jc w:val="right"/>
              <w:ind w:right="54"/>
              <w:spacing w:after="0"/>
              <w:rPr>
                <w:sz w:val="20"/>
                <w:szCs w:val="20"/>
                <w:color w:val="auto"/>
              </w:rPr>
            </w:pPr>
            <w:r>
              <w:rPr>
                <w:rFonts w:ascii="Arial" w:cs="Arial" w:eastAsia="Arial" w:hAnsi="Arial"/>
                <w:sz w:val="17"/>
                <w:szCs w:val="17"/>
                <w:color w:val="auto"/>
              </w:rPr>
              <w:t>5.00%</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Year that the rate reaches the ultimate trend rate</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2026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2026</w:t>
            </w: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820" w:type="dxa"/>
            <w:vAlign w:val="bottom"/>
            <w:gridSpan w:val="8"/>
          </w:tcPr>
          <w:p>
            <w:pPr>
              <w:spacing w:after="0"/>
              <w:rPr>
                <w:sz w:val="20"/>
                <w:szCs w:val="20"/>
                <w:color w:val="auto"/>
              </w:rPr>
            </w:pPr>
            <w:r>
              <w:rPr>
                <w:rFonts w:ascii="Arial" w:cs="Arial" w:eastAsia="Arial" w:hAnsi="Arial"/>
                <w:sz w:val="17"/>
                <w:szCs w:val="17"/>
                <w:color w:val="auto"/>
                <w:w w:val="93"/>
              </w:rPr>
              <w:t>The net periodic benefit cost (credit) for the US postretirement medical plan included the following components: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20" w:type="dxa"/>
            <w:vAlign w:val="bottom"/>
            <w:tcBorders>
              <w:bottom w:val="single" w:sz="8" w:color="CFF0FC"/>
            </w:tcBorders>
          </w:tcPr>
          <w:p>
            <w:pPr>
              <w:spacing w:after="0"/>
              <w:rPr>
                <w:sz w:val="24"/>
                <w:szCs w:val="24"/>
                <w:color w:val="auto"/>
              </w:rPr>
            </w:pPr>
          </w:p>
        </w:tc>
        <w:tc>
          <w:tcPr>
            <w:tcW w:w="102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2016</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7"/>
                <w:szCs w:val="17"/>
                <w:color w:val="auto"/>
                <w:w w:val="89"/>
              </w:rPr>
              <w:t>2015</w:t>
            </w: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Service cost</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61"/>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7"/>
                <w:szCs w:val="17"/>
                <w:color w:val="auto"/>
              </w:rPr>
              <w:t>Interest cost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Expected return on plan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w w:val="99"/>
              </w:rPr>
              <w:t>(57)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(52)</w:t>
            </w:r>
          </w:p>
        </w:tc>
        <w:tc>
          <w:tcPr>
            <w:tcW w:w="2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tcPr>
          <w:p>
            <w:pPr>
              <w:spacing w:after="0"/>
              <w:rPr>
                <w:sz w:val="20"/>
                <w:szCs w:val="20"/>
                <w:color w:val="auto"/>
              </w:rPr>
            </w:pPr>
            <w:r>
              <w:rPr>
                <w:rFonts w:ascii="Arial" w:cs="Arial" w:eastAsia="Arial" w:hAnsi="Arial"/>
                <w:sz w:val="17"/>
                <w:szCs w:val="17"/>
                <w:color w:val="auto"/>
              </w:rPr>
              <w:t>Amortization of prior service credit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9"/>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FF0FC"/>
          </w:tcPr>
          <w:p>
            <w:pPr>
              <w:spacing w:after="0"/>
              <w:rPr>
                <w:sz w:val="20"/>
                <w:szCs w:val="20"/>
                <w:color w:val="auto"/>
              </w:rPr>
            </w:pPr>
            <w:r>
              <w:rPr>
                <w:rFonts w:ascii="Arial" w:cs="Arial" w:eastAsia="Arial" w:hAnsi="Arial"/>
                <w:sz w:val="17"/>
                <w:szCs w:val="17"/>
                <w:color w:val="auto"/>
              </w:rPr>
              <w:t>Amortization of net loss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ind w:right="461"/>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w w:val="85"/>
              </w:rPr>
              <w:t>(12)</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vMerge w:val="restart"/>
          </w:tcPr>
          <w:p>
            <w:pPr>
              <w:jc w:val="right"/>
              <w:ind w:right="154"/>
              <w:spacing w:after="0"/>
              <w:rPr>
                <w:sz w:val="20"/>
                <w:szCs w:val="20"/>
                <w:color w:val="auto"/>
              </w:rPr>
            </w:pPr>
            <w:r>
              <w:rPr>
                <w:rFonts w:ascii="Arial" w:cs="Arial" w:eastAsia="Arial" w:hAnsi="Arial"/>
                <w:sz w:val="17"/>
                <w:szCs w:val="17"/>
                <w:color w:val="auto"/>
              </w:rPr>
              <w:t>60</w:t>
            </w: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0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32" w:right="19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The changes in the accumulated postretirement benefit obligation, plan assets and funded status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12"/>
        </w:trPr>
        <w:tc>
          <w:tcPr>
            <w:tcW w:w="6240" w:type="dxa"/>
            <w:vAlign w:val="bottom"/>
          </w:tcPr>
          <w:p>
            <w:pPr>
              <w:spacing w:after="0"/>
              <w:rPr>
                <w:sz w:val="24"/>
                <w:szCs w:val="24"/>
                <w:color w:val="auto"/>
              </w:rPr>
            </w:pPr>
          </w:p>
        </w:tc>
        <w:tc>
          <w:tcPr>
            <w:tcW w:w="2680" w:type="dxa"/>
            <w:vAlign w:val="bottom"/>
            <w:gridSpan w:val="2"/>
          </w:tcPr>
          <w:p>
            <w:pPr>
              <w:jc w:val="right"/>
              <w:ind w:right="45"/>
              <w:spacing w:after="0"/>
              <w:rPr>
                <w:sz w:val="20"/>
                <w:szCs w:val="20"/>
                <w:color w:val="auto"/>
              </w:rPr>
            </w:pPr>
            <w:r>
              <w:rPr>
                <w:rFonts w:ascii="Arial" w:cs="Arial" w:eastAsia="Arial" w:hAnsi="Arial"/>
                <w:sz w:val="17"/>
                <w:szCs w:val="17"/>
                <w:b w:val="1"/>
                <w:bCs w:val="1"/>
                <w:color w:val="auto"/>
              </w:rPr>
              <w:t>2016</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555"/>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Projected Benefit Obligations</w:t>
            </w:r>
          </w:p>
        </w:tc>
        <w:tc>
          <w:tcPr>
            <w:tcW w:w="16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Benefit obligation at beginning of year</w:t>
            </w:r>
          </w:p>
        </w:tc>
        <w:tc>
          <w:tcPr>
            <w:tcW w:w="2680" w:type="dxa"/>
            <w:vAlign w:val="bottom"/>
            <w:gridSpan w:val="2"/>
          </w:tcPr>
          <w:p>
            <w:pPr>
              <w:jc w:val="right"/>
              <w:ind w:right="92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1,103</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Service cost</w:t>
            </w:r>
          </w:p>
        </w:tc>
        <w:tc>
          <w:tcPr>
            <w:tcW w:w="1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Interest cost</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Contribution by plan participants</w:t>
            </w:r>
          </w:p>
        </w:tc>
        <w:tc>
          <w:tcPr>
            <w:tcW w:w="1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Actuarial gains</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(32)</w:t>
            </w:r>
          </w:p>
        </w:tc>
        <w:tc>
          <w:tcPr>
            <w:tcW w:w="3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Benefits paid</w:t>
            </w:r>
          </w:p>
        </w:tc>
        <w:tc>
          <w:tcPr>
            <w:tcW w:w="1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(48)</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Benefit obligation at end of year</w:t>
            </w:r>
          </w:p>
        </w:tc>
        <w:tc>
          <w:tcPr>
            <w:tcW w:w="160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1,108</w:t>
            </w:r>
          </w:p>
        </w:tc>
        <w:tc>
          <w:tcPr>
            <w:tcW w:w="2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shd w:val="clear" w:color="auto" w:fill="CFF0FC"/>
          </w:tcPr>
          <w:p>
            <w:pPr>
              <w:spacing w:after="0"/>
              <w:rPr>
                <w:sz w:val="20"/>
                <w:szCs w:val="20"/>
                <w:color w:val="auto"/>
              </w:rPr>
            </w:pPr>
            <w:r>
              <w:rPr>
                <w:rFonts w:ascii="Arial" w:cs="Arial" w:eastAsia="Arial" w:hAnsi="Arial"/>
                <w:sz w:val="17"/>
                <w:szCs w:val="17"/>
                <w:b w:val="1"/>
                <w:bCs w:val="1"/>
                <w:i w:val="1"/>
                <w:iCs w:val="1"/>
                <w:color w:val="auto"/>
              </w:rPr>
              <w:t>Change in Plan Assets</w:t>
            </w:r>
          </w:p>
        </w:tc>
        <w:tc>
          <w:tcPr>
            <w:tcW w:w="1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Plan assets at fair value at beginning of year</w:t>
            </w:r>
          </w:p>
        </w:tc>
        <w:tc>
          <w:tcPr>
            <w:tcW w:w="2680" w:type="dxa"/>
            <w:vAlign w:val="bottom"/>
            <w:gridSpan w:val="2"/>
          </w:tcPr>
          <w:p>
            <w:pPr>
              <w:jc w:val="right"/>
              <w:ind w:right="92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884</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Actual return on plan assets</w:t>
            </w:r>
          </w:p>
        </w:tc>
        <w:tc>
          <w:tcPr>
            <w:tcW w:w="1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Company contributions</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Contributions by plan participants</w:t>
            </w:r>
          </w:p>
        </w:tc>
        <w:tc>
          <w:tcPr>
            <w:tcW w:w="1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Benefits paid</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(48)</w:t>
            </w:r>
          </w:p>
        </w:tc>
        <w:tc>
          <w:tcPr>
            <w:tcW w:w="3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Plan assets at fair value at end of year</w:t>
            </w:r>
          </w:p>
        </w:tc>
        <w:tc>
          <w:tcPr>
            <w:tcW w:w="16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952</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spacing w:after="0"/>
              <w:rPr>
                <w:sz w:val="20"/>
                <w:szCs w:val="20"/>
                <w:color w:val="auto"/>
              </w:rPr>
            </w:pPr>
            <w:r>
              <w:rPr>
                <w:rFonts w:ascii="Arial" w:cs="Arial" w:eastAsia="Arial" w:hAnsi="Arial"/>
                <w:sz w:val="17"/>
                <w:szCs w:val="17"/>
                <w:b w:val="1"/>
                <w:bCs w:val="1"/>
                <w:i w:val="1"/>
                <w:iCs w:val="1"/>
                <w:color w:val="auto"/>
              </w:rPr>
              <w:t>Unfunded Liability</w:t>
            </w:r>
          </w:p>
        </w:tc>
        <w:tc>
          <w:tcPr>
            <w:tcW w:w="1600" w:type="dxa"/>
            <w:vAlign w:val="bottom"/>
          </w:tcPr>
          <w:p>
            <w:pPr>
              <w:spacing w:after="0"/>
              <w:rPr>
                <w:sz w:val="18"/>
                <w:szCs w:val="18"/>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2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1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i w:val="1"/>
                <w:iCs w:val="1"/>
                <w:color w:val="auto"/>
              </w:rPr>
              <w:t>Amounts Recognized in Accumulated Other Comprehensive Loss</w:t>
            </w:r>
          </w:p>
        </w:tc>
        <w:tc>
          <w:tcPr>
            <w:tcW w:w="16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Actuarial losses</w:t>
            </w:r>
          </w:p>
        </w:tc>
        <w:tc>
          <w:tcPr>
            <w:tcW w:w="2680" w:type="dxa"/>
            <w:vAlign w:val="bottom"/>
            <w:gridSpan w:val="2"/>
          </w:tcPr>
          <w:p>
            <w:pPr>
              <w:jc w:val="right"/>
              <w:ind w:right="92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62</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credit</w:t>
            </w:r>
          </w:p>
        </w:tc>
        <w:tc>
          <w:tcPr>
            <w:tcW w:w="1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(243)</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(181)</w:t>
            </w:r>
          </w:p>
        </w:tc>
        <w:tc>
          <w:tcPr>
            <w:tcW w:w="280" w:type="dxa"/>
            <w:vAlign w:val="bottom"/>
            <w:vMerge w:val="continue"/>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unfunded liability is included in </w:t>
      </w:r>
      <w:r>
        <w:rPr>
          <w:rFonts w:ascii="Arial" w:cs="Arial" w:eastAsia="Arial" w:hAnsi="Arial"/>
          <w:sz w:val="17"/>
          <w:szCs w:val="17"/>
          <w:i w:val="1"/>
          <w:iCs w:val="1"/>
          <w:color w:val="auto"/>
        </w:rPr>
        <w:t>Postretirement Benefits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218"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The assets of the US postretirement medical plan are invested 63% in equity securities and 37% in debt securities at December 31, 2016. The fair value of these assets was primarily determined based on Level Two valuation techniques.</w:t>
      </w:r>
    </w:p>
    <w:p>
      <w:pPr>
        <w:spacing w:after="0" w:line="159" w:lineRule="exact"/>
        <w:rPr>
          <w:sz w:val="20"/>
          <w:szCs w:val="20"/>
          <w:color w:val="auto"/>
        </w:rPr>
      </w:pPr>
    </w:p>
    <w:p>
      <w:pPr>
        <w:jc w:val="both"/>
        <w:ind w:right="40"/>
        <w:spacing w:after="0" w:line="283" w:lineRule="auto"/>
        <w:rPr>
          <w:sz w:val="20"/>
          <w:szCs w:val="20"/>
          <w:color w:val="auto"/>
        </w:rPr>
      </w:pPr>
      <w:r>
        <w:rPr>
          <w:rFonts w:ascii="Arial" w:cs="Arial" w:eastAsia="Arial" w:hAnsi="Arial"/>
          <w:sz w:val="17"/>
          <w:szCs w:val="17"/>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13"/>
        </w:trPr>
        <w:tc>
          <w:tcPr>
            <w:tcW w:w="5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One Percentage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7"/>
                <w:szCs w:val="17"/>
                <w:color w:val="auto"/>
                <w:w w:val="93"/>
              </w:rPr>
              <w:t>One Percentage</w:t>
            </w:r>
          </w:p>
        </w:tc>
      </w:tr>
      <w:tr>
        <w:trPr>
          <w:trHeight w:val="219"/>
        </w:trPr>
        <w:tc>
          <w:tcPr>
            <w:tcW w:w="5840" w:type="dxa"/>
            <w:vAlign w:val="bottom"/>
            <w:tcBorders>
              <w:bottom w:val="single" w:sz="8" w:color="CFF0FC"/>
            </w:tcBorders>
          </w:tcPr>
          <w:p>
            <w:pPr>
              <w:spacing w:after="0"/>
              <w:rPr>
                <w:sz w:val="19"/>
                <w:szCs w:val="19"/>
                <w:color w:val="auto"/>
              </w:rPr>
            </w:pPr>
          </w:p>
        </w:tc>
        <w:tc>
          <w:tcPr>
            <w:tcW w:w="20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Point Increase</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98"/>
              </w:rPr>
              <w:t>Point Decrease</w:t>
            </w:r>
          </w:p>
        </w:tc>
        <w:tc>
          <w:tcPr>
            <w:tcW w:w="100" w:type="dxa"/>
            <w:vAlign w:val="bottom"/>
            <w:tcBorders>
              <w:bottom w:val="single" w:sz="8" w:color="CFF0FC"/>
            </w:tcBorders>
          </w:tcPr>
          <w:p>
            <w:pPr>
              <w:spacing w:after="0"/>
              <w:rPr>
                <w:sz w:val="19"/>
                <w:szCs w:val="19"/>
                <w:color w:val="auto"/>
              </w:rPr>
            </w:pPr>
          </w:p>
        </w:tc>
      </w:tr>
      <w:tr>
        <w:trPr>
          <w:trHeight w:val="213"/>
        </w:trPr>
        <w:tc>
          <w:tcPr>
            <w:tcW w:w="5840" w:type="dxa"/>
            <w:vAlign w:val="bottom"/>
            <w:shd w:val="clear" w:color="auto" w:fill="CFF0FC"/>
          </w:tcPr>
          <w:p>
            <w:pPr>
              <w:spacing w:after="0"/>
              <w:rPr>
                <w:sz w:val="20"/>
                <w:szCs w:val="20"/>
                <w:color w:val="auto"/>
              </w:rPr>
            </w:pPr>
            <w:r>
              <w:rPr>
                <w:rFonts w:ascii="Arial" w:cs="Arial" w:eastAsia="Arial" w:hAnsi="Arial"/>
                <w:sz w:val="17"/>
                <w:szCs w:val="17"/>
                <w:color w:val="auto"/>
              </w:rPr>
              <w:t>Effect on total service and interest cost components</w:t>
            </w:r>
          </w:p>
        </w:tc>
        <w:tc>
          <w:tcPr>
            <w:tcW w:w="3380" w:type="dxa"/>
            <w:vAlign w:val="bottom"/>
            <w:gridSpan w:val="2"/>
            <w:shd w:val="clear" w:color="auto" w:fill="CFF0FC"/>
          </w:tcPr>
          <w:p>
            <w:pPr>
              <w:jc w:val="right"/>
              <w:ind w:right="1214"/>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Effect on accumulated postretirement benefit obligation</w:t>
            </w:r>
          </w:p>
        </w:tc>
        <w:tc>
          <w:tcPr>
            <w:tcW w:w="3380" w:type="dxa"/>
            <w:vAlign w:val="bottom"/>
            <w:gridSpan w:val="2"/>
          </w:tcPr>
          <w:p>
            <w:pPr>
              <w:jc w:val="right"/>
              <w:ind w:right="1214"/>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34</w:t>
            </w:r>
          </w:p>
        </w:tc>
        <w:tc>
          <w:tcPr>
            <w:tcW w:w="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expected benefits to be paid under the US and International pension plans as well as the postretirement medical plan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i w:val="1"/>
                <w:iCs w:val="1"/>
                <w:color w:val="auto"/>
                <w:w w:val="98"/>
              </w:rPr>
              <w:t>(Stated in millions)</w:t>
            </w:r>
          </w:p>
        </w:tc>
        <w:tc>
          <w:tcPr>
            <w:tcW w:w="40" w:type="dxa"/>
            <w:vAlign w:val="bottom"/>
          </w:tcPr>
          <w:p>
            <w:pPr>
              <w:spacing w:after="0"/>
              <w:rPr>
                <w:sz w:val="15"/>
                <w:szCs w:val="15"/>
                <w:color w:val="auto"/>
              </w:rPr>
            </w:pPr>
          </w:p>
        </w:tc>
      </w:tr>
      <w:tr>
        <w:trPr>
          <w:trHeight w:val="412"/>
        </w:trPr>
        <w:tc>
          <w:tcPr>
            <w:tcW w:w="3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7"/>
                <w:szCs w:val="17"/>
                <w:color w:val="auto"/>
                <w:w w:val="94"/>
              </w:rPr>
              <w:t>Pension Benefits</w:t>
            </w:r>
          </w:p>
        </w:tc>
        <w:tc>
          <w:tcPr>
            <w:tcW w:w="6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7"/>
                <w:szCs w:val="17"/>
                <w:color w:val="auto"/>
              </w:rPr>
              <w:t>Postretirement</w:t>
            </w:r>
          </w:p>
        </w:tc>
        <w:tc>
          <w:tcPr>
            <w:tcW w:w="40" w:type="dxa"/>
            <w:vAlign w:val="bottom"/>
          </w:tcPr>
          <w:p>
            <w:pPr>
              <w:spacing w:after="0"/>
              <w:rPr>
                <w:sz w:val="24"/>
                <w:szCs w:val="24"/>
                <w:color w:val="auto"/>
              </w:rPr>
            </w:pPr>
          </w:p>
        </w:tc>
      </w:tr>
      <w:tr>
        <w:trPr>
          <w:trHeight w:val="213"/>
        </w:trPr>
        <w:tc>
          <w:tcPr>
            <w:tcW w:w="3180" w:type="dxa"/>
            <w:vAlign w:val="bottom"/>
            <w:tcBorders>
              <w:bottom w:val="single" w:sz="8" w:color="CFF0FC"/>
            </w:tcBorders>
          </w:tcPr>
          <w:p>
            <w:pPr>
              <w:spacing w:after="0"/>
              <w:rPr>
                <w:sz w:val="18"/>
                <w:szCs w:val="18"/>
                <w:color w:val="auto"/>
              </w:rPr>
            </w:pPr>
          </w:p>
        </w:tc>
        <w:tc>
          <w:tcPr>
            <w:tcW w:w="35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US</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7"/>
                <w:szCs w:val="17"/>
                <w:color w:val="auto"/>
              </w:rPr>
              <w:t>International</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Medical Plan</w:t>
            </w:r>
          </w:p>
        </w:tc>
        <w:tc>
          <w:tcPr>
            <w:tcW w:w="10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2017</w:t>
            </w:r>
          </w:p>
        </w:tc>
        <w:tc>
          <w:tcPr>
            <w:tcW w:w="4400" w:type="dxa"/>
            <w:vAlign w:val="bottom"/>
            <w:gridSpan w:val="2"/>
            <w:shd w:val="clear" w:color="auto" w:fill="CFF0FC"/>
          </w:tcPr>
          <w:p>
            <w:pPr>
              <w:jc w:val="right"/>
              <w:ind w:right="6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w:t>
            </w:r>
          </w:p>
        </w:tc>
        <w:tc>
          <w:tcPr>
            <w:tcW w:w="960" w:type="dxa"/>
            <w:vAlign w:val="bottom"/>
            <w:gridSpan w:val="2"/>
            <w:shd w:val="clear" w:color="auto" w:fill="CFF0FC"/>
          </w:tcPr>
          <w:p>
            <w:pPr>
              <w:jc w:val="right"/>
              <w:ind w:right="5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7"/>
                <w:szCs w:val="17"/>
                <w:color w:val="auto"/>
              </w:rPr>
              <w:t>2018</w:t>
            </w:r>
          </w:p>
        </w:tc>
        <w:tc>
          <w:tcPr>
            <w:tcW w:w="440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195</w:t>
            </w:r>
          </w:p>
        </w:tc>
        <w:tc>
          <w:tcPr>
            <w:tcW w:w="960" w:type="dxa"/>
            <w:vAlign w:val="bottom"/>
            <w:gridSpan w:val="2"/>
          </w:tcPr>
          <w:p>
            <w:pPr>
              <w:jc w:val="right"/>
              <w:ind w:right="53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273</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2019</w:t>
            </w:r>
          </w:p>
        </w:tc>
        <w:tc>
          <w:tcPr>
            <w:tcW w:w="4400" w:type="dxa"/>
            <w:vAlign w:val="bottom"/>
            <w:gridSpan w:val="2"/>
            <w:shd w:val="clear" w:color="auto" w:fill="CFF0FC"/>
          </w:tcPr>
          <w:p>
            <w:pPr>
              <w:jc w:val="right"/>
              <w:ind w:right="6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960" w:type="dxa"/>
            <w:vAlign w:val="bottom"/>
            <w:gridSpan w:val="2"/>
            <w:shd w:val="clear" w:color="auto" w:fill="CFF0FC"/>
          </w:tcPr>
          <w:p>
            <w:pPr>
              <w:jc w:val="right"/>
              <w:ind w:right="5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286</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7"/>
                <w:szCs w:val="17"/>
                <w:color w:val="auto"/>
              </w:rPr>
              <w:t>2020</w:t>
            </w:r>
          </w:p>
        </w:tc>
        <w:tc>
          <w:tcPr>
            <w:tcW w:w="440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208</w:t>
            </w:r>
          </w:p>
        </w:tc>
        <w:tc>
          <w:tcPr>
            <w:tcW w:w="960" w:type="dxa"/>
            <w:vAlign w:val="bottom"/>
            <w:gridSpan w:val="2"/>
          </w:tcPr>
          <w:p>
            <w:pPr>
              <w:jc w:val="right"/>
              <w:ind w:right="53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18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4400" w:type="dxa"/>
            <w:vAlign w:val="bottom"/>
            <w:gridSpan w:val="2"/>
            <w:shd w:val="clear" w:color="auto" w:fill="CFF0FC"/>
          </w:tcPr>
          <w:p>
            <w:pPr>
              <w:jc w:val="right"/>
              <w:ind w:right="6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w:t>
            </w:r>
          </w:p>
        </w:tc>
        <w:tc>
          <w:tcPr>
            <w:tcW w:w="960" w:type="dxa"/>
            <w:vAlign w:val="bottom"/>
            <w:gridSpan w:val="2"/>
            <w:shd w:val="clear" w:color="auto" w:fill="CFF0FC"/>
          </w:tcPr>
          <w:p>
            <w:pPr>
              <w:jc w:val="right"/>
              <w:ind w:right="5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313</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7"/>
                <w:szCs w:val="17"/>
                <w:color w:val="auto"/>
              </w:rPr>
              <w:t>2022-2026</w:t>
            </w:r>
          </w:p>
        </w:tc>
        <w:tc>
          <w:tcPr>
            <w:tcW w:w="440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1,188</w:t>
            </w:r>
          </w:p>
        </w:tc>
        <w:tc>
          <w:tcPr>
            <w:tcW w:w="960" w:type="dxa"/>
            <w:vAlign w:val="bottom"/>
            <w:gridSpan w:val="2"/>
          </w:tcPr>
          <w:p>
            <w:pPr>
              <w:jc w:val="right"/>
              <w:ind w:right="53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1,784</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20"/>
        </w:trPr>
        <w:tc>
          <w:tcPr>
            <w:tcW w:w="3180" w:type="dxa"/>
            <w:vAlign w:val="bottom"/>
          </w:tcPr>
          <w:p>
            <w:pPr>
              <w:spacing w:after="0"/>
              <w:rPr>
                <w:sz w:val="24"/>
                <w:szCs w:val="24"/>
                <w:color w:val="auto"/>
              </w:rPr>
            </w:pPr>
          </w:p>
        </w:tc>
        <w:tc>
          <w:tcPr>
            <w:tcW w:w="3560" w:type="dxa"/>
            <w:vAlign w:val="bottom"/>
          </w:tcPr>
          <w:p>
            <w:pPr>
              <w:jc w:val="right"/>
              <w:ind w:right="854"/>
              <w:spacing w:after="0"/>
              <w:rPr>
                <w:sz w:val="20"/>
                <w:szCs w:val="20"/>
                <w:color w:val="auto"/>
              </w:rPr>
            </w:pPr>
            <w:r>
              <w:rPr>
                <w:rFonts w:ascii="Arial" w:cs="Arial" w:eastAsia="Arial" w:hAnsi="Arial"/>
                <w:sz w:val="17"/>
                <w:szCs w:val="17"/>
                <w:color w:val="auto"/>
              </w:rPr>
              <w:t>61</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31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66" w:right="199" w:bottom="1440" w:gutter="0" w:footer="0" w:header="0"/>
        </w:sectPr>
      </w:pPr>
    </w:p>
    <w:bookmarkStart w:id="61" w:name="page62"/>
    <w:bookmarkEnd w:id="61"/>
    <w:p>
      <w:pPr>
        <w:jc w:val="both"/>
        <w:ind w:right="40"/>
        <w:spacing w:after="0" w:line="268" w:lineRule="auto"/>
        <w:rPr>
          <w:sz w:val="20"/>
          <w:szCs w:val="20"/>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at December 31, 2016 are non-cash pretax charges which have not yet been recognized in net periodic benefit cost. The estimated portion of each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which is expected to be recognized as a component of net periodic benefit cost during the year ending December 31, 2017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13"/>
        </w:trPr>
        <w:tc>
          <w:tcPr>
            <w:tcW w:w="4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7"/>
                <w:szCs w:val="17"/>
                <w:color w:val="auto"/>
                <w:w w:val="99"/>
              </w:rPr>
              <w:t>Postretirement</w:t>
            </w:r>
          </w:p>
        </w:tc>
      </w:tr>
      <w:tr>
        <w:trPr>
          <w:trHeight w:val="219"/>
        </w:trPr>
        <w:tc>
          <w:tcPr>
            <w:tcW w:w="4800" w:type="dxa"/>
            <w:vAlign w:val="bottom"/>
            <w:tcBorders>
              <w:bottom w:val="single" w:sz="8" w:color="CFF0FC"/>
            </w:tcBorders>
          </w:tcPr>
          <w:p>
            <w:pPr>
              <w:spacing w:after="0"/>
              <w:rPr>
                <w:sz w:val="19"/>
                <w:szCs w:val="19"/>
                <w:color w:val="auto"/>
              </w:rPr>
            </w:pPr>
          </w:p>
        </w:tc>
        <w:tc>
          <w:tcPr>
            <w:tcW w:w="30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5"/>
              </w:rPr>
              <w:t>Pension Plans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Medical Plan</w:t>
            </w:r>
          </w:p>
        </w:tc>
        <w:tc>
          <w:tcPr>
            <w:tcW w:w="100" w:type="dxa"/>
            <w:vAlign w:val="bottom"/>
            <w:tcBorders>
              <w:bottom w:val="single" w:sz="8" w:color="CFF0FC"/>
            </w:tcBorders>
          </w:tcPr>
          <w:p>
            <w:pPr>
              <w:spacing w:after="0"/>
              <w:rPr>
                <w:sz w:val="19"/>
                <w:szCs w:val="19"/>
                <w:color w:val="auto"/>
              </w:rPr>
            </w:pP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Net actuarial losses</w:t>
            </w:r>
          </w:p>
        </w:tc>
        <w:tc>
          <w:tcPr>
            <w:tcW w:w="3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20"/>
        </w:trPr>
        <w:tc>
          <w:tcPr>
            <w:tcW w:w="4800" w:type="dxa"/>
            <w:vAlign w:val="bottom"/>
          </w:tcPr>
          <w:p>
            <w:pPr>
              <w:spacing w:after="0"/>
              <w:rPr>
                <w:sz w:val="20"/>
                <w:szCs w:val="20"/>
                <w:color w:val="auto"/>
              </w:rPr>
            </w:pPr>
            <w:r>
              <w:rPr>
                <w:rFonts w:ascii="Arial" w:cs="Arial" w:eastAsia="Arial" w:hAnsi="Arial"/>
                <w:sz w:val="17"/>
                <w:szCs w:val="17"/>
                <w:color w:val="auto"/>
              </w:rPr>
              <w:t>Prior service cost (credit)</w:t>
            </w:r>
          </w:p>
        </w:tc>
        <w:tc>
          <w:tcPr>
            <w:tcW w:w="3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109</w:t>
            </w:r>
          </w:p>
        </w:tc>
        <w:tc>
          <w:tcPr>
            <w:tcW w:w="2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bl>
    <w:p>
      <w:pPr>
        <w:spacing w:after="0" w:line="220"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In addition to providing defined pension benefits and a postretirement medical plan, Schlumberger and its subsidiaries have other deferred benefit programs, primarily profit sharing and defined contribution pension plans. Expenses for these programs were $445 million, $565 million and $749 million in 2016, 2015 and 2014, respectively.</w:t>
      </w:r>
    </w:p>
    <w:p>
      <w:pPr>
        <w:spacing w:after="0" w:line="308" w:lineRule="exact"/>
        <w:rPr>
          <w:sz w:val="20"/>
          <w:szCs w:val="20"/>
          <w:color w:val="auto"/>
        </w:rPr>
      </w:pPr>
    </w:p>
    <w:p>
      <w:pPr>
        <w:ind w:left="260" w:hanging="257"/>
        <w:spacing w:after="0"/>
        <w:tabs>
          <w:tab w:leader="none" w:pos="2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Supplementary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Cash paid for interest and income taxes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i w:val="1"/>
                <w:iCs w:val="1"/>
                <w:color w:val="auto"/>
                <w:w w:val="98"/>
              </w:rPr>
              <w:t>(Stated in millions)</w:t>
            </w:r>
          </w:p>
        </w:tc>
      </w:tr>
      <w:tr>
        <w:trPr>
          <w:trHeight w:val="412"/>
        </w:trPr>
        <w:tc>
          <w:tcPr>
            <w:tcW w:w="3760" w:type="dxa"/>
            <w:vAlign w:val="bottom"/>
            <w:tcBorders>
              <w:bottom w:val="single" w:sz="8" w:color="CFF0FC"/>
            </w:tcBorders>
          </w:tcPr>
          <w:p>
            <w:pPr>
              <w:spacing w:after="0"/>
              <w:rPr>
                <w:sz w:val="24"/>
                <w:szCs w:val="24"/>
                <w:color w:val="auto"/>
              </w:rPr>
            </w:pPr>
          </w:p>
        </w:tc>
        <w:tc>
          <w:tcPr>
            <w:tcW w:w="298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2016</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r>
      <w:tr>
        <w:trPr>
          <w:trHeight w:val="213"/>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Interest</w:t>
            </w:r>
          </w:p>
        </w:tc>
        <w:tc>
          <w:tcPr>
            <w:tcW w:w="29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599</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FF0FC"/>
          </w:tcPr>
          <w:p>
            <w:pPr>
              <w:spacing w:after="0"/>
              <w:rPr>
                <w:sz w:val="18"/>
                <w:szCs w:val="18"/>
                <w:color w:val="auto"/>
              </w:rPr>
            </w:pPr>
          </w:p>
        </w:tc>
      </w:tr>
      <w:tr>
        <w:trPr>
          <w:trHeight w:val="225"/>
        </w:trPr>
        <w:tc>
          <w:tcPr>
            <w:tcW w:w="3760" w:type="dxa"/>
            <w:vAlign w:val="bottom"/>
          </w:tcPr>
          <w:p>
            <w:pPr>
              <w:spacing w:after="0"/>
              <w:rPr>
                <w:sz w:val="20"/>
                <w:szCs w:val="20"/>
                <w:color w:val="auto"/>
              </w:rPr>
            </w:pPr>
            <w:r>
              <w:rPr>
                <w:rFonts w:ascii="Arial" w:cs="Arial" w:eastAsia="Arial" w:hAnsi="Arial"/>
                <w:sz w:val="17"/>
                <w:szCs w:val="17"/>
                <w:color w:val="auto"/>
              </w:rPr>
              <w:t>Income tax</w:t>
            </w:r>
          </w:p>
        </w:tc>
        <w:tc>
          <w:tcPr>
            <w:tcW w:w="3940" w:type="dxa"/>
            <w:vAlign w:val="bottom"/>
            <w:gridSpan w:val="2"/>
          </w:tcPr>
          <w:p>
            <w:pPr>
              <w:jc w:val="right"/>
              <w:ind w:right="799"/>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750</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1,567</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2,048</w:t>
            </w:r>
          </w:p>
        </w:tc>
        <w:tc>
          <w:tcPr>
            <w:tcW w:w="100" w:type="dxa"/>
            <w:vAlign w:val="bottom"/>
          </w:tcPr>
          <w:p>
            <w:pPr>
              <w:spacing w:after="0"/>
              <w:rPr>
                <w:sz w:val="19"/>
                <w:szCs w:val="19"/>
                <w:color w:val="auto"/>
              </w:rPr>
            </w:pPr>
          </w:p>
        </w:tc>
      </w:tr>
    </w:tbl>
    <w:p>
      <w:pPr>
        <w:spacing w:after="0" w:line="227" w:lineRule="exact"/>
        <w:rPr>
          <w:sz w:val="20"/>
          <w:szCs w:val="20"/>
          <w:color w:val="auto"/>
        </w:rPr>
      </w:pPr>
    </w:p>
    <w:p>
      <w:pPr>
        <w:ind w:right="940"/>
        <w:spacing w:after="0" w:line="283" w:lineRule="auto"/>
        <w:rPr>
          <w:sz w:val="20"/>
          <w:szCs w:val="20"/>
          <w:color w:val="auto"/>
        </w:rPr>
      </w:pPr>
      <w:r>
        <w:rPr>
          <w:rFonts w:ascii="Arial" w:cs="Arial" w:eastAsia="Arial" w:hAnsi="Arial"/>
          <w:sz w:val="17"/>
          <w:szCs w:val="17"/>
          <w:color w:val="auto"/>
        </w:rPr>
        <w:t>During the fourth quarter of 2015, Schlumberger entered into an agreement with one of its customers to receive certain fixed assets in lieu of payment of approximately $200 million of accounts receivable.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and other income </w:t>
      </w:r>
      <w:r>
        <w:rPr>
          <w:rFonts w:ascii="Arial" w:cs="Arial" w:eastAsia="Arial" w:hAnsi="Arial"/>
          <w:sz w:val="17"/>
          <w:szCs w:val="17"/>
          <w:color w:val="auto"/>
        </w:rPr>
        <w:t>includes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920" w:type="dxa"/>
            <w:vAlign w:val="bottom"/>
            <w:tcBorders>
              <w:bottom w:val="single" w:sz="8" w:color="CFF0FC"/>
            </w:tcBorders>
          </w:tcPr>
          <w:p>
            <w:pPr>
              <w:spacing w:after="0"/>
              <w:rPr>
                <w:sz w:val="24"/>
                <w:szCs w:val="24"/>
                <w:color w:val="auto"/>
              </w:rPr>
            </w:pPr>
          </w:p>
        </w:tc>
        <w:tc>
          <w:tcPr>
            <w:tcW w:w="18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2016</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18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110</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Earnings of equity method investments</w:t>
            </w:r>
          </w:p>
        </w:tc>
        <w:tc>
          <w:tcPr>
            <w:tcW w:w="1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200</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 xml:space="preserve">The change in </w:t>
            </w:r>
            <w:r>
              <w:rPr>
                <w:rFonts w:ascii="Arial" w:cs="Arial" w:eastAsia="Arial" w:hAnsi="Arial"/>
                <w:sz w:val="17"/>
                <w:szCs w:val="17"/>
                <w:i w:val="1"/>
                <w:iCs w:val="1"/>
                <w:color w:val="auto"/>
              </w:rPr>
              <w:t>Allowance for doubtful accounts</w:t>
            </w:r>
            <w:r>
              <w:rPr>
                <w:rFonts w:ascii="Arial" w:cs="Arial" w:eastAsia="Arial" w:hAnsi="Arial"/>
                <w:sz w:val="17"/>
                <w:szCs w:val="17"/>
                <w:color w:val="auto"/>
              </w:rPr>
              <w:t xml:space="preserve"> is as follows:</w:t>
            </w:r>
          </w:p>
        </w:tc>
        <w:tc>
          <w:tcPr>
            <w:tcW w:w="1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9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920" w:type="dxa"/>
            <w:vAlign w:val="bottom"/>
            <w:tcBorders>
              <w:bottom w:val="single" w:sz="8" w:color="CFF0FC"/>
            </w:tcBorders>
          </w:tcPr>
          <w:p>
            <w:pPr>
              <w:spacing w:after="0"/>
              <w:rPr>
                <w:sz w:val="24"/>
                <w:szCs w:val="24"/>
                <w:color w:val="auto"/>
              </w:rPr>
            </w:pPr>
          </w:p>
        </w:tc>
        <w:tc>
          <w:tcPr>
            <w:tcW w:w="18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2016</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7"/>
                <w:szCs w:val="17"/>
                <w:color w:val="auto"/>
              </w:rPr>
              <w:t>2014</w:t>
            </w:r>
          </w:p>
        </w:tc>
        <w:tc>
          <w:tcPr>
            <w:tcW w:w="100" w:type="dxa"/>
            <w:vAlign w:val="bottom"/>
            <w:tcBorders>
              <w:bottom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8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333</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tcPr>
          <w:p>
            <w:pPr>
              <w:spacing w:after="0"/>
              <w:rPr>
                <w:sz w:val="20"/>
                <w:szCs w:val="20"/>
                <w:color w:val="auto"/>
              </w:rPr>
            </w:pPr>
            <w:r>
              <w:rPr>
                <w:rFonts w:ascii="Arial" w:cs="Arial" w:eastAsia="Arial" w:hAnsi="Arial"/>
                <w:sz w:val="17"/>
                <w:szCs w:val="17"/>
                <w:color w:val="auto"/>
              </w:rPr>
              <w:t>Additions</w:t>
            </w:r>
          </w:p>
        </w:tc>
        <w:tc>
          <w:tcPr>
            <w:tcW w:w="1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rPr>
              <w:t>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Amounts written off</w:t>
            </w:r>
          </w:p>
        </w:tc>
        <w:tc>
          <w:tcPr>
            <w:tcW w:w="1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(59)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7"/>
                <w:szCs w:val="17"/>
                <w:color w:val="auto"/>
              </w:rPr>
              <w:t>Balance at end of year</w:t>
            </w:r>
          </w:p>
        </w:tc>
        <w:tc>
          <w:tcPr>
            <w:tcW w:w="18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20" w:type="dxa"/>
            <w:vAlign w:val="bottom"/>
            <w:vMerge w:val="restart"/>
          </w:tcPr>
          <w:p>
            <w:pPr>
              <w:jc w:val="right"/>
              <w:ind w:right="854"/>
              <w:spacing w:after="0"/>
              <w:rPr>
                <w:sz w:val="20"/>
                <w:szCs w:val="20"/>
                <w:color w:val="auto"/>
              </w:rPr>
            </w:pPr>
            <w:r>
              <w:rPr>
                <w:rFonts w:ascii="Arial" w:cs="Arial" w:eastAsia="Arial" w:hAnsi="Arial"/>
                <w:sz w:val="17"/>
                <w:szCs w:val="17"/>
                <w:color w:val="auto"/>
              </w:rPr>
              <w:t>62</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9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9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66" w:right="19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Revenue in excess of billings related to contracts accounted for under the percentage-of-completion method was $0.5 billion at December 31, 2016.</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Accounts payable and accrued liabilities </w:t>
      </w:r>
      <w:r>
        <w:rPr>
          <w:rFonts w:ascii="Arial" w:cs="Arial" w:eastAsia="Arial" w:hAnsi="Arial"/>
          <w:sz w:val="17"/>
          <w:szCs w:val="17"/>
          <w:color w:val="auto"/>
        </w:rPr>
        <w:t>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i w:val="1"/>
                <w:iCs w:val="1"/>
                <w:color w:val="auto"/>
                <w:w w:val="98"/>
              </w:rPr>
              <w:t>(Stated in millions)</w:t>
            </w:r>
          </w:p>
        </w:tc>
      </w:tr>
      <w:tr>
        <w:trPr>
          <w:trHeight w:val="412"/>
        </w:trPr>
        <w:tc>
          <w:tcPr>
            <w:tcW w:w="5300" w:type="dxa"/>
            <w:vAlign w:val="bottom"/>
          </w:tcPr>
          <w:p>
            <w:pPr>
              <w:spacing w:after="0"/>
              <w:rPr>
                <w:sz w:val="24"/>
                <w:szCs w:val="24"/>
                <w:color w:val="auto"/>
              </w:rPr>
            </w:pPr>
          </w:p>
        </w:tc>
        <w:tc>
          <w:tcPr>
            <w:tcW w:w="3580" w:type="dxa"/>
            <w:vAlign w:val="bottom"/>
            <w:gridSpan w:val="2"/>
          </w:tcPr>
          <w:p>
            <w:pPr>
              <w:jc w:val="right"/>
              <w:ind w:right="5"/>
              <w:spacing w:after="0"/>
              <w:rPr>
                <w:sz w:val="20"/>
                <w:szCs w:val="20"/>
                <w:color w:val="auto"/>
              </w:rPr>
            </w:pPr>
            <w:r>
              <w:rPr>
                <w:rFonts w:ascii="Arial" w:cs="Arial" w:eastAsia="Arial" w:hAnsi="Arial"/>
                <w:sz w:val="17"/>
                <w:szCs w:val="17"/>
                <w:b w:val="1"/>
                <w:bCs w:val="1"/>
                <w:color w:val="auto"/>
              </w:rPr>
              <w:t>2016</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55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24"/>
                <w:szCs w:val="24"/>
                <w:color w:val="auto"/>
              </w:rPr>
            </w:pPr>
          </w:p>
        </w:tc>
      </w:tr>
      <w:tr>
        <w:trPr>
          <w:trHeight w:val="21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Payroll, vacation and employee benefits</w:t>
            </w:r>
          </w:p>
        </w:tc>
        <w:tc>
          <w:tcPr>
            <w:tcW w:w="25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1,349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Borders>
              <w:top w:val="single" w:sz="8" w:color="CFF0FC"/>
            </w:tcBorders>
            <w:shd w:val="clear" w:color="auto" w:fill="CFF0FC"/>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Arial" w:cs="Arial" w:eastAsia="Arial" w:hAnsi="Arial"/>
                <w:sz w:val="17"/>
                <w:szCs w:val="17"/>
                <w:color w:val="auto"/>
              </w:rPr>
              <w:t>Trade</w:t>
            </w:r>
          </w:p>
        </w:tc>
        <w:tc>
          <w:tcPr>
            <w:tcW w:w="2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4,004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3,243</w:t>
            </w:r>
          </w:p>
        </w:tc>
        <w:tc>
          <w:tcPr>
            <w:tcW w:w="100" w:type="dxa"/>
            <w:vAlign w:val="bottom"/>
          </w:tcPr>
          <w:p>
            <w:pPr>
              <w:spacing w:after="0"/>
              <w:rPr>
                <w:sz w:val="19"/>
                <w:szCs w:val="19"/>
                <w:color w:val="auto"/>
              </w:rPr>
            </w:pPr>
          </w:p>
        </w:tc>
      </w:tr>
      <w:tr>
        <w:trPr>
          <w:trHeight w:val="220"/>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2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1,088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w:t>
            </w:r>
          </w:p>
        </w:tc>
        <w:tc>
          <w:tcPr>
            <w:tcW w:w="100" w:type="dxa"/>
            <w:vAlign w:val="bottom"/>
            <w:shd w:val="clear" w:color="auto" w:fill="CFF0FC"/>
          </w:tcPr>
          <w:p>
            <w:pPr>
              <w:spacing w:after="0"/>
              <w:rPr>
                <w:sz w:val="19"/>
                <w:szCs w:val="19"/>
                <w:color w:val="auto"/>
              </w:rPr>
            </w:pPr>
          </w:p>
        </w:tc>
      </w:tr>
      <w:tr>
        <w:trPr>
          <w:trHeight w:val="220"/>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25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3,575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2,654</w:t>
            </w:r>
          </w:p>
        </w:tc>
        <w:tc>
          <w:tcPr>
            <w:tcW w:w="100" w:type="dxa"/>
            <w:vAlign w:val="bottom"/>
            <w:tcBorders>
              <w:bottom w:val="single" w:sz="8" w:color="CFF0FC"/>
            </w:tcBorders>
          </w:tcPr>
          <w:p>
            <w:pPr>
              <w:spacing w:after="0"/>
              <w:rPr>
                <w:sz w:val="19"/>
                <w:szCs w:val="19"/>
                <w:color w:val="auto"/>
              </w:rPr>
            </w:pPr>
          </w:p>
        </w:tc>
      </w:tr>
      <w:tr>
        <w:trPr>
          <w:trHeight w:val="213"/>
        </w:trPr>
        <w:tc>
          <w:tcPr>
            <w:tcW w:w="5300" w:type="dxa"/>
            <w:vAlign w:val="bottom"/>
            <w:tcBorders>
              <w:bottom w:val="single" w:sz="8" w:color="CFF0FC"/>
            </w:tcBorders>
            <w:shd w:val="clear" w:color="auto" w:fill="CFF0FC"/>
          </w:tcPr>
          <w:p>
            <w:pPr>
              <w:spacing w:after="0"/>
              <w:rPr>
                <w:sz w:val="18"/>
                <w:szCs w:val="18"/>
                <w:color w:val="auto"/>
              </w:rPr>
            </w:pPr>
          </w:p>
        </w:tc>
        <w:tc>
          <w:tcPr>
            <w:tcW w:w="25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99"/>
              </w:rPr>
              <w:t>10,016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ind w:left="260" w:hanging="257"/>
        <w:spacing w:after="0"/>
        <w:tabs>
          <w:tab w:leader="none" w:pos="2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Discontinued Operations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During 2013, Schlumberger completed the wind down of its operations in Iran and, therefore, classified the historical results of this business as a discontinued operation.</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2009, the US Department of Justice began an investigation into past violations of US sanctions regarding Schlumberger’s historical operations in Iran and Sudan that occurred between 2004 and 2010. During the second quarter of 2014, Schlumberger increased its accrual for this contingency and recorded a $205 million charge, which was reflected within </w:t>
      </w:r>
      <w:r>
        <w:rPr>
          <w:rFonts w:ascii="Arial" w:cs="Arial" w:eastAsia="Arial" w:hAnsi="Arial"/>
          <w:sz w:val="17"/>
          <w:szCs w:val="17"/>
          <w:i w:val="1"/>
          <w:iCs w:val="1"/>
          <w:color w:val="auto"/>
        </w:rPr>
        <w:t>Loss from discontinued operations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During 2015, Schlumberger resolved this investigation and a non-US subsidiary of Schlumberger pleaded guilty to one criminal count of conspiracy to violate the International Emergency Economic Powers Act. Under the terms of the plea agreement, Schlumberger paid approximately $233 million in fines, penalties and assessments during the second quarter of 2015, which had been previously accrued. This payment is reflected within </w:t>
      </w:r>
      <w:r>
        <w:rPr>
          <w:rFonts w:ascii="Arial" w:cs="Arial" w:eastAsia="Arial" w:hAnsi="Arial"/>
          <w:sz w:val="17"/>
          <w:szCs w:val="17"/>
          <w:i w:val="1"/>
          <w:iCs w:val="1"/>
          <w:color w:val="auto"/>
        </w:rPr>
        <w:t>Cash flows used in discontinued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in Schlumberger’s</w:t>
      </w:r>
      <w:r>
        <w:rPr>
          <w:rFonts w:ascii="Arial" w:cs="Arial" w:eastAsia="Arial" w:hAnsi="Arial"/>
          <w:sz w:val="17"/>
          <w:szCs w:val="17"/>
          <w:i w:val="1"/>
          <w:iCs w:val="1"/>
          <w:color w:val="auto"/>
        </w:rPr>
        <w:t xml:space="preserv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Schlumberger management is responsible for establishing and maintaining adequate internal control over financial reporting as defined in Rule 13a–15(f) of the Securities Exchange Act of 1934, as amended.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 xml:space="preserve">Schlumberger management assessed the effectiveness of its internal control over financial reporting as of December 31, 2016. In making this assessment, it used the criteria set forth in 2013 by the Committee of Sponsoring Organizations of the Treadway Commission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Based on this assessment Schlumberger’s management has concluded that, as of December 31, 2016, its internal control over financial reporting is effective based on those criteria.</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effectiveness of Schlumberger’s internal control over financial reporting as of December 31, 2016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of Schlumberger Limited</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of comprehensive income, of stockholders’ equity and of cash flows present fairly, in all material respects, the financial position of Schlumberger Limited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2013.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044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January 25,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auto"/>
        </w:rPr>
        <w:t>Quarterly Results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Schlumberger’s results by quarter for the years ended December 31, 2016 and 2015.</w:t>
      </w:r>
    </w:p>
    <w:p>
      <w:pPr>
        <w:spacing w:after="0" w:line="225" w:lineRule="exact"/>
        <w:rPr>
          <w:sz w:val="20"/>
          <w:szCs w:val="20"/>
          <w:color w:val="auto"/>
        </w:rPr>
      </w:pPr>
    </w:p>
    <w:p>
      <w:pPr>
        <w:ind w:left="9420"/>
        <w:spacing w:after="0"/>
        <w:rPr>
          <w:sz w:val="20"/>
          <w:szCs w:val="20"/>
          <w:color w:val="auto"/>
        </w:rPr>
      </w:pPr>
      <w:r>
        <w:rPr>
          <w:rFonts w:ascii="Arial" w:cs="Arial" w:eastAsia="Arial" w:hAnsi="Arial"/>
          <w:sz w:val="11"/>
          <w:szCs w:val="11"/>
          <w:i w:val="1"/>
          <w:iCs w:val="1"/>
          <w:color w:val="auto"/>
        </w:rPr>
        <w:t>(Stated in millions, except per share a</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7"/>
                <w:szCs w:val="17"/>
                <w:color w:val="auto"/>
                <w:w w:val="92"/>
              </w:rPr>
              <w:t>Net Income (Loss)</w:t>
            </w:r>
          </w:p>
        </w:tc>
        <w:tc>
          <w:tcPr>
            <w:tcW w:w="22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7"/>
                <w:szCs w:val="17"/>
                <w:color w:val="auto"/>
                <w:w w:val="99"/>
              </w:rPr>
              <w:t>Earnings per Share o</w:t>
            </w:r>
          </w:p>
        </w:tc>
      </w:tr>
      <w:tr>
        <w:trPr>
          <w:trHeight w:val="232"/>
        </w:trPr>
        <w:tc>
          <w:tcPr>
            <w:tcW w:w="3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4"/>
              <w:spacing w:after="0"/>
              <w:rPr>
                <w:sz w:val="20"/>
                <w:szCs w:val="20"/>
                <w:color w:val="auto"/>
              </w:rPr>
            </w:pPr>
            <w:r>
              <w:rPr>
                <w:rFonts w:ascii="Arial" w:cs="Arial" w:eastAsia="Arial" w:hAnsi="Arial"/>
                <w:sz w:val="17"/>
                <w:szCs w:val="17"/>
                <w:color w:val="auto"/>
              </w:rPr>
              <w:t>Gross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color w:val="auto"/>
                <w:w w:val="95"/>
              </w:rPr>
              <w:t>Attributable to</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7"/>
                <w:szCs w:val="17"/>
                <w:color w:val="auto"/>
              </w:rPr>
              <w:t xml:space="preserve">Schlumberger </w:t>
            </w:r>
            <w:r>
              <w:rPr>
                <w:rFonts w:ascii="Arial" w:cs="Arial" w:eastAsia="Arial" w:hAnsi="Arial"/>
                <w:sz w:val="14"/>
                <w:szCs w:val="14"/>
                <w:color w:val="auto"/>
              </w:rPr>
              <w:t>(2)</w:t>
            </w:r>
          </w:p>
        </w:tc>
      </w:tr>
      <w:tr>
        <w:trPr>
          <w:trHeight w:val="225"/>
        </w:trPr>
        <w:tc>
          <w:tcPr>
            <w:tcW w:w="3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w w:val="91"/>
              </w:rPr>
              <w:t xml:space="preserve">Revenue </w:t>
            </w:r>
            <w:r>
              <w:rPr>
                <w:rFonts w:ascii="Arial" w:cs="Arial" w:eastAsia="Arial" w:hAnsi="Arial"/>
                <w:sz w:val="14"/>
                <w:szCs w:val="14"/>
                <w:color w:val="auto"/>
                <w:w w:val="91"/>
              </w:rPr>
              <w:t>(2)</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 xml:space="preserve">Margin </w:t>
            </w:r>
            <w:r>
              <w:rPr>
                <w:rFonts w:ascii="Arial" w:cs="Arial" w:eastAsia="Arial" w:hAnsi="Arial"/>
                <w:sz w:val="14"/>
                <w:szCs w:val="14"/>
                <w:color w:val="auto"/>
              </w:rPr>
              <w:t>(1), (2)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 xml:space="preserve">Schlumberger </w:t>
            </w:r>
            <w:r>
              <w:rPr>
                <w:rFonts w:ascii="Arial" w:cs="Arial" w:eastAsia="Arial" w:hAnsi="Arial"/>
                <w:sz w:val="14"/>
                <w:szCs w:val="14"/>
                <w:color w:val="auto"/>
                <w:w w:val="92"/>
              </w:rPr>
              <w:t>(2)</w:t>
            </w:r>
          </w:p>
        </w:tc>
        <w:tc>
          <w:tcPr>
            <w:tcW w:w="2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Basic</w:t>
            </w:r>
          </w:p>
        </w:tc>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Dilut</w:t>
            </w:r>
          </w:p>
        </w:tc>
      </w:tr>
      <w:tr>
        <w:trPr>
          <w:trHeight w:val="21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Quarters 2016</w:t>
            </w:r>
          </w:p>
        </w:tc>
        <w:tc>
          <w:tcPr>
            <w:tcW w:w="2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r>
      <w:tr>
        <w:trPr>
          <w:trHeight w:val="220"/>
        </w:trPr>
        <w:tc>
          <w:tcPr>
            <w:tcW w:w="3240" w:type="dxa"/>
            <w:vAlign w:val="bottom"/>
          </w:tcPr>
          <w:p>
            <w:pPr>
              <w:ind w:left="240"/>
              <w:spacing w:after="0"/>
              <w:rPr>
                <w:sz w:val="20"/>
                <w:szCs w:val="20"/>
                <w:color w:val="auto"/>
              </w:rPr>
            </w:pPr>
            <w:r>
              <w:rPr>
                <w:rFonts w:ascii="Arial" w:cs="Arial" w:eastAsia="Arial" w:hAnsi="Arial"/>
                <w:sz w:val="17"/>
                <w:szCs w:val="17"/>
                <w:b w:val="1"/>
                <w:bCs w:val="1"/>
                <w:color w:val="auto"/>
              </w:rPr>
              <w:t>First</w:t>
            </w:r>
          </w:p>
        </w:tc>
        <w:tc>
          <w:tcPr>
            <w:tcW w:w="2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6,520</w:t>
            </w:r>
          </w:p>
        </w:tc>
        <w:tc>
          <w:tcPr>
            <w:tcW w:w="46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1,059</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500</w:t>
            </w:r>
          </w:p>
        </w:tc>
        <w:tc>
          <w:tcPr>
            <w:tcW w:w="1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0.40</w:t>
            </w:r>
          </w:p>
        </w:tc>
        <w:tc>
          <w:tcPr>
            <w:tcW w:w="180" w:type="dxa"/>
            <w:vAlign w:val="bottom"/>
          </w:tcPr>
          <w:p>
            <w:pPr>
              <w:spacing w:after="0"/>
              <w:rPr>
                <w:sz w:val="19"/>
                <w:szCs w:val="19"/>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7"/>
                <w:szCs w:val="17"/>
                <w:b w:val="1"/>
                <w:bCs w:val="1"/>
                <w:color w:val="auto"/>
                <w:w w:val="84"/>
              </w:rPr>
              <w:t>$</w:t>
            </w:r>
          </w:p>
        </w:tc>
      </w:tr>
      <w:tr>
        <w:trPr>
          <w:trHeight w:val="220"/>
        </w:trPr>
        <w:tc>
          <w:tcPr>
            <w:tcW w:w="32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4"/>
                <w:szCs w:val="14"/>
                <w:b w:val="1"/>
                <w:bCs w:val="1"/>
                <w:color w:val="auto"/>
              </w:rPr>
              <w:t>(3)</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(2,159)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(1.56)</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0"/>
        </w:trPr>
        <w:tc>
          <w:tcPr>
            <w:tcW w:w="3240" w:type="dxa"/>
            <w:vAlign w:val="bottom"/>
          </w:tcPr>
          <w:p>
            <w:pPr>
              <w:ind w:left="240"/>
              <w:spacing w:after="0"/>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4"/>
                <w:szCs w:val="14"/>
                <w:b w:val="1"/>
                <w:bCs w:val="1"/>
                <w:color w:val="auto"/>
              </w:rPr>
              <w:t>(4)</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176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0.13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32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4"/>
                <w:szCs w:val="14"/>
                <w:b w:val="1"/>
                <w:bCs w:val="1"/>
                <w:color w:val="auto"/>
              </w:rPr>
              <w:t>(5</w:t>
            </w:r>
            <w:r>
              <w:rPr>
                <w:rFonts w:ascii="Arial" w:cs="Arial" w:eastAsia="Arial" w:hAnsi="Arial"/>
                <w:sz w:val="14"/>
                <w:szCs w:val="14"/>
                <w:color w:val="auto"/>
              </w:rPr>
              <w:t>)</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7,107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(204)</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(0.15)</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53"/>
        </w:trPr>
        <w:tc>
          <w:tcPr>
            <w:tcW w:w="3240" w:type="dxa"/>
            <w:vAlign w:val="bottom"/>
            <w:tcBorders>
              <w:bottom w:val="single" w:sz="8" w:color="CFF0FC"/>
            </w:tcBorders>
          </w:tcPr>
          <w:p>
            <w:pPr>
              <w:spacing w:after="0"/>
              <w:rPr>
                <w:sz w:val="21"/>
                <w:szCs w:val="21"/>
                <w:color w:val="auto"/>
              </w:rPr>
            </w:pPr>
          </w:p>
        </w:tc>
        <w:tc>
          <w:tcPr>
            <w:tcW w:w="21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27,810</w:t>
            </w:r>
          </w:p>
        </w:tc>
        <w:tc>
          <w:tcPr>
            <w:tcW w:w="2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3,700</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(1,687)</w:t>
            </w:r>
          </w:p>
        </w:tc>
        <w:tc>
          <w:tcPr>
            <w:tcW w:w="1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5"/>
                <w:szCs w:val="15"/>
                <w:b w:val="1"/>
                <w:bCs w:val="1"/>
                <w:color w:val="auto"/>
                <w:w w:val="71"/>
              </w:rPr>
              <w:t>$</w:t>
            </w:r>
          </w:p>
        </w:tc>
      </w:tr>
      <w:tr>
        <w:trPr>
          <w:trHeight w:val="198"/>
        </w:trPr>
        <w:tc>
          <w:tcPr>
            <w:tcW w:w="3240" w:type="dxa"/>
            <w:vAlign w:val="bottom"/>
            <w:shd w:val="clear" w:color="auto" w:fill="CFF0FC"/>
          </w:tcPr>
          <w:p>
            <w:pPr>
              <w:spacing w:after="0"/>
              <w:rPr>
                <w:sz w:val="20"/>
                <w:szCs w:val="20"/>
                <w:color w:val="auto"/>
              </w:rPr>
            </w:pPr>
            <w:r>
              <w:rPr>
                <w:rFonts w:ascii="Arial" w:cs="Arial" w:eastAsia="Arial" w:hAnsi="Arial"/>
                <w:sz w:val="17"/>
                <w:szCs w:val="17"/>
                <w:color w:val="auto"/>
              </w:rPr>
              <w:t>Quarters 2015</w:t>
            </w:r>
          </w:p>
        </w:tc>
        <w:tc>
          <w:tcPr>
            <w:tcW w:w="2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r>
      <w:tr>
        <w:trPr>
          <w:trHeight w:val="220"/>
        </w:trPr>
        <w:tc>
          <w:tcPr>
            <w:tcW w:w="3240" w:type="dxa"/>
            <w:vAlign w:val="bottom"/>
          </w:tcPr>
          <w:p>
            <w:pPr>
              <w:ind w:left="240"/>
              <w:spacing w:after="0"/>
              <w:rPr>
                <w:sz w:val="20"/>
                <w:szCs w:val="20"/>
                <w:color w:val="auto"/>
              </w:rPr>
            </w:pPr>
            <w:r>
              <w:rPr>
                <w:rFonts w:ascii="Arial" w:cs="Arial" w:eastAsia="Arial" w:hAnsi="Arial"/>
                <w:sz w:val="17"/>
                <w:szCs w:val="17"/>
                <w:color w:val="auto"/>
              </w:rPr>
              <w:t xml:space="preserve">First </w:t>
            </w:r>
            <w:r>
              <w:rPr>
                <w:rFonts w:ascii="Arial" w:cs="Arial" w:eastAsia="Arial" w:hAnsi="Arial"/>
                <w:sz w:val="14"/>
                <w:szCs w:val="14"/>
                <w:color w:val="auto"/>
              </w:rPr>
              <w:t>(6)</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10,248</w:t>
            </w:r>
          </w:p>
        </w:tc>
        <w:tc>
          <w:tcPr>
            <w:tcW w:w="4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2,152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975</w:t>
            </w:r>
          </w:p>
        </w:tc>
        <w:tc>
          <w:tcPr>
            <w:tcW w:w="1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0.76</w:t>
            </w:r>
          </w:p>
        </w:tc>
        <w:tc>
          <w:tcPr>
            <w:tcW w:w="180" w:type="dxa"/>
            <w:vAlign w:val="bottom"/>
          </w:tcPr>
          <w:p>
            <w:pPr>
              <w:spacing w:after="0"/>
              <w:rPr>
                <w:sz w:val="19"/>
                <w:szCs w:val="19"/>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7"/>
                <w:szCs w:val="17"/>
                <w:color w:val="auto"/>
                <w:w w:val="84"/>
              </w:rPr>
              <w:t>$</w:t>
            </w:r>
          </w:p>
        </w:tc>
      </w:tr>
      <w:tr>
        <w:trPr>
          <w:trHeight w:val="220"/>
        </w:trPr>
        <w:tc>
          <w:tcPr>
            <w:tcW w:w="3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Second</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0"/>
        </w:trPr>
        <w:tc>
          <w:tcPr>
            <w:tcW w:w="3240" w:type="dxa"/>
            <w:vAlign w:val="bottom"/>
          </w:tcPr>
          <w:p>
            <w:pPr>
              <w:ind w:left="240"/>
              <w:spacing w:after="0"/>
              <w:rPr>
                <w:sz w:val="20"/>
                <w:szCs w:val="20"/>
                <w:color w:val="auto"/>
              </w:rPr>
            </w:pPr>
            <w:r>
              <w:rPr>
                <w:rFonts w:ascii="Arial" w:cs="Arial" w:eastAsia="Arial" w:hAnsi="Arial"/>
                <w:sz w:val="17"/>
                <w:szCs w:val="17"/>
                <w:color w:val="auto"/>
              </w:rPr>
              <w:t>Third</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32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xml:space="preserve">Fourth </w:t>
            </w:r>
            <w:r>
              <w:rPr>
                <w:rFonts w:ascii="Arial" w:cs="Arial" w:eastAsia="Arial" w:hAnsi="Arial"/>
                <w:sz w:val="14"/>
                <w:szCs w:val="14"/>
                <w:color w:val="auto"/>
              </w:rPr>
              <w:t>(7)</w:t>
            </w: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7,744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(1,016)</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(0.81)</w:t>
            </w: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13"/>
        </w:trPr>
        <w:tc>
          <w:tcPr>
            <w:tcW w:w="324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35,475</w:t>
            </w:r>
          </w:p>
        </w:tc>
        <w:tc>
          <w:tcPr>
            <w:tcW w:w="4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7,154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2,072</w:t>
            </w:r>
          </w:p>
        </w:tc>
        <w:tc>
          <w:tcPr>
            <w:tcW w:w="1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1.63</w:t>
            </w:r>
          </w:p>
        </w:tc>
        <w:tc>
          <w:tcPr>
            <w:tcW w:w="180" w:type="dxa"/>
            <w:vAlign w:val="bottom"/>
          </w:tcPr>
          <w:p>
            <w:pPr>
              <w:spacing w:after="0"/>
              <w:rPr>
                <w:sz w:val="18"/>
                <w:szCs w:val="18"/>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7"/>
                <w:szCs w:val="17"/>
                <w:color w:val="auto"/>
                <w:w w:val="84"/>
              </w:rPr>
              <w:t>$</w:t>
            </w:r>
          </w:p>
        </w:tc>
      </w:tr>
      <w:tr>
        <w:trPr>
          <w:trHeight w:val="20"/>
        </w:trPr>
        <w:tc>
          <w:tcPr>
            <w:tcW w:w="3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80" w:hanging="377"/>
        <w:spacing w:after="0"/>
        <w:tabs>
          <w:tab w:leader="none" w:pos="380" w:val="left"/>
        </w:tabs>
        <w:numPr>
          <w:ilvl w:val="0"/>
          <w:numId w:val="51"/>
        </w:numPr>
        <w:rPr>
          <w:rFonts w:ascii="Arial" w:cs="Arial" w:eastAsia="Arial" w:hAnsi="Arial"/>
          <w:sz w:val="25"/>
          <w:szCs w:val="25"/>
          <w:color w:val="auto"/>
          <w:vertAlign w:val="superscript"/>
        </w:rPr>
      </w:pPr>
      <w:r>
        <w:rPr>
          <w:rFonts w:ascii="Arial" w:cs="Arial" w:eastAsia="Arial" w:hAnsi="Arial"/>
          <w:sz w:val="17"/>
          <w:szCs w:val="17"/>
          <w:color w:val="auto"/>
        </w:rPr>
        <w:t xml:space="preserve">Gross margin equals </w:t>
      </w:r>
      <w:r>
        <w:rPr>
          <w:rFonts w:ascii="Arial" w:cs="Arial" w:eastAsia="Arial" w:hAnsi="Arial"/>
          <w:sz w:val="17"/>
          <w:szCs w:val="17"/>
          <w:i w:val="1"/>
          <w:iCs w:val="1"/>
          <w:color w:val="auto"/>
        </w:rPr>
        <w:t>Total Revenue</w:t>
      </w:r>
      <w:r>
        <w:rPr>
          <w:rFonts w:ascii="Arial" w:cs="Arial" w:eastAsia="Arial" w:hAnsi="Arial"/>
          <w:sz w:val="17"/>
          <w:szCs w:val="17"/>
          <w:color w:val="auto"/>
        </w:rPr>
        <w:t xml:space="preserve"> less </w:t>
      </w:r>
      <w:r>
        <w:rPr>
          <w:rFonts w:ascii="Arial" w:cs="Arial" w:eastAsia="Arial" w:hAnsi="Arial"/>
          <w:sz w:val="17"/>
          <w:szCs w:val="17"/>
          <w:i w:val="1"/>
          <w:iCs w:val="1"/>
          <w:color w:val="auto"/>
        </w:rPr>
        <w:t>Cost of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Cost of Sales</w:t>
      </w:r>
      <w:r>
        <w:rPr>
          <w:rFonts w:ascii="Arial" w:cs="Arial" w:eastAsia="Arial" w:hAnsi="Arial"/>
          <w:sz w:val="17"/>
          <w:szCs w:val="17"/>
          <w:color w:val="auto"/>
        </w:rPr>
        <w:t>.</w:t>
      </w:r>
    </w:p>
    <w:p>
      <w:pPr>
        <w:spacing w:after="0" w:line="1" w:lineRule="exact"/>
        <w:rPr>
          <w:rFonts w:ascii="Arial" w:cs="Arial" w:eastAsia="Arial" w:hAnsi="Arial"/>
          <w:sz w:val="25"/>
          <w:szCs w:val="25"/>
          <w:color w:val="auto"/>
          <w:vertAlign w:val="superscript"/>
        </w:rPr>
      </w:pPr>
    </w:p>
    <w:p>
      <w:pPr>
        <w:ind w:left="380" w:hanging="377"/>
        <w:spacing w:after="0" w:line="186" w:lineRule="auto"/>
        <w:tabs>
          <w:tab w:leader="none" w:pos="3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Amounts may not add due to rounding.</w:t>
      </w:r>
    </w:p>
    <w:p>
      <w:pPr>
        <w:spacing w:after="0" w:line="40" w:lineRule="exact"/>
        <w:rPr>
          <w:rFonts w:ascii="Arial" w:cs="Arial" w:eastAsia="Arial" w:hAnsi="Arial"/>
          <w:sz w:val="23"/>
          <w:szCs w:val="23"/>
          <w:color w:val="auto"/>
          <w:vertAlign w:val="superscript"/>
        </w:rPr>
      </w:pPr>
    </w:p>
    <w:p>
      <w:pPr>
        <w:ind w:left="380" w:hanging="377"/>
        <w:spacing w:after="0" w:line="186" w:lineRule="auto"/>
        <w:tabs>
          <w:tab w:leader="none" w:pos="3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Net income in the second quarter of 2016 includes after-tax charges of $2.476 billion.</w:t>
      </w:r>
    </w:p>
    <w:p>
      <w:pPr>
        <w:spacing w:after="0" w:line="40" w:lineRule="exact"/>
        <w:rPr>
          <w:rFonts w:ascii="Arial" w:cs="Arial" w:eastAsia="Arial" w:hAnsi="Arial"/>
          <w:sz w:val="23"/>
          <w:szCs w:val="23"/>
          <w:color w:val="auto"/>
          <w:vertAlign w:val="superscript"/>
        </w:rPr>
      </w:pPr>
    </w:p>
    <w:p>
      <w:pPr>
        <w:ind w:left="380" w:hanging="377"/>
        <w:spacing w:after="0" w:line="186" w:lineRule="auto"/>
        <w:tabs>
          <w:tab w:leader="none" w:pos="3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Net income in the third quarter of 2016 includes after-tax charges of $176 million.</w:t>
      </w:r>
    </w:p>
    <w:p>
      <w:pPr>
        <w:spacing w:after="0" w:line="40" w:lineRule="exact"/>
        <w:rPr>
          <w:rFonts w:ascii="Arial" w:cs="Arial" w:eastAsia="Arial" w:hAnsi="Arial"/>
          <w:sz w:val="23"/>
          <w:szCs w:val="23"/>
          <w:color w:val="auto"/>
          <w:vertAlign w:val="superscript"/>
        </w:rPr>
      </w:pPr>
    </w:p>
    <w:p>
      <w:pPr>
        <w:ind w:left="380" w:hanging="377"/>
        <w:spacing w:after="0" w:line="186" w:lineRule="auto"/>
        <w:tabs>
          <w:tab w:leader="none" w:pos="3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Net income in the fourth quarter of 2016 includes after-tax charges of $583 million.</w:t>
      </w:r>
    </w:p>
    <w:p>
      <w:pPr>
        <w:spacing w:after="0" w:line="40" w:lineRule="exact"/>
        <w:rPr>
          <w:rFonts w:ascii="Arial" w:cs="Arial" w:eastAsia="Arial" w:hAnsi="Arial"/>
          <w:sz w:val="23"/>
          <w:szCs w:val="23"/>
          <w:color w:val="auto"/>
          <w:vertAlign w:val="superscript"/>
        </w:rPr>
      </w:pPr>
    </w:p>
    <w:p>
      <w:pPr>
        <w:ind w:left="380" w:hanging="377"/>
        <w:spacing w:after="0" w:line="186" w:lineRule="auto"/>
        <w:tabs>
          <w:tab w:leader="none" w:pos="3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Net income in the first quarter of 2015 includes after-tax charges of $383 million.</w:t>
      </w:r>
    </w:p>
    <w:p>
      <w:pPr>
        <w:spacing w:after="0" w:line="40" w:lineRule="exact"/>
        <w:rPr>
          <w:rFonts w:ascii="Arial" w:cs="Arial" w:eastAsia="Arial" w:hAnsi="Arial"/>
          <w:sz w:val="23"/>
          <w:szCs w:val="23"/>
          <w:color w:val="auto"/>
          <w:vertAlign w:val="superscript"/>
        </w:rPr>
      </w:pPr>
    </w:p>
    <w:p>
      <w:pPr>
        <w:ind w:left="380" w:hanging="377"/>
        <w:spacing w:after="0" w:line="186" w:lineRule="auto"/>
        <w:tabs>
          <w:tab w:leader="none" w:pos="3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Net income in the fourth quarter of 2015 includes after-tax charges of $1.835 billion.</w:t>
      </w:r>
    </w:p>
    <w:p>
      <w:pPr>
        <w:spacing w:after="0" w:line="200" w:lineRule="exact"/>
        <w:rPr>
          <w:sz w:val="20"/>
          <w:szCs w:val="20"/>
          <w:color w:val="auto"/>
        </w:rPr>
      </w:pPr>
    </w:p>
    <w:p>
      <w:pPr>
        <w:spacing w:after="0" w:line="201" w:lineRule="exact"/>
        <w:rPr>
          <w:sz w:val="20"/>
          <w:szCs w:val="20"/>
          <w:color w:val="auto"/>
        </w:rPr>
      </w:pPr>
    </w:p>
    <w:p>
      <w:pPr>
        <w:ind w:left="320" w:hanging="304"/>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Mark of Schlumberger</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9A. Controls and Procedures.</w:t>
      </w:r>
    </w:p>
    <w:p>
      <w:pPr>
        <w:spacing w:after="0" w:line="121"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w:t>
      </w:r>
      <w:r>
        <w:rPr>
          <w:sz w:val="1"/>
          <w:szCs w:val="1"/>
          <w:color w:val="auto"/>
        </w:rPr>
        <w:drawing>
          <wp:inline distT="0" distB="0" distL="0" distR="0">
            <wp:extent cx="41275" cy="12319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275" cy="123190"/>
                    </a:xfrm>
                    <a:prstGeom prst="rect">
                      <a:avLst/>
                    </a:prstGeom>
                    <a:noFill/>
                    <a:ln>
                      <a:noFill/>
                    </a:ln>
                  </pic:spPr>
                </pic:pic>
              </a:graphicData>
            </a:graphic>
          </wp:inline>
        </w:drawing>
      </w:r>
      <w:r>
        <w:rPr>
          <w:rFonts w:ascii="Arial" w:cs="Arial" w:eastAsia="Arial" w:hAnsi="Arial"/>
          <w:sz w:val="16"/>
          <w:szCs w:val="16"/>
          <w:color w:val="auto"/>
        </w:rPr>
        <w:t>no change in Schlumberger’s internal control over financial reporting that occurred during the fourth quarter of 2016 that has materially affected, or is reasonably likely to materially affect, Schlumberger’s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auto"/>
        </w:rPr>
        <w:t>Item 9B. Other Information.</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Schlumberger completed the wind down of its service operations in Iran during 2013. Prior to this, certain non-U.S. subsidiaries provided oilfield services to the National Iranian Oil Company and certain of its affiliates (“NIOC”).</w:t>
      </w:r>
    </w:p>
    <w:p>
      <w:pPr>
        <w:spacing w:after="0" w:line="15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Schlumberger’s residual transactions or dealings with the government of Iran during 2016 consisted of payments of taxes and other typical governmental charges. Certain non-U.S. subsidiaries maintained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and utilities. Schlumberger anticipates that it will discontinue its dealings with Saderat and Tejarat following the receipt of all amounts owed for prior services rendered in Iran.</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During the fourth quarter of 2016, a non-US subsidiary entered into a memorandum of understanding (“MOU”) with NIOC relating to the non-disclosure of data required for the technical evaluation of an oilfield project. The MOU does not involve the provision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PART III</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10. Directors, Executive Officers and Corporate Governance of Schlumberger.</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2017 Proxy Statement is incorporated herein by reference.</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Schlumberger has a Code of Conduct that applies to all of its directors, officers and employees, including its principal executive, financial and accounting officers, or persons performing similar functions. Schlumberger’s Code of Conduct is posted on its website at </w:t>
      </w:r>
      <w:r>
        <w:rPr>
          <w:rFonts w:ascii="Arial" w:cs="Arial" w:eastAsia="Arial" w:hAnsi="Arial"/>
          <w:sz w:val="17"/>
          <w:szCs w:val="17"/>
          <w:u w:val="single" w:color="auto"/>
          <w:color w:val="auto"/>
        </w:rPr>
        <w:t>www.slb.com/about/codeofconduct.aspx</w:t>
      </w:r>
      <w:r>
        <w:rPr>
          <w:rFonts w:ascii="Arial" w:cs="Arial" w:eastAsia="Arial" w:hAnsi="Arial"/>
          <w:sz w:val="17"/>
          <w:szCs w:val="17"/>
          <w:color w:val="auto"/>
        </w:rPr>
        <w:t xml:space="preserve">. Schlumberger intends to disclose future amendments to the Code of Conduct and any grant of a waiver from a provision of the Code of Conduct requiring disclosure under applicable SEC rules at </w:t>
      </w:r>
      <w:r>
        <w:rPr>
          <w:rFonts w:ascii="Arial" w:cs="Arial" w:eastAsia="Arial" w:hAnsi="Arial"/>
          <w:sz w:val="17"/>
          <w:szCs w:val="17"/>
          <w:u w:val="single" w:color="auto"/>
          <w:color w:val="auto"/>
        </w:rPr>
        <w:t>www.slb.com/about/codeofconduct.aspx</w:t>
      </w:r>
      <w:r>
        <w:rPr>
          <w:rFonts w:ascii="Arial" w:cs="Arial" w:eastAsia="Arial" w:hAnsi="Arial"/>
          <w:sz w:val="17"/>
          <w:szCs w:val="17"/>
          <w:color w:val="auto"/>
        </w:rPr>
        <w:t>.</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11. Executive Compensation.</w:t>
      </w:r>
    </w:p>
    <w:p>
      <w:pPr>
        <w:spacing w:after="0" w:line="121" w:lineRule="exact"/>
        <w:rPr>
          <w:sz w:val="20"/>
          <w:szCs w:val="20"/>
          <w:color w:val="auto"/>
        </w:rPr>
      </w:pPr>
    </w:p>
    <w:p>
      <w:pPr>
        <w:jc w:val="both"/>
        <w:spacing w:after="0" w:line="352" w:lineRule="auto"/>
        <w:rPr>
          <w:sz w:val="20"/>
          <w:szCs w:val="20"/>
          <w:color w:val="auto"/>
        </w:rPr>
      </w:pPr>
      <w:r>
        <w:rPr>
          <w:rFonts w:ascii="Arial" w:cs="Arial" w:eastAsia="Arial" w:hAnsi="Arial"/>
          <w:sz w:val="15"/>
          <w:szCs w:val="15"/>
          <w:color w:val="auto"/>
        </w:rPr>
        <w:t>The information set forth under the captions “Compensation Discussion and Analysis,” “Executive Compensation Tables and Accompanying Narrative,” “Compensation Committee Report” and “Director Compensation in Fiscal Year 2016” in Schlumberger’s 2017 Proxy Statement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information under the captions “Stock Ownership Information—Security Ownership by Certain Beneficial Owners,” “Stock Ownership Information—Security Ownership by Management” and “Equity Compensation Plan Information” in Schlumberger’s 2017 Proxy Statement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13. Certain Relationships and Related Transactions, and Director Independence.</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information under the captions “Corporate Governance—Board Independence” and “Corporate Governance—Policies and Procedures for Approval of Related Person Transactions” in Schlumberger’s 2017 Proxy Statement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14. Principal Accounting Fees and Services.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information under the caption “Appointment of Independent Registered Public Accounting Firm” in Schlumberger’s 2017 Proxy Statement is incorporated herein by reference.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5"/>
        </w:trPr>
        <w:tc>
          <w:tcPr>
            <w:tcW w:w="8780" w:type="dxa"/>
            <w:vAlign w:val="bottom"/>
            <w:gridSpan w:val="12"/>
          </w:tcPr>
          <w:p>
            <w:pPr>
              <w:spacing w:after="0"/>
              <w:rPr>
                <w:sz w:val="20"/>
                <w:szCs w:val="20"/>
                <w:color w:val="auto"/>
              </w:rPr>
            </w:pPr>
            <w:r>
              <w:rPr>
                <w:rFonts w:ascii="Arial" w:cs="Arial" w:eastAsia="Arial" w:hAnsi="Arial"/>
                <w:sz w:val="17"/>
                <w:szCs w:val="17"/>
                <w:b w:val="1"/>
                <w:bCs w:val="1"/>
                <w:color w:val="auto"/>
              </w:rPr>
              <w:t>PART IV</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96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1"/>
              </w:rPr>
              <w:t>Item 15. Exhibits and Financial Statement Schedules.</w:t>
            </w:r>
          </w:p>
        </w:tc>
        <w:tc>
          <w:tcPr>
            <w:tcW w:w="4820" w:type="dxa"/>
            <w:vAlign w:val="bottom"/>
            <w:gridSpan w:val="8"/>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60" w:type="dxa"/>
            <w:vAlign w:val="bottom"/>
          </w:tcPr>
          <w:p>
            <w:pPr>
              <w:spacing w:after="0"/>
              <w:rPr>
                <w:sz w:val="20"/>
                <w:szCs w:val="20"/>
                <w:color w:val="auto"/>
              </w:rPr>
            </w:pPr>
            <w:r>
              <w:rPr>
                <w:rFonts w:ascii="Arial" w:cs="Arial" w:eastAsia="Arial" w:hAnsi="Arial"/>
                <w:sz w:val="17"/>
                <w:szCs w:val="17"/>
                <w:color w:val="auto"/>
              </w:rPr>
              <w:t>(a)</w:t>
            </w:r>
          </w:p>
        </w:tc>
        <w:tc>
          <w:tcPr>
            <w:tcW w:w="8420" w:type="dxa"/>
            <w:vAlign w:val="bottom"/>
            <w:gridSpan w:val="11"/>
          </w:tcPr>
          <w:p>
            <w:pPr>
              <w:ind w:left="160"/>
              <w:spacing w:after="0"/>
              <w:rPr>
                <w:sz w:val="20"/>
                <w:szCs w:val="20"/>
                <w:color w:val="auto"/>
              </w:rPr>
            </w:pPr>
            <w:r>
              <w:rPr>
                <w:rFonts w:ascii="Arial" w:cs="Arial" w:eastAsia="Arial" w:hAnsi="Arial"/>
                <w:sz w:val="17"/>
                <w:szCs w:val="17"/>
                <w:color w:val="auto"/>
              </w:rPr>
              <w:t>The following documents are filed as part of this Report: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60" w:type="dxa"/>
            <w:vAlign w:val="bottom"/>
          </w:tcPr>
          <w:p>
            <w:pPr>
              <w:spacing w:after="0"/>
              <w:rPr>
                <w:sz w:val="24"/>
                <w:szCs w:val="24"/>
                <w:color w:val="auto"/>
              </w:rPr>
            </w:pPr>
          </w:p>
        </w:tc>
        <w:tc>
          <w:tcPr>
            <w:tcW w:w="8420" w:type="dxa"/>
            <w:vAlign w:val="bottom"/>
            <w:gridSpan w:val="11"/>
            <w:vMerge w:val="restart"/>
          </w:tcPr>
          <w:p>
            <w:pPr>
              <w:ind w:left="560"/>
              <w:spacing w:after="0"/>
              <w:rPr>
                <w:sz w:val="20"/>
                <w:szCs w:val="20"/>
                <w:color w:val="auto"/>
              </w:rPr>
            </w:pPr>
            <w:r>
              <w:rPr>
                <w:rFonts w:ascii="Arial" w:cs="Arial" w:eastAsia="Arial" w:hAnsi="Arial"/>
                <w:sz w:val="17"/>
                <w:szCs w:val="17"/>
                <w:color w:val="auto"/>
              </w:rPr>
              <w:t>(1)  Financial Statements</w:t>
            </w:r>
          </w:p>
        </w:tc>
        <w:tc>
          <w:tcPr>
            <w:tcW w:w="1560" w:type="dxa"/>
            <w:vAlign w:val="bottom"/>
          </w:tcPr>
          <w:p>
            <w:pPr>
              <w:jc w:val="center"/>
              <w:ind w:left="796"/>
              <w:spacing w:after="0"/>
              <w:rPr>
                <w:sz w:val="20"/>
                <w:szCs w:val="20"/>
                <w:color w:val="auto"/>
              </w:rPr>
            </w:pPr>
            <w:r>
              <w:rPr>
                <w:rFonts w:ascii="Arial" w:cs="Arial" w:eastAsia="Arial" w:hAnsi="Arial"/>
                <w:sz w:val="14"/>
                <w:szCs w:val="14"/>
                <w:color w:val="auto"/>
                <w:w w:val="81"/>
              </w:rPr>
              <w:t>Page(s)</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8420" w:type="dxa"/>
            <w:vAlign w:val="bottom"/>
            <w:gridSpan w:val="11"/>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520" w:type="dxa"/>
            <w:vAlign w:val="bottom"/>
            <w:gridSpan w:val="10"/>
          </w:tcPr>
          <w:p>
            <w:pPr>
              <w:spacing w:after="0" w:line="180" w:lineRule="exact"/>
              <w:rPr>
                <w:rFonts w:ascii="Arial" w:cs="Arial" w:eastAsia="Arial" w:hAnsi="Arial"/>
                <w:sz w:val="17"/>
                <w:szCs w:val="17"/>
                <w:color w:val="0000EE"/>
              </w:rPr>
            </w:pPr>
            <w:hyperlink w:anchor="page30">
              <w:r>
                <w:rPr>
                  <w:rFonts w:ascii="Arial" w:cs="Arial" w:eastAsia="Arial" w:hAnsi="Arial"/>
                  <w:sz w:val="17"/>
                  <w:szCs w:val="17"/>
                  <w:color w:val="0000EE"/>
                </w:rPr>
                <w:t>Consolidated Statement of Income for the three years ended December 31, 2016</w:t>
              </w:r>
            </w:hyperlink>
          </w:p>
        </w:tc>
        <w:tc>
          <w:tcPr>
            <w:tcW w:w="1560" w:type="dxa"/>
            <w:vAlign w:val="bottom"/>
          </w:tcPr>
          <w:p>
            <w:pPr>
              <w:jc w:val="center"/>
              <w:ind w:left="796"/>
              <w:spacing w:after="0" w:line="180" w:lineRule="exact"/>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20" w:type="dxa"/>
            <w:vAlign w:val="bottom"/>
            <w:gridSpan w:val="10"/>
          </w:tcPr>
          <w:p>
            <w:pPr>
              <w:spacing w:after="0" w:line="187" w:lineRule="exact"/>
              <w:rPr>
                <w:rFonts w:ascii="Arial" w:cs="Arial" w:eastAsia="Arial" w:hAnsi="Arial"/>
                <w:sz w:val="17"/>
                <w:szCs w:val="17"/>
                <w:color w:val="0000EE"/>
              </w:rPr>
            </w:pPr>
            <w:hyperlink w:anchor="page31">
              <w:r>
                <w:rPr>
                  <w:rFonts w:ascii="Arial" w:cs="Arial" w:eastAsia="Arial" w:hAnsi="Arial"/>
                  <w:sz w:val="17"/>
                  <w:szCs w:val="17"/>
                  <w:color w:val="0000EE"/>
                </w:rPr>
                <w:t>Consolidated Statement of Comprehensive Income for the three years ended December 31, 2016</w:t>
              </w:r>
            </w:hyperlink>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84"/>
              </w:rPr>
              <w:t>31</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80" w:type="dxa"/>
            <w:vAlign w:val="bottom"/>
            <w:tcBorders>
              <w:top w:val="single" w:sz="8" w:color="0000EE"/>
              <w:bottom w:val="single" w:sz="8" w:color="0000EE"/>
            </w:tcBorders>
            <w:gridSpan w:val="5"/>
          </w:tcPr>
          <w:p>
            <w:pPr>
              <w:spacing w:after="0" w:line="187" w:lineRule="exact"/>
              <w:rPr>
                <w:rFonts w:ascii="Arial" w:cs="Arial" w:eastAsia="Arial" w:hAnsi="Arial"/>
                <w:sz w:val="17"/>
                <w:szCs w:val="17"/>
                <w:color w:val="0000EE"/>
                <w:w w:val="89"/>
              </w:rPr>
            </w:pPr>
            <w:hyperlink w:anchor="page32">
              <w:r>
                <w:rPr>
                  <w:rFonts w:ascii="Arial" w:cs="Arial" w:eastAsia="Arial" w:hAnsi="Arial"/>
                  <w:sz w:val="17"/>
                  <w:szCs w:val="17"/>
                  <w:color w:val="0000EE"/>
                  <w:w w:val="89"/>
                </w:rPr>
                <w:t>Consolidated Balance Sheet at December 31, 2016 and 2015</w:t>
              </w:r>
            </w:hyperlink>
          </w:p>
        </w:tc>
        <w:tc>
          <w:tcPr>
            <w:tcW w:w="2460" w:type="dxa"/>
            <w:vAlign w:val="bottom"/>
            <w:tcBorders>
              <w:top w:val="single" w:sz="8" w:color="0000EE"/>
            </w:tcBorders>
            <w:gridSpan w:val="4"/>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84"/>
              </w:rPr>
              <w:t>32</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20" w:type="dxa"/>
            <w:vAlign w:val="bottom"/>
            <w:tcBorders>
              <w:bottom w:val="single" w:sz="8" w:color="0000EE"/>
            </w:tcBorders>
            <w:gridSpan w:val="7"/>
          </w:tcPr>
          <w:p>
            <w:pPr>
              <w:spacing w:after="0" w:line="187" w:lineRule="exact"/>
              <w:rPr>
                <w:rFonts w:ascii="Arial" w:cs="Arial" w:eastAsia="Arial" w:hAnsi="Arial"/>
                <w:sz w:val="17"/>
                <w:szCs w:val="17"/>
                <w:color w:val="0000EE"/>
                <w:w w:val="90"/>
              </w:rPr>
            </w:pPr>
            <w:hyperlink w:anchor="page33">
              <w:r>
                <w:rPr>
                  <w:rFonts w:ascii="Arial" w:cs="Arial" w:eastAsia="Arial" w:hAnsi="Arial"/>
                  <w:sz w:val="17"/>
                  <w:szCs w:val="17"/>
                  <w:color w:val="0000EE"/>
                  <w:w w:val="90"/>
                </w:rPr>
                <w:t>Consolidated Statement of Cash Flows for the three years ended December 31, 2016</w:t>
              </w:r>
            </w:hyperlink>
          </w:p>
        </w:tc>
        <w:tc>
          <w:tcPr>
            <w:tcW w:w="1700" w:type="dxa"/>
            <w:vAlign w:val="bottom"/>
            <w:gridSpan w:val="3"/>
          </w:tcPr>
          <w:p>
            <w:pPr>
              <w:spacing w:after="0"/>
              <w:rPr>
                <w:sz w:val="16"/>
                <w:szCs w:val="16"/>
                <w:color w:val="auto"/>
              </w:rPr>
            </w:pPr>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84"/>
              </w:rPr>
              <w:t>33</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20" w:type="dxa"/>
            <w:vAlign w:val="bottom"/>
            <w:gridSpan w:val="10"/>
          </w:tcPr>
          <w:p>
            <w:pPr>
              <w:spacing w:after="0" w:line="187" w:lineRule="exact"/>
              <w:rPr>
                <w:rFonts w:ascii="Arial" w:cs="Arial" w:eastAsia="Arial" w:hAnsi="Arial"/>
                <w:sz w:val="17"/>
                <w:szCs w:val="17"/>
                <w:color w:val="0000EE"/>
              </w:rPr>
            </w:pPr>
            <w:hyperlink w:anchor="page34">
              <w:r>
                <w:rPr>
                  <w:rFonts w:ascii="Arial" w:cs="Arial" w:eastAsia="Arial" w:hAnsi="Arial"/>
                  <w:sz w:val="17"/>
                  <w:szCs w:val="17"/>
                  <w:color w:val="0000EE"/>
                </w:rPr>
                <w:t>Consolidated Statement of Stockholders’ Equity for the three years ended December 31, 2016</w:t>
              </w:r>
            </w:hyperlink>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89"/>
              </w:rPr>
              <w:t>34 and 35</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60" w:type="dxa"/>
            <w:vAlign w:val="bottom"/>
            <w:tcBorders>
              <w:top w:val="single" w:sz="8" w:color="0000EE"/>
            </w:tcBorders>
            <w:gridSpan w:val="8"/>
          </w:tcPr>
          <w:p>
            <w:pPr>
              <w:spacing w:after="0" w:line="187" w:lineRule="exact"/>
              <w:rPr>
                <w:rFonts w:ascii="Arial" w:cs="Arial" w:eastAsia="Arial" w:hAnsi="Arial"/>
                <w:sz w:val="17"/>
                <w:szCs w:val="17"/>
                <w:color w:val="0000EE"/>
              </w:rPr>
            </w:pPr>
            <w:hyperlink w:anchor="page36">
              <w:r>
                <w:rPr>
                  <w:rFonts w:ascii="Arial" w:cs="Arial" w:eastAsia="Arial" w:hAnsi="Arial"/>
                  <w:sz w:val="17"/>
                  <w:szCs w:val="17"/>
                  <w:color w:val="0000EE"/>
                </w:rPr>
                <w:t>Notes to Consolidated Financial Statements</w:t>
              </w:r>
            </w:hyperlink>
          </w:p>
        </w:tc>
        <w:tc>
          <w:tcPr>
            <w:tcW w:w="1060" w:type="dxa"/>
            <w:vAlign w:val="bottom"/>
            <w:gridSpan w:val="2"/>
          </w:tcPr>
          <w:p>
            <w:pPr>
              <w:spacing w:after="0"/>
              <w:rPr>
                <w:sz w:val="16"/>
                <w:szCs w:val="16"/>
                <w:color w:val="auto"/>
              </w:rPr>
            </w:pPr>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91"/>
              </w:rPr>
              <w:t>36 to 63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40" w:type="dxa"/>
            <w:vAlign w:val="bottom"/>
            <w:tcBorders>
              <w:bottom w:val="single" w:sz="8" w:color="0000EE"/>
            </w:tcBorders>
            <w:gridSpan w:val="4"/>
          </w:tcPr>
          <w:p>
            <w:pPr>
              <w:spacing w:after="0" w:line="187" w:lineRule="exact"/>
              <w:rPr>
                <w:rFonts w:ascii="Arial" w:cs="Arial" w:eastAsia="Arial" w:hAnsi="Arial"/>
                <w:sz w:val="17"/>
                <w:szCs w:val="17"/>
                <w:color w:val="0000EE"/>
                <w:w w:val="92"/>
              </w:rPr>
            </w:pPr>
            <w:hyperlink w:anchor="page65">
              <w:r>
                <w:rPr>
                  <w:rFonts w:ascii="Arial" w:cs="Arial" w:eastAsia="Arial" w:hAnsi="Arial"/>
                  <w:sz w:val="17"/>
                  <w:szCs w:val="17"/>
                  <w:color w:val="0000EE"/>
                  <w:w w:val="92"/>
                </w:rPr>
                <w:t>Report of Independent Registered Public Accounting Firm</w:t>
              </w:r>
            </w:hyperlink>
          </w:p>
        </w:tc>
        <w:tc>
          <w:tcPr>
            <w:tcW w:w="3480" w:type="dxa"/>
            <w:vAlign w:val="bottom"/>
            <w:gridSpan w:val="6"/>
          </w:tcPr>
          <w:p>
            <w:pPr>
              <w:spacing w:after="0"/>
              <w:rPr>
                <w:sz w:val="16"/>
                <w:szCs w:val="16"/>
                <w:color w:val="auto"/>
              </w:rPr>
            </w:pPr>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84"/>
              </w:rPr>
              <w:t>65</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520" w:type="dxa"/>
            <w:vAlign w:val="bottom"/>
            <w:gridSpan w:val="10"/>
          </w:tcPr>
          <w:p>
            <w:pPr>
              <w:spacing w:after="0" w:line="187" w:lineRule="exact"/>
              <w:rPr>
                <w:rFonts w:ascii="Arial" w:cs="Arial" w:eastAsia="Arial" w:hAnsi="Arial"/>
                <w:sz w:val="17"/>
                <w:szCs w:val="17"/>
                <w:color w:val="0000EE"/>
              </w:rPr>
            </w:pPr>
            <w:hyperlink w:anchor="page66">
              <w:r>
                <w:rPr>
                  <w:rFonts w:ascii="Arial" w:cs="Arial" w:eastAsia="Arial" w:hAnsi="Arial"/>
                  <w:sz w:val="17"/>
                  <w:szCs w:val="17"/>
                  <w:color w:val="0000EE"/>
                </w:rPr>
                <w:t>Quarterly Results (Unaudited)</w:t>
              </w:r>
            </w:hyperlink>
          </w:p>
        </w:tc>
        <w:tc>
          <w:tcPr>
            <w:tcW w:w="1560" w:type="dxa"/>
            <w:vAlign w:val="bottom"/>
          </w:tcPr>
          <w:p>
            <w:pPr>
              <w:jc w:val="center"/>
              <w:ind w:left="796"/>
              <w:spacing w:after="0" w:line="187" w:lineRule="exact"/>
              <w:rPr>
                <w:sz w:val="20"/>
                <w:szCs w:val="20"/>
                <w:color w:val="auto"/>
              </w:rPr>
            </w:pPr>
            <w:r>
              <w:rPr>
                <w:rFonts w:ascii="Arial" w:cs="Arial" w:eastAsia="Arial" w:hAnsi="Arial"/>
                <w:sz w:val="17"/>
                <w:szCs w:val="17"/>
                <w:color w:val="auto"/>
                <w:w w:val="84"/>
              </w:rPr>
              <w:t>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Financial statements of companies accounted for under the equity method and unconsolidated subsidiaries have been omitted because they do not meet the materiality tests for assets or income.</w:t>
      </w:r>
    </w:p>
    <w:p>
      <w:pPr>
        <w:spacing w:after="0" w:line="185" w:lineRule="exact"/>
        <w:rPr>
          <w:sz w:val="20"/>
          <w:szCs w:val="20"/>
          <w:color w:val="auto"/>
        </w:rPr>
      </w:pPr>
    </w:p>
    <w:p>
      <w:pPr>
        <w:ind w:left="1260" w:hanging="339"/>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Financial Statement Schedules not required</w:t>
      </w:r>
    </w:p>
    <w:p>
      <w:pPr>
        <w:spacing w:after="0" w:line="23" w:lineRule="exact"/>
        <w:rPr>
          <w:rFonts w:ascii="Arial" w:cs="Arial" w:eastAsia="Arial" w:hAnsi="Arial"/>
          <w:sz w:val="17"/>
          <w:szCs w:val="17"/>
          <w:color w:val="auto"/>
        </w:rPr>
      </w:pPr>
    </w:p>
    <w:p>
      <w:pPr>
        <w:ind w:left="1260" w:right="2140" w:hanging="339"/>
        <w:spacing w:after="0" w:line="267" w:lineRule="auto"/>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Exhibits: the exhibits listed in the accompanying “Index to Exhibits”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tabs>
          <w:tab w:leader="none" w:pos="520" w:val="left"/>
          <w:tab w:leader="none" w:pos="7220" w:val="left"/>
        </w:tabs>
        <w:rPr>
          <w:sz w:val="20"/>
          <w:szCs w:val="20"/>
          <w:color w:val="auto"/>
        </w:rPr>
      </w:pPr>
      <w:r>
        <w:rPr>
          <w:rFonts w:ascii="Arial" w:cs="Arial" w:eastAsia="Arial" w:hAnsi="Arial"/>
          <w:sz w:val="17"/>
          <w:szCs w:val="17"/>
          <w:color w:val="auto"/>
        </w:rPr>
        <w:t>Date:</w:t>
        <w:tab/>
        <w:t>January 25, 2017</w:t>
      </w:r>
      <w:r>
        <w:rPr>
          <w:sz w:val="20"/>
          <w:szCs w:val="20"/>
          <w:color w:val="auto"/>
        </w:rPr>
        <w:tab/>
      </w:r>
      <w:r>
        <w:rPr>
          <w:rFonts w:ascii="Arial" w:cs="Arial" w:eastAsia="Arial" w:hAnsi="Arial"/>
          <w:sz w:val="17"/>
          <w:szCs w:val="17"/>
          <w:color w:val="auto"/>
        </w:rPr>
        <w:t>S</w:t>
      </w:r>
      <w:r>
        <w:rPr>
          <w:rFonts w:ascii="Arial" w:cs="Arial" w:eastAsia="Arial" w:hAnsi="Arial"/>
          <w:sz w:val="12"/>
          <w:szCs w:val="12"/>
          <w:color w:val="auto"/>
        </w:rPr>
        <w:t>CHLUMBERGER</w:t>
      </w:r>
      <w:r>
        <w:rPr>
          <w:rFonts w:ascii="Arial" w:cs="Arial" w:eastAsia="Arial" w:hAnsi="Arial"/>
          <w:sz w:val="17"/>
          <w:szCs w:val="17"/>
          <w:color w:val="auto"/>
        </w:rPr>
        <w:t xml:space="preserve"> L</w:t>
      </w:r>
      <w:r>
        <w:rPr>
          <w:rFonts w:ascii="Arial" w:cs="Arial" w:eastAsia="Arial" w:hAnsi="Arial"/>
          <w:sz w:val="12"/>
          <w:szCs w:val="12"/>
          <w:color w:val="auto"/>
        </w:rPr>
        <w:t>IMITED</w:t>
      </w:r>
    </w:p>
    <w:p>
      <w:pPr>
        <w:spacing w:after="0" w:line="218" w:lineRule="exact"/>
        <w:rPr>
          <w:sz w:val="20"/>
          <w:szCs w:val="20"/>
          <w:color w:val="auto"/>
        </w:rPr>
      </w:pPr>
    </w:p>
    <w:p>
      <w:pPr>
        <w:jc w:val="center"/>
        <w:ind w:left="6760"/>
        <w:spacing w:after="0"/>
        <w:tabs>
          <w:tab w:leader="none" w:pos="220" w:val="left"/>
        </w:tabs>
        <w:rPr>
          <w:sz w:val="20"/>
          <w:szCs w:val="20"/>
          <w:color w:val="auto"/>
        </w:rPr>
      </w:pPr>
      <w:r>
        <w:rPr>
          <w:rFonts w:ascii="Arial" w:cs="Arial" w:eastAsia="Arial" w:hAnsi="Arial"/>
          <w:sz w:val="17"/>
          <w:szCs w:val="17"/>
          <w:color w:val="auto"/>
        </w:rPr>
        <w:t>By:</w:t>
        <w:tab/>
        <w:t>/</w:t>
      </w:r>
      <w:r>
        <w:rPr>
          <w:rFonts w:ascii="Arial" w:cs="Arial" w:eastAsia="Arial" w:hAnsi="Arial"/>
          <w:sz w:val="12"/>
          <w:szCs w:val="12"/>
          <w:color w:val="auto"/>
        </w:rPr>
        <w:t>S</w:t>
      </w:r>
      <w:r>
        <w:rPr>
          <w:rFonts w:ascii="Arial" w:cs="Arial" w:eastAsia="Arial" w:hAnsi="Arial"/>
          <w:sz w:val="17"/>
          <w:szCs w:val="17"/>
          <w:color w:val="auto"/>
        </w:rPr>
        <w:t>/ H</w:t>
      </w:r>
      <w:r>
        <w:rPr>
          <w:rFonts w:ascii="Arial" w:cs="Arial" w:eastAsia="Arial" w:hAnsi="Arial"/>
          <w:sz w:val="12"/>
          <w:szCs w:val="12"/>
          <w:color w:val="auto"/>
        </w:rPr>
        <w:t>OWARD</w:t>
      </w:r>
      <w:r>
        <w:rPr>
          <w:rFonts w:ascii="Arial" w:cs="Arial" w:eastAsia="Arial" w:hAnsi="Arial"/>
          <w:sz w:val="17"/>
          <w:szCs w:val="17"/>
          <w:color w:val="auto"/>
        </w:rPr>
        <w:t xml:space="preserve"> G</w:t>
      </w:r>
      <w:r>
        <w:rPr>
          <w:rFonts w:ascii="Arial" w:cs="Arial" w:eastAsia="Arial" w:hAnsi="Arial"/>
          <w:sz w:val="12"/>
          <w:szCs w:val="12"/>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15240</wp:posOffset>
            </wp:positionV>
            <wp:extent cx="26581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Howard Guild</w:t>
      </w:r>
    </w:p>
    <w:p>
      <w:pPr>
        <w:ind w:left="7240"/>
        <w:spacing w:after="0"/>
        <w:rPr>
          <w:sz w:val="20"/>
          <w:szCs w:val="20"/>
          <w:color w:val="auto"/>
        </w:rPr>
      </w:pPr>
      <w:r>
        <w:rPr>
          <w:rFonts w:ascii="Arial" w:cs="Arial" w:eastAsia="Arial" w:hAnsi="Arial"/>
          <w:sz w:val="14"/>
          <w:szCs w:val="14"/>
          <w:b w:val="1"/>
          <w:bCs w:val="1"/>
          <w:color w:val="auto"/>
        </w:rPr>
        <w:t>Chief Accounting Officer</w:t>
      </w:r>
    </w:p>
    <w:p>
      <w:pPr>
        <w:spacing w:after="0" w:line="22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89"/>
              </w:rPr>
              <w:t>Name</w:t>
            </w:r>
          </w:p>
        </w:tc>
        <w:tc>
          <w:tcPr>
            <w:tcW w:w="3880" w:type="dxa"/>
            <w:vAlign w:val="bottom"/>
          </w:tcPr>
          <w:p>
            <w:pPr>
              <w:ind w:left="2880"/>
              <w:spacing w:after="0"/>
              <w:rPr>
                <w:sz w:val="20"/>
                <w:szCs w:val="20"/>
                <w:color w:val="auto"/>
              </w:rPr>
            </w:pPr>
            <w:r>
              <w:rPr>
                <w:rFonts w:ascii="Arial" w:cs="Arial" w:eastAsia="Arial" w:hAnsi="Arial"/>
                <w:sz w:val="14"/>
                <w:szCs w:val="14"/>
                <w:b w:val="1"/>
                <w:bCs w:val="1"/>
                <w:color w:val="auto"/>
              </w:rPr>
              <w:t>Title</w:t>
            </w:r>
          </w:p>
        </w:tc>
      </w:tr>
      <w:tr>
        <w:trPr>
          <w:trHeight w:val="399"/>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Chairman and Chief Executive Officer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1"/>
              </w:rPr>
              <w:t>Paal Kibsgaard</w:t>
            </w:r>
          </w:p>
        </w:tc>
        <w:tc>
          <w:tcPr>
            <w:tcW w:w="3880" w:type="dxa"/>
            <w:vAlign w:val="bottom"/>
          </w:tcPr>
          <w:p>
            <w:pPr>
              <w:ind w:left="220"/>
              <w:spacing w:after="0"/>
              <w:rPr>
                <w:sz w:val="20"/>
                <w:szCs w:val="20"/>
                <w:color w:val="auto"/>
              </w:rPr>
            </w:pPr>
            <w:r>
              <w:rPr>
                <w:rFonts w:ascii="Arial" w:cs="Arial" w:eastAsia="Arial" w:hAnsi="Arial"/>
                <w:sz w:val="17"/>
                <w:szCs w:val="17"/>
                <w:color w:val="auto"/>
              </w:rPr>
              <w:t>(Principal Executive Officer)</w:t>
            </w: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S</w:t>
            </w:r>
            <w:r>
              <w:rPr>
                <w:rFonts w:ascii="Arial" w:cs="Arial" w:eastAsia="Arial" w:hAnsi="Arial"/>
                <w:sz w:val="12"/>
                <w:szCs w:val="12"/>
                <w:color w:val="auto"/>
              </w:rPr>
              <w:t>IMON</w:t>
            </w:r>
            <w:r>
              <w:rPr>
                <w:rFonts w:ascii="Arial" w:cs="Arial" w:eastAsia="Arial" w:hAnsi="Arial"/>
                <w:sz w:val="17"/>
                <w:szCs w:val="17"/>
                <w:color w:val="auto"/>
              </w:rPr>
              <w:t xml:space="preserve"> A</w:t>
            </w:r>
            <w:r>
              <w:rPr>
                <w:rFonts w:ascii="Arial" w:cs="Arial" w:eastAsia="Arial" w:hAnsi="Arial"/>
                <w:sz w:val="12"/>
                <w:szCs w:val="12"/>
                <w:color w:val="auto"/>
              </w:rPr>
              <w:t>YAT</w:t>
            </w:r>
          </w:p>
        </w:tc>
        <w:tc>
          <w:tcPr>
            <w:tcW w:w="3880" w:type="dxa"/>
            <w:vAlign w:val="bottom"/>
          </w:tcPr>
          <w:p>
            <w:pPr>
              <w:ind w:left="220"/>
              <w:spacing w:after="0"/>
              <w:rPr>
                <w:sz w:val="20"/>
                <w:szCs w:val="20"/>
                <w:color w:val="auto"/>
              </w:rPr>
            </w:pPr>
            <w:r>
              <w:rPr>
                <w:rFonts w:ascii="Arial" w:cs="Arial" w:eastAsia="Arial" w:hAnsi="Arial"/>
                <w:sz w:val="17"/>
                <w:szCs w:val="17"/>
                <w:color w:val="auto"/>
                <w:w w:val="92"/>
              </w:rPr>
              <w:t>Executive Vice President and Chief Financial Officer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4"/>
              </w:rPr>
              <w:t>Simon Ayat</w:t>
            </w:r>
          </w:p>
        </w:tc>
        <w:tc>
          <w:tcPr>
            <w:tcW w:w="3880" w:type="dxa"/>
            <w:vAlign w:val="bottom"/>
          </w:tcPr>
          <w:p>
            <w:pPr>
              <w:ind w:left="220"/>
              <w:spacing w:after="0"/>
              <w:rPr>
                <w:sz w:val="20"/>
                <w:szCs w:val="20"/>
                <w:color w:val="auto"/>
              </w:rPr>
            </w:pPr>
            <w:r>
              <w:rPr>
                <w:rFonts w:ascii="Arial" w:cs="Arial" w:eastAsia="Arial" w:hAnsi="Arial"/>
                <w:sz w:val="17"/>
                <w:szCs w:val="17"/>
                <w:color w:val="auto"/>
              </w:rPr>
              <w:t>(Principal Financial Officer)</w:t>
            </w: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H</w:t>
            </w:r>
            <w:r>
              <w:rPr>
                <w:rFonts w:ascii="Arial" w:cs="Arial" w:eastAsia="Arial" w:hAnsi="Arial"/>
                <w:sz w:val="12"/>
                <w:szCs w:val="12"/>
                <w:color w:val="auto"/>
              </w:rPr>
              <w:t>OWARD</w:t>
            </w:r>
            <w:r>
              <w:rPr>
                <w:rFonts w:ascii="Arial" w:cs="Arial" w:eastAsia="Arial" w:hAnsi="Arial"/>
                <w:sz w:val="17"/>
                <w:szCs w:val="17"/>
                <w:color w:val="auto"/>
              </w:rPr>
              <w:t xml:space="preserve"> G</w:t>
            </w:r>
            <w:r>
              <w:rPr>
                <w:rFonts w:ascii="Arial" w:cs="Arial" w:eastAsia="Arial" w:hAnsi="Arial"/>
                <w:sz w:val="12"/>
                <w:szCs w:val="12"/>
                <w:color w:val="auto"/>
              </w:rPr>
              <w:t>UILD</w:t>
            </w:r>
          </w:p>
        </w:tc>
        <w:tc>
          <w:tcPr>
            <w:tcW w:w="3880" w:type="dxa"/>
            <w:vAlign w:val="bottom"/>
          </w:tcPr>
          <w:p>
            <w:pPr>
              <w:ind w:left="220"/>
              <w:spacing w:after="0"/>
              <w:rPr>
                <w:sz w:val="20"/>
                <w:szCs w:val="20"/>
                <w:color w:val="auto"/>
              </w:rPr>
            </w:pPr>
            <w:r>
              <w:rPr>
                <w:rFonts w:ascii="Arial" w:cs="Arial" w:eastAsia="Arial" w:hAnsi="Arial"/>
                <w:sz w:val="17"/>
                <w:szCs w:val="17"/>
                <w:color w:val="auto"/>
              </w:rPr>
              <w:t>Chief Accounting Officer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5"/>
              </w:rPr>
              <w:t>Howard Guild</w:t>
            </w:r>
          </w:p>
        </w:tc>
        <w:tc>
          <w:tcPr>
            <w:tcW w:w="3880" w:type="dxa"/>
            <w:vAlign w:val="bottom"/>
          </w:tcPr>
          <w:p>
            <w:pPr>
              <w:ind w:left="220"/>
              <w:spacing w:after="0"/>
              <w:rPr>
                <w:sz w:val="20"/>
                <w:szCs w:val="20"/>
                <w:color w:val="auto"/>
              </w:rPr>
            </w:pPr>
            <w:r>
              <w:rPr>
                <w:rFonts w:ascii="Arial" w:cs="Arial" w:eastAsia="Arial" w:hAnsi="Arial"/>
                <w:sz w:val="17"/>
                <w:szCs w:val="17"/>
                <w:color w:val="auto"/>
              </w:rPr>
              <w:t>(Principal Accounting Officer)</w:t>
            </w: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3"/>
              </w:rPr>
              <w:t>Peter L.S. Currie</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1"/>
              </w:rPr>
              <w:t>V. Maureen Kempston Darkes</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4"/>
              </w:rPr>
              <w:t>Helge Lund</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6"/>
              </w:rPr>
              <w:t>Nikolay Kudryavtsev</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5"/>
              </w:rPr>
              <w:t>Michael E. Marks</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8"/>
              </w:rPr>
              <w:t>Indra K. Nooyi</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1"/>
              </w:rPr>
              <w:t>Lubna S. Olayan</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3"/>
              </w:rPr>
              <w:t>Leo Rafael Reif</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2"/>
              </w:rPr>
              <w:t>Tore Sandvold</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880" w:type="dxa"/>
            <w:vAlign w:val="bottom"/>
          </w:tcPr>
          <w:p>
            <w:pPr>
              <w:ind w:left="220"/>
              <w:spacing w:after="0"/>
              <w:rPr>
                <w:sz w:val="20"/>
                <w:szCs w:val="20"/>
                <w:color w:val="auto"/>
              </w:rPr>
            </w:pPr>
            <w:r>
              <w:rPr>
                <w:rFonts w:ascii="Arial" w:cs="Arial" w:eastAsia="Arial" w:hAnsi="Arial"/>
                <w:sz w:val="17"/>
                <w:szCs w:val="17"/>
                <w:color w:val="auto"/>
              </w:rPr>
              <w:t>Director</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3"/>
              </w:rPr>
              <w:t>Henri Seydoux</w:t>
            </w:r>
          </w:p>
        </w:tc>
        <w:tc>
          <w:tcPr>
            <w:tcW w:w="3880" w:type="dxa"/>
            <w:vAlign w:val="bottom"/>
          </w:tcPr>
          <w:p>
            <w:pPr>
              <w:spacing w:after="0"/>
              <w:rPr>
                <w:sz w:val="18"/>
                <w:szCs w:val="18"/>
                <w:color w:val="auto"/>
              </w:rPr>
            </w:pPr>
          </w:p>
        </w:tc>
      </w:tr>
      <w:tr>
        <w:trPr>
          <w:trHeight w:val="40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A</w:t>
            </w:r>
            <w:r>
              <w:rPr>
                <w:rFonts w:ascii="Arial" w:cs="Arial" w:eastAsia="Arial" w:hAnsi="Arial"/>
                <w:sz w:val="12"/>
                <w:szCs w:val="12"/>
                <w:color w:val="auto"/>
              </w:rPr>
              <w:t>LEXANDER</w:t>
            </w:r>
            <w:r>
              <w:rPr>
                <w:rFonts w:ascii="Arial" w:cs="Arial" w:eastAsia="Arial" w:hAnsi="Arial"/>
                <w:sz w:val="17"/>
                <w:szCs w:val="17"/>
                <w:color w:val="auto"/>
              </w:rPr>
              <w:t xml:space="preserve"> C. J</w:t>
            </w:r>
            <w:r>
              <w:rPr>
                <w:rFonts w:ascii="Arial" w:cs="Arial" w:eastAsia="Arial" w:hAnsi="Arial"/>
                <w:sz w:val="12"/>
                <w:szCs w:val="12"/>
                <w:color w:val="auto"/>
              </w:rPr>
              <w:t>UDEN</w:t>
            </w:r>
          </w:p>
        </w:tc>
        <w:tc>
          <w:tcPr>
            <w:tcW w:w="3880" w:type="dxa"/>
            <w:vAlign w:val="bottom"/>
          </w:tcPr>
          <w:p>
            <w:pPr>
              <w:ind w:left="220"/>
              <w:spacing w:after="0"/>
              <w:rPr>
                <w:sz w:val="20"/>
                <w:szCs w:val="20"/>
                <w:color w:val="auto"/>
              </w:rPr>
            </w:pPr>
            <w:r>
              <w:rPr>
                <w:rFonts w:ascii="Arial" w:cs="Arial" w:eastAsia="Arial" w:hAnsi="Arial"/>
                <w:sz w:val="17"/>
                <w:szCs w:val="17"/>
                <w:color w:val="auto"/>
              </w:rPr>
              <w:t>January 25, 2017</w:t>
            </w:r>
          </w:p>
        </w:tc>
      </w:tr>
      <w:tr>
        <w:trPr>
          <w:trHeight w:val="212"/>
        </w:trPr>
        <w:tc>
          <w:tcPr>
            <w:tcW w:w="5620" w:type="dxa"/>
            <w:vAlign w:val="bottom"/>
          </w:tcPr>
          <w:p>
            <w:pPr>
              <w:jc w:val="center"/>
              <w:spacing w:after="0"/>
              <w:rPr>
                <w:sz w:val="20"/>
                <w:szCs w:val="20"/>
                <w:color w:val="auto"/>
              </w:rPr>
            </w:pPr>
            <w:r>
              <w:rPr>
                <w:rFonts w:ascii="Arial" w:cs="Arial" w:eastAsia="Arial" w:hAnsi="Arial"/>
                <w:sz w:val="17"/>
                <w:szCs w:val="17"/>
                <w:color w:val="auto"/>
                <w:w w:val="94"/>
              </w:rPr>
              <w:t>*By Alexander C. Juden Attorney-in-Fact</w:t>
            </w:r>
          </w:p>
        </w:tc>
        <w:tc>
          <w:tcPr>
            <w:tcW w:w="38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729424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INDEX TO EXHIBITS</w:t>
      </w:r>
    </w:p>
    <w:p>
      <w:pPr>
        <w:spacing w:after="0" w:line="200" w:lineRule="exact"/>
        <w:rPr>
          <w:sz w:val="20"/>
          <w:szCs w:val="20"/>
          <w:color w:val="auto"/>
        </w:rPr>
      </w:pPr>
    </w:p>
    <w:p>
      <w:pPr>
        <w:spacing w:after="0" w:line="334"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Articles of Incorporation of Schlumberger Limited (Schlumberger N.V.), as last amended on April 6, 2016 (incorporated by reference to Exhibit 3.1 to Schlumberger’s Current Report on Form 8-K filed on April 6, 2016)</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Amended and Restated By-Laws of Schlumberger Limited (Schlumberger N.V.), as last amended on January 19, 2017 (incorporated by reference to Exhibit 3.1 to Schlumberger’s Current Report on Form 8-K filed on January 19, 2017)</w:t>
      </w:r>
    </w:p>
    <w:p>
      <w:pPr>
        <w:spacing w:after="0" w:line="69"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Indenture dated as of December 3, 2013, by and among Schlumberger Investment SA, as issuer, Schlumberger Limited, as guarantor, and The Bank of New York Mellon Trust Company, N.A., as trustee (incorporated by reference to Exhibit 4.1 to Schlumberger’s Current Report on Form 8-K filed on December 3, 2013)</w:t>
      </w:r>
    </w:p>
    <w:p>
      <w:pPr>
        <w:spacing w:after="0" w:line="82" w:lineRule="exact"/>
        <w:rPr>
          <w:sz w:val="20"/>
          <w:szCs w:val="20"/>
          <w:color w:val="auto"/>
        </w:rPr>
      </w:pPr>
    </w:p>
    <w:p>
      <w:pPr>
        <w:jc w:val="both"/>
        <w:ind w:left="20"/>
        <w:spacing w:after="0" w:line="292" w:lineRule="auto"/>
        <w:rPr>
          <w:sz w:val="20"/>
          <w:szCs w:val="20"/>
          <w:color w:val="auto"/>
        </w:rPr>
      </w:pPr>
      <w:r>
        <w:rPr>
          <w:rFonts w:ascii="Arial" w:cs="Arial" w:eastAsia="Arial" w:hAnsi="Arial"/>
          <w:sz w:val="16"/>
          <w:szCs w:val="16"/>
          <w:color w:val="auto"/>
        </w:rPr>
        <w:t>First Supplemental Indenture dated as of December 3, 2013, by and among Schlumberger Investment SA, as issuer, Schlumberger Limited, as guarantor, and The Bank of New York Mellon Trust Company, N.A., as trustee (including form of global notes representing 3.650% Senior Notes due 2023) (incorporated by reference to Exhibit 4.2 to Schlumberger’s Current Report on Form 8-K filed on December 3, 2013)</w:t>
      </w:r>
    </w:p>
    <w:p>
      <w:pPr>
        <w:spacing w:after="0" w:line="65"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Limited Supplementary Benefit Plan, as conformed to include amendments through January 1, 2009 (incorporated by reference to Exhibit 10.2 to Schlumberger’s Annual Report on Form 10-K for the year ended December 31, 2008)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Limited Restoration Savings Plan, as conformed to include amendments through January 1, 2009 (incorporated by reference to Exhibit 10.3 to Schlumberger’s Annual Report on Form 10-K for the year ended December 31, 2008)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First Amendment to Schlumberger Limited Restoration Savings Plan (incorporated by reference to Exhibit 10.3 to Schlumberger’s Quarterly Report on Form 10-Q for the quarter ended March 31, 2013)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1998 Stock Option Plan, as conformed to include amendments through January 1, 2009 (incorporated by reference to Exhibit 10.4 to Schlumberger’s Annual Report on Form 10-K for the year ended December 31, 2008)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Third Amendment to Schlumberger 1998 Stock Option Plan (incorporated by reference to Exhibit 10.4 to Schlumberger’s Quarterly Report on Form 10-Q for the quarter ended June 30, 2013)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2001 Stock Option Plan, as conformed to include amendments through January 1, 2009 (incorporated by reference to Exhibit 10.5 to Schlumberger’s Annual Report on Form 10-K for the year ended December 31, 2008)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Second Amendment to Schlumberger 2001 Stock Option Plan (incorporated by reference to Exhibit 10.5 to Schlumberger’s Quarterly Report on Form 10-Q for the quarter ended June 30, 2013)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Limited 2004 Stock and Deferral Plan for Non-Employee Directors, amended and restated effective January 19, 2012 (incorporated by reference to Exhibit 10 to Schlumberger’s Current Report on Form 8-K filed on April 11, 2012.)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2005 Stock Incentive Plan, as conformed to include amendments through January 1, 2009 (incorporated by reference to Exhibit 10.6 to Schlumberger’s Annual Report on Form 10-K for the year ended December 31, 2008)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Third Amendment to Schlumberger 2005 Stock Incentive Plan (incorporated by reference to Exhibit 10.6 to Schlumberger’s Quarterly Report on Form 10-Q for the quarter ended June 30, 2013)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2008 Stock Incentive Plan, as conformed to include amendments through January 1, 2009 (incorporated by reference to Exhibit 10.8 to Schlumberger’s Annual Report on Form 10-K for the year ended December 31, 2008)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Second Amendment to Schlumberger 2008 Stock Incentive Plan (incorporated by reference to Exhibit 10.7 to Schlumberger’s Quarterly Report on Form 10-Q for the quarter ended June 30, 2013)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Schlumberger 2010 Omnibus Stock Incentive Plan (incorporated by reference to Exhibit 10.1 to Schlumberger’s Current Report on Form 8-K filed on April 9, 2010) (+)</w:t>
      </w:r>
    </w:p>
    <w:p>
      <w:pPr>
        <w:spacing w:after="0" w:line="69" w:lineRule="exact"/>
        <w:rPr>
          <w:sz w:val="20"/>
          <w:szCs w:val="20"/>
          <w:color w:val="auto"/>
        </w:rPr>
      </w:pPr>
    </w:p>
    <w:p>
      <w:pPr>
        <w:jc w:val="both"/>
        <w:ind w:left="20"/>
        <w:spacing w:after="0" w:line="283" w:lineRule="auto"/>
        <w:rPr>
          <w:sz w:val="20"/>
          <w:szCs w:val="20"/>
          <w:color w:val="auto"/>
        </w:rPr>
      </w:pPr>
      <w:r>
        <w:rPr>
          <w:rFonts w:ascii="Arial" w:cs="Arial" w:eastAsia="Arial" w:hAnsi="Arial"/>
          <w:sz w:val="17"/>
          <w:szCs w:val="17"/>
          <w:color w:val="auto"/>
        </w:rPr>
        <w:t>First Amendment to Schlumberger 2010 Omnibus Stock Incentive Plan (incorporated by reference to Exhibit 10.8 to Schlumberger’s Quarterly Report on Form 10-Q for the quarter ended June 30, 2013) (+)</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29424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10.5</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10.6</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10.7</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10.8</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10.9</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10.10</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10.11</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10.12</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10.13</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10.14</w:t>
      </w:r>
    </w:p>
    <w:p>
      <w:pPr>
        <w:sectPr>
          <w:pgSz w:w="11900" w:h="16838" w:orient="portrait"/>
          <w:cols w:equalWidth="0" w:num="2">
            <w:col w:w="10220" w:space="500"/>
            <w:col w:w="700"/>
          </w:cols>
          <w:pgMar w:left="240" w:top="121" w:right="239" w:bottom="1440" w:gutter="0" w:footer="0" w:header="0"/>
        </w:sectPr>
      </w:pPr>
    </w:p>
    <w:bookmarkStart w:id="71" w:name="page72"/>
    <w:bookmarkEnd w:id="71"/>
    <w:p>
      <w:pPr>
        <w:spacing w:after="0" w:line="268"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Rules of the Schlumberger 2010 Omnibus Stock Incentive Plan, French Sub-Plan for Restricted Units (incorporated by reference to Exhibit 10.1 to Schlumberger’s Current Report on Form 8-K filed on April 6, 2016) (+)</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Cameron International Corporation Equity Incentive Plan, as amended and restated January 1, 2013 (+)(*)</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2014 Three-Year Performance Share Unit Award Agreement under Schlumberger 2013 Omnibus Stock Incentive Plan (incorporated by reference to Exhibit 10.1 to Schlumberger’s Quarterly Report on Form 10-Q for the quarter ended March 31, 2014)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French Sub-Plan of Schlumberger 2010 Omnibus Stock Incentive Plan for Employees in France (incorporated by reference to Exhibit 10.7 to Schlumberger’s Quarterly Report on Form 10-Q for the quarter ended March 31, 2013)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Option Agreement (Employees in France), Incentive Stock Option, under Schlumberger 2010 Omnibus Stock Incentive Plan (incorporated by reference to Exhibit 10.10 to Schlumberger’s Quarterly Report on Form 10-Q for the quarter ended June 30, 2013) (+)</w:t>
      </w:r>
    </w:p>
    <w:p>
      <w:pPr>
        <w:spacing w:after="0" w:line="69"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Form of Option Agreement (Employees in France), Non-Qualified Stock Option, under Schlumberger 2010 Omnibus Stock Incentive Plan (incorporated by reference to Exhibit 10.11 to Schlumberger’s Quarterly Report on Form 10-Q for the quarter ended June 30, 2013) (+)</w:t>
      </w:r>
    </w:p>
    <w:p>
      <w:pPr>
        <w:spacing w:after="0" w:line="47"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Restricted Stock Unit Award Agreement (Employees in France) under Schlumberger 2010 Omnibus Stock Incentive Plan (incorporated by reference to Exhibit 10.12 to Schlumberger’s Quarterly Report on Form 10-Q for the quarter ended June 30, 2013)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Schlumberger 2013 Omnibus Stock Incentive Plan (incorporated by reference to Appendix A to Schlumberger’s Definitive Proxy Statement on Schedule 14A filed on March 1, 2013)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First Amendment to Schlumberger 2013 Omnibus Stock Incentive Plan (incorporated by reference to Exhibit 10.9 to Schlumberger’s Quarterly Report on Form 10-Q for the quarter ended June 30, 2013)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Option Agreement, Incentive Stock Option, under Schlumberger 2013 Omnibus Stock Incentive Plan (incorporated by reference to Exhibit 10.1 to the Schlumberger’s Quarterly Report on Form 10-Q for the quarter ended in June 30, 2015)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Option Agreement, Non-Qualified Stock Option, under Schlumberger 2013 Omnibus Stock Incentive Plan (incorporated by reference to Exhibit 10.2 to Schlumberger’s Quarterly Report on Form 10-Q for the quarter ended June 30, 2015)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Restricted Stock Unit Award Agreement under Schlumberger 2013 Omnibus Stock Incentive Plan (incorporated by reference to Exhibit 10.3 to Schlumberger’s Quarterly Report on Form 10-Q for the quarter ended June 30, 2015)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Schlumberger Discounted Stock Purchase Plan, as amended and restated effective as of January 1, 2013 (incorporated by reference to Appendix B to Schlumberger’s Definitive Proxy Statement on Schedule 14A filed on March 1, 2013)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Option Agreement, Uncapped Incentive Stock Option (for 2001, 2005 and 2008 stock plans) (incorporated by reference to Exhibit 10.11 to Schlumberger’s Annual Report on Form 10-K for the year ended December 31, 2009)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Option Agreement, Uncapped Non-Qualified Stock Option (for 2001, 2005 and 2008 stock plans) (incorporated by reference to Exhibit 10.12 to Schlumberger’s Annual Report on Form 10-K for the year ended December 31, 2009)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Incentive Stock Option Agreement under the Schlumberger 2010 Omnibus Stock Incentive Plan (incorporated by reference to Exhibit 10.6 to Schlumberger’s Quarterly Report on Form 10-Q for the quarter ended June 30, 2015)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Restricted Stock Unit Award Agreement under the Schlumberger 2010 Omnibus Stock Incentive Plan (incorporated by reference to Exhibit 10.7 to Schlumberger’s Quarterly Report on Form 10-Q for the quarter ended June 30, 2015) (+)</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Form of Non-Qualified Stock Option Agreement under the Schlumberger 2010 Omnibus Stock Incentive Plan (incorporated by reference to Exhibit 10.8 to Schlumberger’s Quarterly Report on Form 10-Q for the quarter ended June 30, 2015) (+)</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76200</wp:posOffset>
            </wp:positionV>
            <wp:extent cx="729424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Exhibit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10.15</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10.16</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10.17</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10.18</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10.19</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10.20</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10.21</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10.22</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10.23</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10.24</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10.25</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10.26</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10.27</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10.28</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10.29</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10.30</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10.31</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10.32</w:t>
      </w:r>
    </w:p>
    <w:p>
      <w:pPr>
        <w:sectPr>
          <w:pgSz w:w="11900" w:h="16838" w:orient="portrait"/>
          <w:cols w:equalWidth="0" w:num="2">
            <w:col w:w="10200" w:space="500"/>
            <w:col w:w="700"/>
          </w:cols>
          <w:pgMar w:left="260" w:top="118" w:right="239" w:bottom="1440" w:gutter="0" w:footer="0" w:header="0"/>
        </w:sectPr>
      </w:pPr>
    </w:p>
    <w:bookmarkStart w:id="72" w:name="page73"/>
    <w:bookmarkEnd w:id="72"/>
    <w:p>
      <w:pPr>
        <w:spacing w:after="0" w:line="152" w:lineRule="exact"/>
        <w:rPr>
          <w:sz w:val="20"/>
          <w:szCs w:val="20"/>
          <w:color w:val="auto"/>
        </w:rPr>
      </w:pPr>
    </w:p>
    <w:p>
      <w:pPr>
        <w:ind w:left="4"/>
        <w:spacing w:after="0" w:line="283" w:lineRule="auto"/>
        <w:rPr>
          <w:sz w:val="20"/>
          <w:szCs w:val="20"/>
          <w:color w:val="auto"/>
        </w:rPr>
      </w:pPr>
      <w:r>
        <w:rPr>
          <w:rFonts w:ascii="Arial" w:cs="Arial" w:eastAsia="Arial" w:hAnsi="Arial"/>
          <w:sz w:val="17"/>
          <w:szCs w:val="17"/>
          <w:color w:val="auto"/>
        </w:rPr>
        <w:t>Form of 2016 Three-Year Performance Share Unit Award Agreement under the Schlumberger 2013 Omnibus Stock Incentive Plan (incorporated by reference to Exhibit 10.1 to Schlumberger’s Quarterly Report on Form 10-Q for the quarter ended April 27, 2016) (+)</w:t>
      </w:r>
    </w:p>
    <w:p>
      <w:pPr>
        <w:spacing w:after="0" w:line="69" w:lineRule="exact"/>
        <w:rPr>
          <w:sz w:val="20"/>
          <w:szCs w:val="20"/>
          <w:color w:val="auto"/>
        </w:rPr>
      </w:pPr>
    </w:p>
    <w:p>
      <w:pPr>
        <w:ind w:left="4"/>
        <w:spacing w:after="0" w:line="283" w:lineRule="auto"/>
        <w:rPr>
          <w:sz w:val="20"/>
          <w:szCs w:val="20"/>
          <w:color w:val="auto"/>
        </w:rPr>
      </w:pPr>
      <w:r>
        <w:rPr>
          <w:rFonts w:ascii="Arial" w:cs="Arial" w:eastAsia="Arial" w:hAnsi="Arial"/>
          <w:sz w:val="17"/>
          <w:szCs w:val="17"/>
          <w:color w:val="auto"/>
        </w:rPr>
        <w:t>Employment Agreement effective as of June 1, 2016 by and between Schlumberger Limited and Sherif Foda (incorporated by reference to Exhibit 10.1 to Schlumberger’s Quarterly Report on Form 10-Q for the quarter ended June 30, 2016) (+).</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Cameron International Corporation Performance-Based Restricted Stock Award Agreement (+)(*)</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Cameron International Corporation Restricted Stock Unit Award Agreement (+)(*)</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6"/>
          <w:szCs w:val="16"/>
          <w:color w:val="auto"/>
        </w:rPr>
        <w:t>Cameron International Corporation Restricted Stock Unit Award Agreement, applicable to Chief Executive Officer, dated October 14, 2015 (+)(*)</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2015 Cameron International Corporation Stock Option Agreement applicable to Chief Executive Officer (+)(*)</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2011 Cameron International Corporation Non-Qualified Stock Option Agreement (+)(*)</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2013 Cameron International Corporation Non-Qualified Stock Option Agreement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2014 Cameron International Corporation Non-Qualified Stock Option Agreement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2010 Cameron International Corporation Incentive Stock Option Agreement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2011 Cameron International Corporation Incentive Stock Option Agreement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2013 Cameron International Corporation Incentive Stock Option Agreement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2014 Cameron International Corporation Incentive Stock Option Agreement (+)(*)</w:t>
      </w:r>
    </w:p>
    <w:p>
      <w:pPr>
        <w:spacing w:after="0" w:line="128" w:lineRule="exact"/>
        <w:rPr>
          <w:sz w:val="20"/>
          <w:szCs w:val="20"/>
          <w:color w:val="auto"/>
        </w:rPr>
      </w:pPr>
    </w:p>
    <w:p>
      <w:pPr>
        <w:ind w:left="4"/>
        <w:spacing w:after="0" w:line="283" w:lineRule="auto"/>
        <w:rPr>
          <w:sz w:val="20"/>
          <w:szCs w:val="20"/>
          <w:color w:val="auto"/>
        </w:rPr>
      </w:pPr>
      <w:r>
        <w:rPr>
          <w:rFonts w:ascii="Arial" w:cs="Arial" w:eastAsia="Arial" w:hAnsi="Arial"/>
          <w:sz w:val="17"/>
          <w:szCs w:val="17"/>
          <w:color w:val="auto"/>
        </w:rPr>
        <w:t>Form of Indemnification Agreement (incorporated by reference to Exhibit 10 to Schlumberger’s Current Report on Form 8-K filed on October 21, 2013)</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Subsidiaries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Consent of Independent Registered Public Accounting Firm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7"/>
          <w:szCs w:val="17"/>
          <w:color w:val="auto"/>
        </w:rPr>
        <w:t>Powers of Attorney (*)</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color w:val="auto"/>
        </w:rPr>
        <w:t>Certification of Chief Executive Officer pursuant to Rule 13a-14(a) as Adopted Pursuant to Section 302 of the Sarbanes-Oxley Act of 2002 (*)</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6"/>
          <w:szCs w:val="16"/>
          <w:color w:val="auto"/>
        </w:rPr>
        <w:t>Certification of Chief Financial Officer pursuant to Rule 13a-14(a) as Adopted Pursuant to Section 302 of the Sarbanes-Oxley Act of 2002 (*)</w:t>
      </w:r>
    </w:p>
    <w:p>
      <w:pPr>
        <w:spacing w:after="0" w:line="139" w:lineRule="exact"/>
        <w:rPr>
          <w:sz w:val="20"/>
          <w:szCs w:val="20"/>
          <w:color w:val="auto"/>
        </w:rPr>
      </w:pPr>
    </w:p>
    <w:p>
      <w:pPr>
        <w:ind w:left="4"/>
        <w:spacing w:after="0" w:line="283" w:lineRule="auto"/>
        <w:rPr>
          <w:sz w:val="20"/>
          <w:szCs w:val="20"/>
          <w:color w:val="auto"/>
        </w:rPr>
      </w:pPr>
      <w:r>
        <w:rPr>
          <w:rFonts w:ascii="Arial" w:cs="Arial" w:eastAsia="Arial" w:hAnsi="Arial"/>
          <w:sz w:val="17"/>
          <w:szCs w:val="17"/>
          <w:color w:val="auto"/>
        </w:rPr>
        <w:t>Certification of Chief Executive Officer pursuant to 18 U.S.C. Section 1350, as Adopted Pursuant to Section 906 of the Sarbanes-Oxley Act of 2002 (*)</w:t>
      </w:r>
    </w:p>
    <w:p>
      <w:pPr>
        <w:spacing w:after="0" w:line="69" w:lineRule="exact"/>
        <w:rPr>
          <w:sz w:val="20"/>
          <w:szCs w:val="20"/>
          <w:color w:val="auto"/>
        </w:rPr>
      </w:pPr>
    </w:p>
    <w:p>
      <w:pPr>
        <w:ind w:left="4"/>
        <w:spacing w:after="0" w:line="283" w:lineRule="auto"/>
        <w:rPr>
          <w:sz w:val="20"/>
          <w:szCs w:val="20"/>
          <w:color w:val="auto"/>
        </w:rPr>
      </w:pPr>
      <w:r>
        <w:rPr>
          <w:rFonts w:ascii="Arial" w:cs="Arial" w:eastAsia="Arial" w:hAnsi="Arial"/>
          <w:sz w:val="17"/>
          <w:szCs w:val="17"/>
          <w:color w:val="auto"/>
        </w:rPr>
        <w:t>Certification of Chief Financial Officer pursuant to 18 U.S.C. Section 1350, as Adopted Pursuant to Section 906 of the Sarbanes-Oxley Act of 2002 (*)</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7"/>
          <w:szCs w:val="17"/>
          <w:color w:val="auto"/>
        </w:rPr>
        <w:t>Mine Safety Disclosure (*)</w:t>
      </w:r>
    </w:p>
    <w:p>
      <w:pPr>
        <w:spacing w:after="0" w:line="128"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The following materials from Schlumberger Limited’s Annual Report on Form 10-K for the year ended December 31, 2016, formatted in XBRL (eXtensible Business Reporting Language): (i) Consolidated Statement of Income, (ii) Consolidated Statement of Comprehensive Income,</w:t>
      </w:r>
    </w:p>
    <w:p>
      <w:pPr>
        <w:spacing w:after="0" w:line="1" w:lineRule="exact"/>
        <w:rPr>
          <w:sz w:val="20"/>
          <w:szCs w:val="20"/>
          <w:color w:val="auto"/>
        </w:rPr>
      </w:pPr>
    </w:p>
    <w:p>
      <w:pPr>
        <w:ind w:left="4" w:hanging="4"/>
        <w:spacing w:after="0" w:line="267" w:lineRule="auto"/>
        <w:tabs>
          <w:tab w:leader="none" w:pos="31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Consolidated Balance Sheet, (iv) Consolidated Statement of Cash Flows, (v) Consolidated Statement of Equity and (vi) Notes to Consolidated Financial Statements. (*)</w:t>
      </w:r>
    </w:p>
    <w:p>
      <w:pPr>
        <w:spacing w:after="0" w:line="82" w:lineRule="exact"/>
        <w:rPr>
          <w:sz w:val="20"/>
          <w:szCs w:val="20"/>
          <w:color w:val="auto"/>
        </w:rPr>
      </w:pPr>
    </w:p>
    <w:p>
      <w:pPr>
        <w:ind w:left="244" w:hanging="244"/>
        <w:spacing w:after="0"/>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Exhibits electronically filed with this Form 10-K. All other exhibits incorporated by reference.</w:t>
      </w:r>
    </w:p>
    <w:p>
      <w:pPr>
        <w:spacing w:after="0" w:line="127"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7"/>
          <w:szCs w:val="17"/>
          <w:color w:val="auto"/>
        </w:rPr>
        <w:t>(+)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4"/>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Exhibit</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10.33</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10.34</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10.35</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10.36</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10.37</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10.38</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10.39</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10.40</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10.42</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10.43</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10.44</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10.45</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10.46</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31.1</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31.2</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32.1</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32.2</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95</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ectPr>
          <w:pgSz w:w="11900" w:h="16838" w:orient="portrait"/>
          <w:cols w:equalWidth="0" w:num="2">
            <w:col w:w="10204" w:space="500"/>
            <w:col w:w="700"/>
          </w:cols>
          <w:pgMar w:left="256" w:top="118"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1"/>
          <w:szCs w:val="21"/>
          <w:color w:val="auto"/>
        </w:rPr>
        <w:t>Exhibit 10.16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Cameron International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(Amended and Restated as of January 1, 2013)</w:t>
      </w: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Cameron International Corporation (the “Company”), a Delaware corporation, hereby amends and restates the following 2005 Equity Incentive Plan (the “Plan”).</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1.</w:t>
        <w:tab/>
        <w:t>Purpose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purpose of the Plan is to assist the Company and its Subsidiaries in attracting and retaining selected individuals to serve as employees and directors of the Company who are expected to contribute to the Company’s success and to achieve long-term objectives which will inure to the benefit of all stockholders of the Company through the additional incentives inherent in the Awards hereunder.</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2.</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4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i w:val="1"/>
          <w:iCs w:val="1"/>
          <w:color w:val="auto"/>
        </w:rPr>
        <w:t>“Authorized Officer”</w:t>
      </w:r>
      <w:r>
        <w:rPr>
          <w:rFonts w:ascii="Arial" w:cs="Arial" w:eastAsia="Arial" w:hAnsi="Arial"/>
          <w:sz w:val="21"/>
          <w:szCs w:val="21"/>
          <w:color w:val="auto"/>
        </w:rPr>
        <w:t xml:space="preserve"> shall mean the Chairman of the Board, the Chief Executive Officer of the Company or the senior human resources officer of the Company (or any other senior officer of the Company to whom any of such individuals shall delegate the authority to execute any Award Agreement).</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xml:space="preserve"> shall mean any Option, Stock Appreciation Right, Restricted Stock Award, Performance Award, Stock Unit Award, Cash Award or any other right, interest or option relating to Shares or other property (including cash) granted pursuant to the provisions of the Plan.</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i w:val="1"/>
          <w:iCs w:val="1"/>
          <w:color w:val="auto"/>
        </w:rPr>
        <w:t>“Award Agreement”</w:t>
      </w:r>
      <w:r>
        <w:rPr>
          <w:rFonts w:ascii="Arial" w:cs="Arial" w:eastAsia="Arial" w:hAnsi="Arial"/>
          <w:sz w:val="21"/>
          <w:szCs w:val="21"/>
          <w:color w:val="auto"/>
        </w:rPr>
        <w:t xml:space="preserve"> shall mean any agreement, contract or other instrument or document evidencing any Award granted by the Committee hereunder. Such agreement may be in electronic or written form.</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shall mean the board of directors of the Company.</w:t>
      </w: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18"/>
          <w:szCs w:val="18"/>
          <w:b w:val="1"/>
          <w:bCs w:val="1"/>
          <w:i w:val="1"/>
          <w:iCs w:val="1"/>
          <w:color w:val="auto"/>
        </w:rPr>
        <w:t xml:space="preserve">“Cash Award” </w:t>
      </w:r>
      <w:r>
        <w:rPr>
          <w:rFonts w:ascii="Arial" w:cs="Arial" w:eastAsia="Arial" w:hAnsi="Arial"/>
          <w:sz w:val="18"/>
          <w:szCs w:val="18"/>
          <w:color w:val="auto"/>
        </w:rPr>
        <w:t>shall mean an Award denominated in cash.</w:t>
      </w: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shall mean the Internal Revenue Code of 1986, as amended from time to time.</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xml:space="preserve"> shall mean the committee of the Board charged with oversight of the Company’s incentive compensation and equity-based plans, which, at the time of the adoption of this Plan is the Compensation and Governance Committee. The Committee consists and always will consist of no fewer than two Directors.</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18"/>
          <w:szCs w:val="18"/>
          <w:b w:val="1"/>
          <w:bCs w:val="1"/>
          <w:i w:val="1"/>
          <w:iCs w:val="1"/>
          <w:color w:val="auto"/>
        </w:rPr>
        <w:t xml:space="preserve">“Covered Employee” </w:t>
      </w:r>
      <w:r>
        <w:rPr>
          <w:rFonts w:ascii="Arial" w:cs="Arial" w:eastAsia="Arial" w:hAnsi="Arial"/>
          <w:sz w:val="18"/>
          <w:szCs w:val="18"/>
          <w:color w:val="auto"/>
        </w:rPr>
        <w:t>shall mean a “covered employee” within the meaning of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479425</wp:posOffset>
            </wp:positionV>
            <wp:extent cx="729424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4" w:name="page75"/>
    <w:bookmarkEnd w:id="74"/>
    <w:p>
      <w:pPr>
        <w:ind w:right="100"/>
        <w:spacing w:after="0" w:line="253"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b w:val="1"/>
          <w:bCs w:val="1"/>
          <w:i w:val="1"/>
          <w:iCs w:val="1"/>
          <w:color w:val="auto"/>
        </w:rPr>
        <w:t>“Director”</w:t>
      </w:r>
      <w:r>
        <w:rPr>
          <w:rFonts w:ascii="Arial" w:cs="Arial" w:eastAsia="Arial" w:hAnsi="Arial"/>
          <w:sz w:val="21"/>
          <w:szCs w:val="21"/>
          <w:color w:val="auto"/>
        </w:rPr>
        <w:t xml:space="preserve"> shall mean a non-employee member of the Board and any prospective director conditioned upon, and effective not earlier than, such person’s becoming a non-employee member of the Board.</w:t>
      </w:r>
    </w:p>
    <w:p>
      <w:pPr>
        <w:spacing w:after="0" w:line="12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shall have the meaning set forth in Section 12.5.</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b w:val="1"/>
          <w:bCs w:val="1"/>
          <w:i w:val="1"/>
          <w:iCs w:val="1"/>
          <w:color w:val="auto"/>
        </w:rPr>
        <w:t>“Employee”</w:t>
      </w:r>
      <w:r>
        <w:rPr>
          <w:rFonts w:ascii="Arial" w:cs="Arial" w:eastAsia="Arial" w:hAnsi="Arial"/>
          <w:sz w:val="21"/>
          <w:szCs w:val="21"/>
          <w:color w:val="auto"/>
        </w:rPr>
        <w:t xml:space="preserve"> shall mean any employee of the Company or any Subsidiary and any prospective employee conditioned upon, and effective not earlier than, such person’s becoming an employee of the Company or any Subsidiary.</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shall mean the Securities Exchange Act of 1934, as amended from time to time.</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xml:space="preserve"> shall mean, with respect to any property other than Shares, the market value of such property determined by such methods or procedures as shall be established from time to time by the Committee. The Fair Market Value of a Share shall mean, as of a particular date, (1) if Shares are listed on a national securities exchange, the closing sales price per Share on the consolidated transaction reporting system for the principal national securities exchange on which Shares are listed on that date, or, if there shall have been no such sale so reported on that date, on the last preceding date on which such a sale was so reported, (2) if the Shares are not so listed, the average of the closing bid and asked price on that date, or, if there are no quotations available for such date, on the last preceding date on which such quotations shall be available, as reported by an inter-dealer quotation system, (3) if Shares are not publicly traded, the most recent value determined by an independent appraiser appointed by the Committee for such purpose, or (4) if none of the above are applicable, the fair market value of a Share as determined in good faith by the Committee.</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8"/>
          <w:szCs w:val="18"/>
          <w:b w:val="1"/>
          <w:bCs w:val="1"/>
          <w:i w:val="1"/>
          <w:iCs w:val="1"/>
          <w:color w:val="auto"/>
        </w:rPr>
        <w:t xml:space="preserve">“Freestanding Stock Appreciation Right” </w:t>
      </w:r>
      <w:r>
        <w:rPr>
          <w:rFonts w:ascii="Arial" w:cs="Arial" w:eastAsia="Arial" w:hAnsi="Arial"/>
          <w:sz w:val="18"/>
          <w:szCs w:val="18"/>
          <w:color w:val="auto"/>
        </w:rPr>
        <w:t>shall have the meaning set forth in Section 6.1.</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2.15 </w:t>
      </w:r>
      <w:r>
        <w:rPr>
          <w:rFonts w:ascii="Arial" w:cs="Arial" w:eastAsia="Arial" w:hAnsi="Arial"/>
          <w:sz w:val="21"/>
          <w:szCs w:val="21"/>
          <w:b w:val="1"/>
          <w:bCs w:val="1"/>
          <w:i w:val="1"/>
          <w:iCs w:val="1"/>
          <w:color w:val="auto"/>
        </w:rPr>
        <w:t>“Incentive Stock Option”</w:t>
      </w:r>
      <w:r>
        <w:rPr>
          <w:rFonts w:ascii="Arial" w:cs="Arial" w:eastAsia="Arial" w:hAnsi="Arial"/>
          <w:sz w:val="21"/>
          <w:szCs w:val="21"/>
          <w:color w:val="auto"/>
        </w:rPr>
        <w:t xml:space="preserve"> shall mean an Option intended to qualify as an “incentive stock option” as defined in Section 422 of the Code.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18"/>
          <w:szCs w:val="18"/>
          <w:b w:val="1"/>
          <w:bCs w:val="1"/>
          <w:i w:val="1"/>
          <w:iCs w:val="1"/>
          <w:color w:val="auto"/>
        </w:rPr>
        <w:t xml:space="preserve">“Limitations” </w:t>
      </w:r>
      <w:r>
        <w:rPr>
          <w:rFonts w:ascii="Arial" w:cs="Arial" w:eastAsia="Arial" w:hAnsi="Arial"/>
          <w:sz w:val="18"/>
          <w:szCs w:val="18"/>
          <w:color w:val="auto"/>
        </w:rPr>
        <w:t>shall have the meaning set forth in Section 10.5.</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b w:val="1"/>
          <w:bCs w:val="1"/>
          <w:i w:val="1"/>
          <w:iCs w:val="1"/>
          <w:color w:val="auto"/>
        </w:rPr>
        <w:t>“Option”</w:t>
      </w:r>
      <w:r>
        <w:rPr>
          <w:rFonts w:ascii="Arial" w:cs="Arial" w:eastAsia="Arial" w:hAnsi="Arial"/>
          <w:sz w:val="21"/>
          <w:szCs w:val="21"/>
          <w:color w:val="auto"/>
        </w:rPr>
        <w:t xml:space="preserve"> shall mean any right granted to a Participant under the Plan allowing such Participant to purchase Shares at such price or prices and during such period or periods as the Committee shall determine.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2.18</w:t>
      </w:r>
      <w:r>
        <w:rPr>
          <w:sz w:val="20"/>
          <w:szCs w:val="20"/>
          <w:color w:val="auto"/>
        </w:rPr>
        <w:tab/>
      </w: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shall mean an Employee or Director to whom an Award has been made under this Plan.</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18"/>
          <w:szCs w:val="18"/>
          <w:b w:val="1"/>
          <w:bCs w:val="1"/>
          <w:i w:val="1"/>
          <w:iCs w:val="1"/>
          <w:color w:val="auto"/>
        </w:rPr>
        <w:t xml:space="preserve">“Payee” </w:t>
      </w:r>
      <w:r>
        <w:rPr>
          <w:rFonts w:ascii="Arial" w:cs="Arial" w:eastAsia="Arial" w:hAnsi="Arial"/>
          <w:sz w:val="18"/>
          <w:szCs w:val="18"/>
          <w:color w:val="auto"/>
        </w:rPr>
        <w:t>shall have the meaning set forth in Section 13.1.</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2.20 </w:t>
      </w:r>
      <w:r>
        <w:rPr>
          <w:rFonts w:ascii="Arial" w:cs="Arial" w:eastAsia="Arial" w:hAnsi="Arial"/>
          <w:sz w:val="21"/>
          <w:szCs w:val="21"/>
          <w:b w:val="1"/>
          <w:bCs w:val="1"/>
          <w:i w:val="1"/>
          <w:iCs w:val="1"/>
          <w:color w:val="auto"/>
        </w:rPr>
        <w:t>“Performance Award”</w:t>
      </w:r>
      <w:r>
        <w:rPr>
          <w:rFonts w:ascii="Arial" w:cs="Arial" w:eastAsia="Arial" w:hAnsi="Arial"/>
          <w:sz w:val="21"/>
          <w:szCs w:val="21"/>
          <w:color w:val="auto"/>
        </w:rPr>
        <w:t xml:space="preserve"> shall mean any Award of Performance Shares, Performance Units or any other Award made subject to the attainment of performance goals granted pursuant to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457200</wp:posOffset>
            </wp:positionV>
            <wp:extent cx="729424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5" w:name="page76"/>
    <w:bookmarkEnd w:id="75"/>
    <w:p>
      <w:pPr>
        <w:jc w:val="both"/>
        <w:spacing w:after="0" w:line="305"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xml:space="preserve"> shall mean that period established by the Committee at the time any Performance Award is granted or at any time thereafter during which any performance goals specified by the Committee with respect to such Award are to be measured.</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b w:val="1"/>
          <w:bCs w:val="1"/>
          <w:i w:val="1"/>
          <w:iCs w:val="1"/>
          <w:color w:val="auto"/>
        </w:rPr>
        <w:t>“Performance Share”</w:t>
      </w:r>
      <w:r>
        <w:rPr>
          <w:rFonts w:ascii="Arial" w:cs="Arial" w:eastAsia="Arial" w:hAnsi="Arial"/>
          <w:sz w:val="21"/>
          <w:szCs w:val="21"/>
          <w:color w:val="auto"/>
        </w:rPr>
        <w:t xml:space="preserve"> shall mean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b w:val="1"/>
          <w:bCs w:val="1"/>
          <w:i w:val="1"/>
          <w:iCs w:val="1"/>
          <w:color w:val="auto"/>
        </w:rPr>
        <w:t>“Performance Unit”</w:t>
      </w:r>
      <w:r>
        <w:rPr>
          <w:rFonts w:ascii="Arial" w:cs="Arial" w:eastAsia="Arial" w:hAnsi="Arial"/>
          <w:sz w:val="21"/>
          <w:szCs w:val="21"/>
          <w:color w:val="auto"/>
        </w:rPr>
        <w:t xml:space="preserve"> shall mean any grant pursuant to Article 9 of a unit valued by reference to a designated amount of property (including cash and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2.24</w:t>
      </w:r>
      <w:r>
        <w:rPr>
          <w:sz w:val="20"/>
          <w:szCs w:val="20"/>
          <w:color w:val="auto"/>
        </w:rPr>
        <w:tab/>
      </w:r>
      <w:r>
        <w:rPr>
          <w:rFonts w:ascii="Arial" w:cs="Arial" w:eastAsia="Arial" w:hAnsi="Arial"/>
          <w:sz w:val="18"/>
          <w:szCs w:val="18"/>
          <w:b w:val="1"/>
          <w:bCs w:val="1"/>
          <w:i w:val="1"/>
          <w:iCs w:val="1"/>
          <w:color w:val="auto"/>
        </w:rPr>
        <w:t xml:space="preserve">“Permitted Assignee” </w:t>
      </w:r>
      <w:r>
        <w:rPr>
          <w:rFonts w:ascii="Arial" w:cs="Arial" w:eastAsia="Arial" w:hAnsi="Arial"/>
          <w:sz w:val="18"/>
          <w:szCs w:val="18"/>
          <w:color w:val="auto"/>
        </w:rPr>
        <w:t>shall have the meaning set forth in Section 12.3.</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2.25 </w:t>
      </w:r>
      <w:r>
        <w:rPr>
          <w:rFonts w:ascii="Arial" w:cs="Arial" w:eastAsia="Arial" w:hAnsi="Arial"/>
          <w:sz w:val="20"/>
          <w:szCs w:val="20"/>
          <w:b w:val="1"/>
          <w:bCs w:val="1"/>
          <w:i w:val="1"/>
          <w:iCs w:val="1"/>
          <w:color w:val="auto"/>
        </w:rPr>
        <w:t>“Prior Plans”</w:t>
      </w:r>
      <w:r>
        <w:rPr>
          <w:rFonts w:ascii="Arial" w:cs="Arial" w:eastAsia="Arial" w:hAnsi="Arial"/>
          <w:sz w:val="20"/>
          <w:szCs w:val="20"/>
          <w:color w:val="auto"/>
        </w:rPr>
        <w:t xml:space="preserve"> shall mean, collectively, the NATCO Group, Inc. 1998 Employee Stock Option Plan, the NATCO Group, Inc. 2004 Stock Incentive Plan, the NATCO Group, Inc. 2006 Long-Term Incentive Plan, the Company’s Long-Term Incentive Plan, the Company’s Broadbased 2000 Incentive Plan, and the Company’s 1995 Stock Option Plan for Non-Employee Directors.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2.26</w:t>
      </w:r>
      <w:r>
        <w:rPr>
          <w:sz w:val="20"/>
          <w:szCs w:val="20"/>
          <w:color w:val="auto"/>
        </w:rPr>
        <w:tab/>
      </w:r>
      <w:r>
        <w:rPr>
          <w:rFonts w:ascii="Arial" w:cs="Arial" w:eastAsia="Arial" w:hAnsi="Arial"/>
          <w:sz w:val="18"/>
          <w:szCs w:val="18"/>
          <w:b w:val="1"/>
          <w:bCs w:val="1"/>
          <w:i w:val="1"/>
          <w:iCs w:val="1"/>
          <w:color w:val="auto"/>
        </w:rPr>
        <w:t xml:space="preserve">“Restatement Date” </w:t>
      </w:r>
      <w:r>
        <w:rPr>
          <w:rFonts w:ascii="Arial" w:cs="Arial" w:eastAsia="Arial" w:hAnsi="Arial"/>
          <w:sz w:val="18"/>
          <w:szCs w:val="18"/>
          <w:color w:val="auto"/>
        </w:rPr>
        <w:t>shall mean January 1, 2013.</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2.27 </w:t>
      </w:r>
      <w:r>
        <w:rPr>
          <w:rFonts w:ascii="Arial" w:cs="Arial" w:eastAsia="Arial" w:hAnsi="Arial"/>
          <w:sz w:val="21"/>
          <w:szCs w:val="21"/>
          <w:b w:val="1"/>
          <w:bCs w:val="1"/>
          <w:i w:val="1"/>
          <w:iCs w:val="1"/>
          <w:color w:val="auto"/>
        </w:rPr>
        <w:t>“Restricted Stock”</w:t>
      </w:r>
      <w:r>
        <w:rPr>
          <w:rFonts w:ascii="Arial" w:cs="Arial" w:eastAsia="Arial" w:hAnsi="Arial"/>
          <w:sz w:val="21"/>
          <w:szCs w:val="21"/>
          <w:color w:val="auto"/>
        </w:rPr>
        <w:t xml:space="preserve"> shall mean any Share issued with the restriction that the holder may not sell, transfer, pledge or assign such Share and with such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2.28</w:t>
      </w:r>
      <w:r>
        <w:rPr>
          <w:sz w:val="20"/>
          <w:szCs w:val="20"/>
          <w:color w:val="auto"/>
        </w:rPr>
        <w:tab/>
      </w: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shall have the meaning set forth in Section 7.1.</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2.29</w:t>
      </w:r>
      <w:r>
        <w:rPr>
          <w:sz w:val="20"/>
          <w:szCs w:val="20"/>
          <w:color w:val="auto"/>
        </w:rPr>
        <w:tab/>
      </w:r>
      <w:r>
        <w:rPr>
          <w:rFonts w:ascii="Arial" w:cs="Arial" w:eastAsia="Arial" w:hAnsi="Arial"/>
          <w:sz w:val="18"/>
          <w:szCs w:val="18"/>
          <w:b w:val="1"/>
          <w:bCs w:val="1"/>
          <w:i w:val="1"/>
          <w:iCs w:val="1"/>
          <w:color w:val="auto"/>
        </w:rPr>
        <w:t xml:space="preserve">“Restricted Stock Award” </w:t>
      </w:r>
      <w:r>
        <w:rPr>
          <w:rFonts w:ascii="Arial" w:cs="Arial" w:eastAsia="Arial" w:hAnsi="Arial"/>
          <w:sz w:val="18"/>
          <w:szCs w:val="18"/>
          <w:color w:val="auto"/>
        </w:rPr>
        <w:t>shall have the meaning set forth in Section 7.1.</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2.30</w:t>
      </w:r>
      <w:r>
        <w:rPr>
          <w:sz w:val="20"/>
          <w:szCs w:val="20"/>
          <w:color w:val="auto"/>
        </w:rPr>
        <w:tab/>
      </w: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shall mean the shares of common stock of the Company, par value $.01 per share.</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2.31</w:t>
      </w:r>
      <w:r>
        <w:rPr>
          <w:sz w:val="20"/>
          <w:szCs w:val="20"/>
          <w:color w:val="auto"/>
        </w:rPr>
        <w:tab/>
      </w:r>
      <w:r>
        <w:rPr>
          <w:rFonts w:ascii="Arial" w:cs="Arial" w:eastAsia="Arial" w:hAnsi="Arial"/>
          <w:sz w:val="18"/>
          <w:szCs w:val="18"/>
          <w:b w:val="1"/>
          <w:bCs w:val="1"/>
          <w:i w:val="1"/>
          <w:iCs w:val="1"/>
          <w:color w:val="auto"/>
        </w:rPr>
        <w:t xml:space="preserve">“Stock Appreciation Right” </w:t>
      </w:r>
      <w:r>
        <w:rPr>
          <w:rFonts w:ascii="Arial" w:cs="Arial" w:eastAsia="Arial" w:hAnsi="Arial"/>
          <w:sz w:val="18"/>
          <w:szCs w:val="18"/>
          <w:color w:val="auto"/>
        </w:rPr>
        <w:t>shall mean the right granted to a Participant pursuant to Section 6.</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2.32</w:t>
      </w:r>
      <w:r>
        <w:rPr>
          <w:sz w:val="20"/>
          <w:szCs w:val="20"/>
          <w:color w:val="auto"/>
        </w:rPr>
        <w:tab/>
      </w:r>
      <w:r>
        <w:rPr>
          <w:rFonts w:ascii="Arial" w:cs="Arial" w:eastAsia="Arial" w:hAnsi="Arial"/>
          <w:sz w:val="18"/>
          <w:szCs w:val="18"/>
          <w:b w:val="1"/>
          <w:bCs w:val="1"/>
          <w:i w:val="1"/>
          <w:iCs w:val="1"/>
          <w:color w:val="auto"/>
        </w:rPr>
        <w:t xml:space="preserve">“Stock Unit Award” </w:t>
      </w:r>
      <w:r>
        <w:rPr>
          <w:rFonts w:ascii="Arial" w:cs="Arial" w:eastAsia="Arial" w:hAnsi="Arial"/>
          <w:sz w:val="18"/>
          <w:szCs w:val="18"/>
          <w:color w:val="auto"/>
        </w:rPr>
        <w:t>shall have the meaning set forth in Section 8.1.</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2.33 </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xml:space="preserve"> shall mean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319405</wp:posOffset>
            </wp:positionV>
            <wp:extent cx="729424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6" w:name="page77"/>
    <w:bookmarkEnd w:id="76"/>
    <w:p>
      <w:pPr>
        <w:jc w:val="both"/>
        <w:spacing w:after="0" w:line="242" w:lineRule="auto"/>
        <w:rPr>
          <w:sz w:val="20"/>
          <w:szCs w:val="20"/>
          <w:color w:val="auto"/>
        </w:rPr>
      </w:pPr>
      <w:r>
        <w:rPr>
          <w:rFonts w:ascii="Arial" w:cs="Arial" w:eastAsia="Arial" w:hAnsi="Arial"/>
          <w:sz w:val="21"/>
          <w:szCs w:val="21"/>
          <w:color w:val="auto"/>
        </w:rPr>
        <w:t xml:space="preserve">2.34 </w:t>
      </w:r>
      <w:r>
        <w:rPr>
          <w:rFonts w:ascii="Arial" w:cs="Arial" w:eastAsia="Arial" w:hAnsi="Arial"/>
          <w:sz w:val="21"/>
          <w:szCs w:val="21"/>
          <w:b w:val="1"/>
          <w:bCs w:val="1"/>
          <w:i w:val="1"/>
          <w:iCs w:val="1"/>
          <w:color w:val="auto"/>
        </w:rPr>
        <w:t>“Substitute Awards”</w:t>
      </w:r>
      <w:r>
        <w:rPr>
          <w:rFonts w:ascii="Arial" w:cs="Arial" w:eastAsia="Arial" w:hAnsi="Arial"/>
          <w:sz w:val="21"/>
          <w:szCs w:val="21"/>
          <w:color w:val="auto"/>
        </w:rPr>
        <w:t xml:space="preserve"> shall mean Awards granted or Shares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2.35</w:t>
      </w:r>
      <w:r>
        <w:rPr>
          <w:sz w:val="20"/>
          <w:szCs w:val="20"/>
          <w:color w:val="auto"/>
        </w:rPr>
        <w:tab/>
      </w:r>
      <w:r>
        <w:rPr>
          <w:rFonts w:ascii="Arial" w:cs="Arial" w:eastAsia="Arial" w:hAnsi="Arial"/>
          <w:sz w:val="18"/>
          <w:szCs w:val="18"/>
          <w:b w:val="1"/>
          <w:bCs w:val="1"/>
          <w:i w:val="1"/>
          <w:iCs w:val="1"/>
          <w:color w:val="auto"/>
        </w:rPr>
        <w:t xml:space="preserve">“Tandem Stock Appreciation Right” </w:t>
      </w:r>
      <w:r>
        <w:rPr>
          <w:rFonts w:ascii="Arial" w:cs="Arial" w:eastAsia="Arial" w:hAnsi="Arial"/>
          <w:sz w:val="18"/>
          <w:szCs w:val="18"/>
          <w:color w:val="auto"/>
        </w:rPr>
        <w:t>shall have the meaning set forth in Section 6.1.</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w:t>
        <w:tab/>
        <w:t>Shares Subject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36"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8"/>
          <w:szCs w:val="18"/>
          <w:b w:val="1"/>
          <w:bCs w:val="1"/>
          <w:i w:val="1"/>
          <w:iCs w:val="1"/>
          <w:color w:val="auto"/>
        </w:rPr>
        <w:t>Number of Shares.</w:t>
      </w:r>
    </w:p>
    <w:p>
      <w:pPr>
        <w:spacing w:after="0" w:line="198" w:lineRule="exact"/>
        <w:rPr>
          <w:sz w:val="20"/>
          <w:szCs w:val="20"/>
          <w:color w:val="auto"/>
        </w:rPr>
      </w:pPr>
    </w:p>
    <w:p>
      <w:pPr>
        <w:jc w:val="both"/>
        <w:ind w:left="860" w:firstLine="4"/>
        <w:spacing w:after="0" w:line="238" w:lineRule="auto"/>
        <w:tabs>
          <w:tab w:leader="none" w:pos="1623" w:val="left"/>
        </w:tabs>
        <w:numPr>
          <w:ilvl w:val="0"/>
          <w:numId w:val="56"/>
        </w:numPr>
        <w:rPr>
          <w:rFonts w:ascii="Arial" w:cs="Arial" w:eastAsia="Arial" w:hAnsi="Arial"/>
          <w:sz w:val="21"/>
          <w:szCs w:val="21"/>
          <w:color w:val="auto"/>
        </w:rPr>
      </w:pPr>
      <w:r>
        <w:rPr>
          <w:rFonts w:ascii="Arial" w:cs="Arial" w:eastAsia="Arial" w:hAnsi="Arial"/>
          <w:sz w:val="21"/>
          <w:szCs w:val="21"/>
          <w:color w:val="auto"/>
        </w:rPr>
        <w:t>Subject to adjustment under Section 12.2, on or after the Restatement Date a total of 15,242,718 Shares shall be authorized for grant under the Plan, less one (1) Share for every one (1) Share that was subject to an Option or SAR granted after December 31, 2012 and one and seventy-nine hundredths (1.79) Shares for every one Share that was subject to an Award other than an Option or SAR granted after December 31, 2012.</w:t>
      </w:r>
    </w:p>
    <w:p>
      <w:pPr>
        <w:spacing w:after="0" w:line="204" w:lineRule="exact"/>
        <w:rPr>
          <w:rFonts w:ascii="Arial" w:cs="Arial" w:eastAsia="Arial" w:hAnsi="Arial"/>
          <w:sz w:val="21"/>
          <w:szCs w:val="21"/>
          <w:color w:val="auto"/>
        </w:rPr>
      </w:pPr>
    </w:p>
    <w:p>
      <w:pPr>
        <w:jc w:val="both"/>
        <w:ind w:left="860" w:firstLine="4"/>
        <w:spacing w:after="0" w:line="258" w:lineRule="auto"/>
        <w:tabs>
          <w:tab w:leader="none" w:pos="1635"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(i) any Shares subject to an Award are forfeited, an Award expires or an Award is settled for cash (in whole or in part), or (ii) after December 31, 2012 any Shares subject to an award under any Prior Plan are forfeited, an award under any Prior Plan expires or is settled for cash (in whole or in part), then in each such case the Shares subject to such Award or award under any Prior Plan shall, to the extent of such forfeiture, expiration or cash settlement, again be available for Awards under the Plan, in accordance with Section 3.1(d) below. In the event that withholding tax liabilities arising from an Award other than an Option or Stock Appreciation Right or, after December 31, 2012, an award other than an option or stock appreciation right under any Prior Plan are satisfied by the tendering of Shares (either actually or by attestation) or by the withholding of Shares by the Company, the Shares so tendered or withheld shall again be available for Awards under the Plan in accordance with Section 3.1(d) below. Notwithstanding anything to the contrary contained herein, the following Shares shall not be added to the Shares authorized for grant under paragraph (a) of this Section: (i) Shares tendered by the Participant or withheld by the Company in payment of the purchase price of an Option or, after December 31, 2012, an option under any Prior Plan, (ii) Shares tendered by the Participant or withheld by the Company to satisfy any tax withholding obligation with respect to Options or Stock Appreciation Rights or, after December 31, 2012, options or stock appreciation rights under any Prior Plan, (iii) Shares subject to a Stock Appreciation Right or, after December 31, 2012, a stock appreciation right under any Prior Plan that are not issued in connection with its stock settlement on exercise thereof, and (iv) Shares reacquired by the Company on the open market or otherwise using cash proceeds from the exercise of Options or, after December 31, 2012, options under any Prior Plan.</w:t>
      </w:r>
    </w:p>
    <w:p>
      <w:pPr>
        <w:spacing w:after="0" w:line="193" w:lineRule="exact"/>
        <w:rPr>
          <w:rFonts w:ascii="Arial" w:cs="Arial" w:eastAsia="Arial" w:hAnsi="Arial"/>
          <w:sz w:val="19"/>
          <w:szCs w:val="19"/>
          <w:color w:val="auto"/>
        </w:rPr>
      </w:pPr>
    </w:p>
    <w:p>
      <w:pPr>
        <w:jc w:val="both"/>
        <w:ind w:left="860" w:firstLine="4"/>
        <w:spacing w:after="0" w:line="265" w:lineRule="auto"/>
        <w:tabs>
          <w:tab w:leader="none" w:pos="1623"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Substitute Awards shall not reduce the Shares authorized for grant under the Plan or authorized for grant to a 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304165</wp:posOffset>
            </wp:positionV>
            <wp:extent cx="729424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77" w:name="page78"/>
    <w:bookmarkEnd w:id="77"/>
    <w:p>
      <w:pPr>
        <w:jc w:val="both"/>
        <w:ind w:left="860"/>
        <w:spacing w:after="0" w:line="237" w:lineRule="auto"/>
        <w:rPr>
          <w:sz w:val="20"/>
          <w:szCs w:val="20"/>
          <w:color w:val="auto"/>
        </w:rPr>
      </w:pPr>
      <w:r>
        <w:rPr>
          <w:rFonts w:ascii="Arial" w:cs="Arial" w:eastAsia="Arial" w:hAnsi="Arial"/>
          <w:sz w:val="21"/>
          <w:szCs w:val="21"/>
          <w:color w:val="auto"/>
        </w:rPr>
        <w:t>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203" w:lineRule="exact"/>
        <w:rPr>
          <w:sz w:val="20"/>
          <w:szCs w:val="20"/>
          <w:color w:val="auto"/>
        </w:rPr>
      </w:pPr>
    </w:p>
    <w:p>
      <w:pPr>
        <w:jc w:val="both"/>
        <w:ind w:left="860" w:firstLine="4"/>
        <w:spacing w:after="0" w:line="237" w:lineRule="auto"/>
        <w:tabs>
          <w:tab w:leader="none" w:pos="1635" w:val="left"/>
        </w:tabs>
        <w:numPr>
          <w:ilvl w:val="0"/>
          <w:numId w:val="57"/>
        </w:numPr>
        <w:rPr>
          <w:rFonts w:ascii="Arial" w:cs="Arial" w:eastAsia="Arial" w:hAnsi="Arial"/>
          <w:sz w:val="21"/>
          <w:szCs w:val="21"/>
          <w:color w:val="auto"/>
        </w:rPr>
      </w:pPr>
      <w:r>
        <w:rPr>
          <w:rFonts w:ascii="Arial" w:cs="Arial" w:eastAsia="Arial" w:hAnsi="Arial"/>
          <w:sz w:val="21"/>
          <w:szCs w:val="21"/>
          <w:color w:val="auto"/>
        </w:rPr>
        <w:t>Any Shares that again become available for grant pursuant to this Section shall be added back as (i) one (1) Share for every one (1) Share subject to Options or Stock Appreciation Rights granted under the Plan or options or stock appreciation rights granted under any Prior Plan, and (ii) as one and seventy-nine hundredths (1.79) Shares for every one (1) Share subject to Awards other than Options or Stock Appreciation Rights granted under the Plan or awards other than options or stock appreciation rights granted under any Prior Plan.</w:t>
      </w:r>
    </w:p>
    <w:p>
      <w:pPr>
        <w:spacing w:after="0" w:line="203" w:lineRule="exact"/>
        <w:rPr>
          <w:rFonts w:ascii="Arial" w:cs="Arial" w:eastAsia="Arial" w:hAnsi="Arial"/>
          <w:sz w:val="21"/>
          <w:szCs w:val="21"/>
          <w:color w:val="auto"/>
        </w:rPr>
      </w:pPr>
    </w:p>
    <w:p>
      <w:pPr>
        <w:ind w:left="1620" w:hanging="756"/>
        <w:spacing w:after="0"/>
        <w:tabs>
          <w:tab w:leader="none" w:pos="1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aggregate grant date fair value of awards to a Director in any calendar year shall not exceed $500,000.</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i w:val="1"/>
          <w:iCs w:val="1"/>
          <w:color w:val="auto"/>
        </w:rPr>
        <w:t>Character of Shares.</w:t>
      </w:r>
      <w:r>
        <w:rPr>
          <w:rFonts w:ascii="Arial" w:cs="Arial" w:eastAsia="Arial" w:hAnsi="Arial"/>
          <w:sz w:val="21"/>
          <w:szCs w:val="21"/>
          <w:color w:val="auto"/>
        </w:rPr>
        <w:t xml:space="preserve"> Any Shares issued hereunder may consist, in whole or in part, of authorized and unissued shares, treasury shares or shares purchased in the open market or otherwise.</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w:t>
        <w:tab/>
        <w:t>Eligibility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4.1</w:t>
      </w:r>
      <w:r>
        <w:rPr>
          <w:sz w:val="20"/>
          <w:szCs w:val="20"/>
          <w:color w:val="auto"/>
        </w:rPr>
        <w:tab/>
      </w:r>
      <w:r>
        <w:rPr>
          <w:rFonts w:ascii="Arial" w:cs="Arial" w:eastAsia="Arial" w:hAnsi="Arial"/>
          <w:sz w:val="18"/>
          <w:szCs w:val="18"/>
          <w:b w:val="1"/>
          <w:bCs w:val="1"/>
          <w:i w:val="1"/>
          <w:iCs w:val="1"/>
          <w:color w:val="auto"/>
        </w:rPr>
        <w:t>Eligibility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Employee or Director shall be eligible to be selected as a Participant.</w:t>
      </w: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198" w:lineRule="exact"/>
        <w:rPr>
          <w:sz w:val="20"/>
          <w:szCs w:val="20"/>
          <w:color w:val="auto"/>
        </w:rPr>
      </w:pPr>
    </w:p>
    <w:p>
      <w:pPr>
        <w:jc w:val="both"/>
        <w:ind w:left="860" w:firstLine="4"/>
        <w:spacing w:after="0" w:line="259" w:lineRule="auto"/>
        <w:tabs>
          <w:tab w:leader="none" w:pos="162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Plan shall be administered by the Committee. The Committee shall have full power and authority, subject to the provisions of the Plan and subject to such orders or resolutions not inconsistent with the provisions of the Plan as may from time to time be adopted by the Board, to: (i) select the Employees and Directors to whom Awards may from time to time be granted hereunder; (ii) determine the type or types of Awards, not inconsistent with the provisions of the Plan, to be granted to each Participant hereunder; (iii) determine the number of Shares to be covered by each Award granted hereunder; (iv) determine the terms and conditions, not inconsistent with the provisions of the Plan, of any Award granted hereunder; (v) determine whether, to what extent and under what circumstances Awards may be settled in cash, Shares or other property; (vi) determine whether, to what extent, and under what circumstances cash, Shares, other property and other amounts payable with respect to an Award made under the Plan shall be deferred either automatically or at the election of the Participant; (vii) determine whether, to what extent and under what circumstances any Award shall be canceled or suspended; (viii) interpret and administer the Plan and any instrument or agreement entered into under or in connection with the Plan, including any Award Agreement; (ix) correct any defect, supply any omission or reconcile any inconsistency in the Plan or any Award in the manner and to the extent that the Committee shall deem desirable to carry it into effect; (x) establish such rules and regulations and appoint such agents as it shall deem appropriate for the proper administration of the Plan; (xi) determine whether any Award will have Dividend Equivalents; and (xii) make any other determination and take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306705</wp:posOffset>
            </wp:positionV>
            <wp:extent cx="729424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78" w:name="page79"/>
    <w:bookmarkEnd w:id="78"/>
    <w:p>
      <w:pPr>
        <w:ind w:left="860"/>
        <w:spacing w:after="0" w:line="265" w:lineRule="auto"/>
        <w:rPr>
          <w:sz w:val="20"/>
          <w:szCs w:val="20"/>
          <w:color w:val="auto"/>
        </w:rPr>
      </w:pPr>
      <w:r>
        <w:rPr>
          <w:rFonts w:ascii="Arial" w:cs="Arial" w:eastAsia="Arial" w:hAnsi="Arial"/>
          <w:sz w:val="19"/>
          <w:szCs w:val="19"/>
          <w:color w:val="auto"/>
        </w:rPr>
        <w:t>other action that the Committee deems necessary or desirable for administration of the Plan. Subject to Section 5.3 and Section 6.2(a) hereof, the Committee may, in its discretion, (x) provide for the extension of the exercisability of an Award, or</w:t>
      </w:r>
    </w:p>
    <w:p>
      <w:pPr>
        <w:spacing w:after="0" w:line="1" w:lineRule="exact"/>
        <w:rPr>
          <w:sz w:val="20"/>
          <w:szCs w:val="20"/>
          <w:color w:val="auto"/>
        </w:rPr>
      </w:pPr>
    </w:p>
    <w:p>
      <w:pPr>
        <w:jc w:val="both"/>
        <w:ind w:left="860" w:firstLine="4"/>
        <w:spacing w:after="0" w:line="263" w:lineRule="auto"/>
        <w:tabs>
          <w:tab w:leader="none" w:pos="1187"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event of death, disability, retirement or change of control, accelerate the vesting or exercisability of an Award, eliminate or make less restrictive any restrictions contained in an Award, waive any restriction or other provision of this Plan or an Award or otherwise amend or modify an Award in any manner that is, in either case, (1) not adverse to the Participant to whom such Award was granted, (2) consented to by such Participant or (3) authorized by Section 12.2 hereof; provided, however, that no such action shall permit the term of any Option to be greater than 10 years from its Grant Date.</w:t>
      </w:r>
    </w:p>
    <w:p>
      <w:pPr>
        <w:spacing w:after="0" w:line="180" w:lineRule="exact"/>
        <w:rPr>
          <w:sz w:val="20"/>
          <w:szCs w:val="20"/>
          <w:color w:val="auto"/>
        </w:rPr>
      </w:pPr>
    </w:p>
    <w:p>
      <w:pPr>
        <w:jc w:val="both"/>
        <w:ind w:left="860" w:firstLine="4"/>
        <w:spacing w:after="0" w:line="242" w:lineRule="auto"/>
        <w:tabs>
          <w:tab w:leader="none" w:pos="1635" w:val="left"/>
        </w:tabs>
        <w:numPr>
          <w:ilvl w:val="0"/>
          <w:numId w:val="60"/>
        </w:numPr>
        <w:rPr>
          <w:rFonts w:ascii="Arial" w:cs="Arial" w:eastAsia="Arial" w:hAnsi="Arial"/>
          <w:sz w:val="21"/>
          <w:szCs w:val="21"/>
          <w:color w:val="auto"/>
        </w:rPr>
      </w:pPr>
      <w:r>
        <w:rPr>
          <w:rFonts w:ascii="Arial" w:cs="Arial" w:eastAsia="Arial" w:hAnsi="Arial"/>
          <w:sz w:val="21"/>
          <w:szCs w:val="21"/>
          <w:color w:val="auto"/>
        </w:rPr>
        <w:t>Decisions of the Committee shall be final, conclusive and binding on all persons or entities, including the Company, any Participant, and any Subsidiary. A majority of the members of the Committee may determine its actions and fix the time and place of its meetings.</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b w:val="1"/>
          <w:bCs w:val="1"/>
          <w:i w:val="1"/>
          <w:iCs w:val="1"/>
          <w:color w:val="auto"/>
        </w:rPr>
        <w:t>Delegation of Authority</w:t>
      </w:r>
      <w:r>
        <w:rPr>
          <w:rFonts w:ascii="Arial" w:cs="Arial" w:eastAsia="Arial" w:hAnsi="Arial"/>
          <w:sz w:val="20"/>
          <w:szCs w:val="20"/>
          <w:i w:val="1"/>
          <w:iCs w:val="1"/>
          <w:color w:val="auto"/>
        </w:rPr>
        <w:t>.</w:t>
      </w:r>
      <w:r>
        <w:rPr>
          <w:rFonts w:ascii="Arial" w:cs="Arial" w:eastAsia="Arial" w:hAnsi="Arial"/>
          <w:sz w:val="20"/>
          <w:szCs w:val="20"/>
          <w:color w:val="auto"/>
        </w:rPr>
        <w:t xml:space="preserve"> The Committee may delegate any of its authority to grant Awards to Employees who are not subject to Section 16(b) of the Exchange Act, subject to Section 4.2(a) above, to the Board or to any other committee of the Board, provided such delegation is made in writing and specifically sets forth such delegated authority. The Committee may also delegate to an Authorized Officer authority to execute on behalf of the Company any Award Agreement. The Committee and the Board, as applicable, may engage or authorize the engagement of a third party administrator to carry out administrative functions under this Plan. Any such delegation hereunder shall only be made to the extent permitted by applicable law.</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i w:val="1"/>
          <w:iCs w:val="1"/>
          <w:color w:val="auto"/>
        </w:rPr>
        <w:t>Indemnity.</w:t>
      </w:r>
      <w:r>
        <w:rPr>
          <w:rFonts w:ascii="Arial" w:cs="Arial" w:eastAsia="Arial" w:hAnsi="Arial"/>
          <w:sz w:val="21"/>
          <w:szCs w:val="21"/>
          <w:color w:val="auto"/>
        </w:rPr>
        <w:t xml:space="preserve"> No member of the Board or the Committee or officer of the Company to whom the Committee has delegated authority in accordance with the provisions of Section 4.3 of this Plan shall be liable for anything done or omitted to be done by him, by any member of the Board or the Committee or by any officer of the Company in connection with the performance of any duties under this Plan, except for his own willful misconduct or as expressly provided by statute.</w:t>
      </w:r>
    </w:p>
    <w:p>
      <w:pPr>
        <w:spacing w:after="0" w:line="20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w:t>
        <w:tab/>
        <w:t>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i w:val="1"/>
          <w:iCs w:val="1"/>
          <w:color w:val="auto"/>
        </w:rPr>
        <w:t>Grant of Options</w:t>
      </w:r>
      <w:r>
        <w:rPr>
          <w:rFonts w:ascii="Arial" w:cs="Arial" w:eastAsia="Arial" w:hAnsi="Arial"/>
          <w:sz w:val="21"/>
          <w:szCs w:val="21"/>
          <w:i w:val="1"/>
          <w:iCs w:val="1"/>
          <w:color w:val="auto"/>
        </w:rPr>
        <w:t>.</w:t>
      </w:r>
      <w:r>
        <w:rPr>
          <w:rFonts w:ascii="Arial" w:cs="Arial" w:eastAsia="Arial" w:hAnsi="Arial"/>
          <w:sz w:val="21"/>
          <w:szCs w:val="21"/>
          <w:color w:val="auto"/>
        </w:rPr>
        <w:t xml:space="preserve"> Options may be granted hereunder to Participants either alone or in addition to other Awards granted under the Plan. Any Option shall be subject to the terms and conditions of this Article and to such additional terms and conditions, not inconsistent with the provisions of the Plan, as the Committee shall deem desirable.</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i w:val="1"/>
          <w:iCs w:val="1"/>
          <w:color w:val="auto"/>
        </w:rPr>
        <w:t>Award Agreements</w:t>
      </w:r>
      <w:r>
        <w:rPr>
          <w:rFonts w:ascii="Arial" w:cs="Arial" w:eastAsia="Arial" w:hAnsi="Arial"/>
          <w:sz w:val="21"/>
          <w:szCs w:val="21"/>
          <w:i w:val="1"/>
          <w:iCs w:val="1"/>
          <w:color w:val="auto"/>
        </w:rPr>
        <w:t>.</w:t>
      </w:r>
      <w:r>
        <w:rPr>
          <w:rFonts w:ascii="Arial" w:cs="Arial" w:eastAsia="Arial" w:hAnsi="Arial"/>
          <w:sz w:val="21"/>
          <w:szCs w:val="21"/>
          <w:color w:val="auto"/>
        </w:rPr>
        <w:t xml:space="preserve"> All Options granted pursuant to this Article shall be evidenced by a written or electronic Award Agreement in such form and containing such terms and conditions as the Committee shall determine which are not inconsistent with the provisions of the Plan, including, if required by the Committee, execution by the Participant to whom the Award is granted. The terms of Options need not be the same with respect to each Participant. Granting of an Option pursuant to the Plan shall impose no obligation on the recipient to exercise such Option. Any individual who is granted an Option pursuant to this Article may hold more than one Option granted pursuant to the Plan at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466090</wp:posOffset>
            </wp:positionV>
            <wp:extent cx="729424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79" w:name="page80"/>
    <w:bookmarkEnd w:id="79"/>
    <w:p>
      <w:pPr>
        <w:jc w:val="both"/>
        <w:spacing w:after="0" w:line="248"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i w:val="1"/>
          <w:iCs w:val="1"/>
          <w:color w:val="auto"/>
        </w:rPr>
        <w:t>Option Price.</w:t>
      </w:r>
      <w:r>
        <w:rPr>
          <w:rFonts w:ascii="Arial" w:cs="Arial" w:eastAsia="Arial" w:hAnsi="Arial"/>
          <w:sz w:val="20"/>
          <w:szCs w:val="20"/>
          <w:color w:val="auto"/>
        </w:rPr>
        <w:t xml:space="preserve"> Other than in connection with Substitute Awards, the option price per each Share purchasable under any Option granted pursuant to this Article shall not be less than 100% of the Fair Market Value of such Share on the date of grant of such Option. Other than pursuant to Section 12.2, the Committee shall not, without the approval of the Company’s stockholders, (a) lower the option price per Share of an Option after it is granted, (b) cancel an Option when the option price per Share exceeds the Fair Market Value of the underlying Shares in exchange for cash or for another Award (other than in connection with Substitute Awards), and (c) take any other action with respect to an Option that may be treated as a repricing under the rules and regulations of the principal national securities exchange on which Shares are listed.</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i w:val="1"/>
          <w:iCs w:val="1"/>
          <w:color w:val="auto"/>
        </w:rPr>
        <w:t>Option Term.</w:t>
      </w:r>
      <w:r>
        <w:rPr>
          <w:rFonts w:ascii="Arial" w:cs="Arial" w:eastAsia="Arial" w:hAnsi="Arial"/>
          <w:sz w:val="20"/>
          <w:szCs w:val="20"/>
          <w:color w:val="auto"/>
        </w:rPr>
        <w:t xml:space="preserve"> The term of each Option shall be fixed by the Committee in its sole discretion; provided that no Option shall be exercisable after the expiration of 10 years from the date the Option is granted; provided further, that if an Option other than an Incentive Stock Option would otherwise expire when trading in Shares is prohibited by law or by Company insider trading policy, the Award Agreement may provide for the automatic extension of the Option term to the 30 </w:t>
      </w:r>
      <w:r>
        <w:rPr>
          <w:rFonts w:ascii="Arial" w:cs="Arial" w:eastAsia="Arial" w:hAnsi="Arial"/>
          <w:sz w:val="16"/>
          <w:szCs w:val="16"/>
          <w:color w:val="auto"/>
        </w:rPr>
        <w:t>th</w:t>
      </w:r>
      <w:r>
        <w:rPr>
          <w:rFonts w:ascii="Arial" w:cs="Arial" w:eastAsia="Arial" w:hAnsi="Arial"/>
          <w:sz w:val="20"/>
          <w:szCs w:val="20"/>
          <w:color w:val="auto"/>
        </w:rPr>
        <w:t xml:space="preserve"> day after expiration of such prohibition; provided further, that any such extension will not subject the Option to Code Section 409A.</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b w:val="1"/>
          <w:bCs w:val="1"/>
          <w:i w:val="1"/>
          <w:iCs w:val="1"/>
          <w:color w:val="auto"/>
        </w:rPr>
        <w:t>Exercise of Options</w:t>
      </w:r>
      <w:r>
        <w:rPr>
          <w:rFonts w:ascii="Arial" w:cs="Arial" w:eastAsia="Arial" w:hAnsi="Arial"/>
          <w:sz w:val="19"/>
          <w:szCs w:val="19"/>
          <w:i w:val="1"/>
          <w:iCs w:val="1"/>
          <w:color w:val="auto"/>
        </w:rPr>
        <w:t>.</w:t>
      </w:r>
      <w:r>
        <w:rPr>
          <w:rFonts w:ascii="Arial" w:cs="Arial" w:eastAsia="Arial" w:hAnsi="Arial"/>
          <w:sz w:val="19"/>
          <w:szCs w:val="19"/>
          <w:color w:val="auto"/>
        </w:rPr>
        <w:t xml:space="preserve"> Vested Options granted under the Plan may be exercised by the Participant, by a Permitted Assignee thereof, or by the Participant’s executors, administrators, guardian or legal representative as to all or part of the Shares covered thereby, by the giving of notice of exercise to the Company or its designated agent, specifying the number of Shares to be purchased, accompanied by payment of the full purchase price for the Shares being purchased. Unless otherwise provided in an Award Agreement, full payment of such purchase price shall be made at the time of exercise and shall be made (a) in cash or cash equivalents (including certified check or bank check or wire transfer of immediately available funds), (b) by tendering previously acquired Shares (either actually or by attestation, valued at their then-Fair Market Value), (c) with the consent of the Committee, by delivery of other consideration (including, where permitted by law and the Committee, other Awards) having a Fair Market Value on the exercise date equal to the total purchase price, (d) with the consent of the Committee, by withholding Shares otherwise issuable in connection with the exercise of the Option, (e) through any other method specified in an Award Agreement, or (f) any combination of any of the foregoing. The notice of exercise, accompanied by such payment, shall be delivered to the Company at its principal business office or such other office as the Committee may from time to time direct, and shall be in such form, containing such further provisions consistent with the provisions of the Plan, as the Committee may from time to time prescribe. In no event may any Option granted hereunder be exercised for a fraction of a Share. No adjustment shall be made for ordinary cash dividends or other rights for which the record date is prior to the date as of which the Participant exercises the Option and becomes the sole owner of the subject Shares. An Option shall be automatically exercised as of the end of the last day of the term of the Option, if the Option price is less than the Fair Market Value of a Share on such date, on a net exercise basis as contemplated by Section 5.5(d) and with tax withholding satisfied by the Company retaining Shares from the exercise as contemplated by Section 13.1.</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b w:val="1"/>
          <w:bCs w:val="1"/>
          <w:i w:val="1"/>
          <w:iCs w:val="1"/>
          <w:color w:val="auto"/>
        </w:rPr>
        <w:t>Form of Settlement</w:t>
      </w:r>
      <w:r>
        <w:rPr>
          <w:rFonts w:ascii="Arial" w:cs="Arial" w:eastAsia="Arial" w:hAnsi="Arial"/>
          <w:sz w:val="21"/>
          <w:szCs w:val="21"/>
          <w:i w:val="1"/>
          <w:iCs w:val="1"/>
          <w:color w:val="auto"/>
        </w:rPr>
        <w:t>.</w:t>
      </w:r>
      <w:r>
        <w:rPr>
          <w:rFonts w:ascii="Arial" w:cs="Arial" w:eastAsia="Arial" w:hAnsi="Arial"/>
          <w:sz w:val="21"/>
          <w:szCs w:val="21"/>
          <w:color w:val="auto"/>
        </w:rPr>
        <w:t xml:space="preserve"> In its sole discretion, the Committee may provide, at the time of grant, that the Shares to be issued upon an Option’s exercise shall be in the form of Restricted Stock or other similar securities, or may reserve the right so to provide after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464185</wp:posOffset>
            </wp:positionV>
            <wp:extent cx="729424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b w:val="1"/>
          <w:bCs w:val="1"/>
          <w:i w:val="1"/>
          <w:iCs w:val="1"/>
          <w:color w:val="auto"/>
        </w:rPr>
        <w:t>Incentive Stock Options</w:t>
      </w:r>
      <w:r>
        <w:rPr>
          <w:rFonts w:ascii="Arial" w:cs="Arial" w:eastAsia="Arial" w:hAnsi="Arial"/>
          <w:sz w:val="19"/>
          <w:szCs w:val="19"/>
          <w:i w:val="1"/>
          <w:iCs w:val="1"/>
          <w:color w:val="auto"/>
        </w:rPr>
        <w:t>.</w:t>
      </w:r>
      <w:r>
        <w:rPr>
          <w:rFonts w:ascii="Arial" w:cs="Arial" w:eastAsia="Arial" w:hAnsi="Arial"/>
          <w:sz w:val="19"/>
          <w:szCs w:val="19"/>
          <w:color w:val="auto"/>
        </w:rPr>
        <w:t xml:space="preserve"> The Committee may grant Incentive Stock Options to any Employee of the Company or any Subsidiary, subject to the requirements of Section 422 of the Code. Notwithstanding anything in Section 3.1 to the contrary and solely for the purposes of determining whether Shares are available for the grant of “incentive stock options” under the Plan, the maximum aggregate number of Shares with respect to which “incentive stock options” may be granted under the Plan shall be 15,242,718 Shares.</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w:t>
        <w:tab/>
        <w:t>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i w:val="1"/>
          <w:iCs w:val="1"/>
          <w:color w:val="auto"/>
        </w:rPr>
        <w:t>Grant and Exercise</w:t>
      </w:r>
      <w:r>
        <w:rPr>
          <w:rFonts w:ascii="Arial" w:cs="Arial" w:eastAsia="Arial" w:hAnsi="Arial"/>
          <w:sz w:val="19"/>
          <w:szCs w:val="19"/>
          <w:i w:val="1"/>
          <w:iCs w:val="1"/>
          <w:color w:val="auto"/>
        </w:rPr>
        <w:t>.</w:t>
      </w:r>
      <w:r>
        <w:rPr>
          <w:rFonts w:ascii="Arial" w:cs="Arial" w:eastAsia="Arial" w:hAnsi="Arial"/>
          <w:sz w:val="19"/>
          <w:szCs w:val="19"/>
          <w:color w:val="auto"/>
        </w:rPr>
        <w:t xml:space="preserve"> The Committee may provide Stock Appreciation Rights (a) in conjunction with all or part of any Option granted under the Plan or at any subsequent time during the term of such Option (“Tandem Stock Appreciation Right”), (b) in conjunction with all or part of any Award (other than an Option) granted under the Plan or at any subsequent time during the term of such Award, or</w:t>
      </w:r>
    </w:p>
    <w:p>
      <w:pPr>
        <w:ind w:firstLine="3"/>
        <w:spacing w:after="0" w:line="237" w:lineRule="auto"/>
        <w:tabs>
          <w:tab w:leader="none" w:pos="322" w:val="left"/>
        </w:tabs>
        <w:numPr>
          <w:ilvl w:val="0"/>
          <w:numId w:val="61"/>
        </w:numPr>
        <w:rPr>
          <w:rFonts w:ascii="Arial" w:cs="Arial" w:eastAsia="Arial" w:hAnsi="Arial"/>
          <w:sz w:val="21"/>
          <w:szCs w:val="21"/>
          <w:color w:val="auto"/>
        </w:rPr>
      </w:pPr>
      <w:r>
        <w:rPr>
          <w:rFonts w:ascii="Arial" w:cs="Arial" w:eastAsia="Arial" w:hAnsi="Arial"/>
          <w:sz w:val="21"/>
          <w:szCs w:val="21"/>
          <w:color w:val="auto"/>
        </w:rPr>
        <w:t>without regard to any Option or other Award (a “Freestanding Stock Appreciation Right”), in each case upon such terms and conditions as the Committee may establish in its sole discretion.</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b w:val="1"/>
          <w:bCs w:val="1"/>
          <w:i w:val="1"/>
          <w:iCs w:val="1"/>
          <w:color w:val="auto"/>
        </w:rPr>
        <w:t>Terms and Conditions</w:t>
      </w:r>
      <w:r>
        <w:rPr>
          <w:rFonts w:ascii="Arial" w:cs="Arial" w:eastAsia="Arial" w:hAnsi="Arial"/>
          <w:sz w:val="21"/>
          <w:szCs w:val="21"/>
          <w:i w:val="1"/>
          <w:iCs w:val="1"/>
          <w:color w:val="auto"/>
        </w:rPr>
        <w:t>.</w:t>
      </w:r>
      <w:r>
        <w:rPr>
          <w:rFonts w:ascii="Arial" w:cs="Arial" w:eastAsia="Arial" w:hAnsi="Arial"/>
          <w:sz w:val="21"/>
          <w:szCs w:val="21"/>
          <w:color w:val="auto"/>
        </w:rPr>
        <w:t xml:space="preserve"> Stock Appreciation Rights shall be subject to such terms and conditions, not inconsistent with the provisions of the Plan, as shall be determined from time to time by the Committee, including the following:</w:t>
      </w:r>
    </w:p>
    <w:p>
      <w:pPr>
        <w:spacing w:after="0" w:line="189" w:lineRule="exact"/>
        <w:rPr>
          <w:sz w:val="20"/>
          <w:szCs w:val="20"/>
          <w:color w:val="auto"/>
        </w:rPr>
      </w:pPr>
    </w:p>
    <w:p>
      <w:pPr>
        <w:jc w:val="both"/>
        <w:ind w:left="860" w:firstLine="4"/>
        <w:spacing w:after="0" w:line="260" w:lineRule="auto"/>
        <w:tabs>
          <w:tab w:leader="none" w:pos="1623" w:val="left"/>
        </w:tabs>
        <w:numPr>
          <w:ilvl w:val="0"/>
          <w:numId w:val="62"/>
        </w:numPr>
        <w:rPr>
          <w:rFonts w:ascii="Arial" w:cs="Arial" w:eastAsia="Arial" w:hAnsi="Arial"/>
          <w:sz w:val="19"/>
          <w:szCs w:val="19"/>
          <w:color w:val="auto"/>
        </w:rPr>
      </w:pPr>
      <w:r>
        <w:rPr>
          <w:rFonts w:ascii="Arial" w:cs="Arial" w:eastAsia="Arial" w:hAnsi="Arial"/>
          <w:sz w:val="19"/>
          <w:szCs w:val="19"/>
          <w:color w:val="auto"/>
        </w:rPr>
        <w:t>Upon the exercise of a Stock Appreciation Right, the holder shall have the right to receive the excess of (i) the Fair Market Value of one Share on the date of exercise or such other amount as the Committee shall so determine at any time during a specified period before the date of exercise over (ii) the grant price of the right on the date of grant, or in the case of a Tandem Stock Appreciation Right granted on the date of grant of the related Option, as specified by the Committee in its sole discretion, which, except in the case of Substitute Awards or in connection with an adjustment provided in Section 12.2, shall not be less than the Fair Market Value of one Share on such date of grant of the right or the related Option, as the case may be other than pursuant to Section 12.2, the Committee shall not, without the approval of the Company stockholders, (a) lower the grant price of a Stock Appreciation Right after it is granted, (b) cancel a Stock Appreciation Right when the grant price exceeds the Fair Market Value of the underlying Shares in exchange for cash or for another Award (other than in connection with Substitute Awards), and (c) take any other action with respect to a Stock Appreciation Right that may be treated as a repricing under the rules and regulations of the national securities exchange on which Shares are listed.</w:t>
      </w:r>
    </w:p>
    <w:p>
      <w:pPr>
        <w:spacing w:after="0" w:line="187" w:lineRule="exact"/>
        <w:rPr>
          <w:rFonts w:ascii="Arial" w:cs="Arial" w:eastAsia="Arial" w:hAnsi="Arial"/>
          <w:sz w:val="19"/>
          <w:szCs w:val="19"/>
          <w:color w:val="auto"/>
        </w:rPr>
      </w:pPr>
    </w:p>
    <w:p>
      <w:pPr>
        <w:ind w:left="860" w:firstLine="4"/>
        <w:spacing w:after="0" w:line="253" w:lineRule="auto"/>
        <w:tabs>
          <w:tab w:leader="none" w:pos="1635" w:val="left"/>
        </w:tabs>
        <w:numPr>
          <w:ilvl w:val="0"/>
          <w:numId w:val="62"/>
        </w:numPr>
        <w:rPr>
          <w:rFonts w:ascii="Arial" w:cs="Arial" w:eastAsia="Arial" w:hAnsi="Arial"/>
          <w:sz w:val="21"/>
          <w:szCs w:val="21"/>
          <w:color w:val="auto"/>
        </w:rPr>
      </w:pPr>
      <w:r>
        <w:rPr>
          <w:rFonts w:ascii="Arial" w:cs="Arial" w:eastAsia="Arial" w:hAnsi="Arial"/>
          <w:sz w:val="21"/>
          <w:szCs w:val="21"/>
          <w:color w:val="auto"/>
        </w:rPr>
        <w:t>Upon the exercise of a Stock Appreciation Right, the Committee shall determine in its sole discretion whether payment shall be made in cash, in whole Shares or other property, or any combination thereof.</w:t>
      </w:r>
    </w:p>
    <w:p>
      <w:pPr>
        <w:spacing w:after="0" w:line="188" w:lineRule="exact"/>
        <w:rPr>
          <w:rFonts w:ascii="Arial" w:cs="Arial" w:eastAsia="Arial" w:hAnsi="Arial"/>
          <w:sz w:val="21"/>
          <w:szCs w:val="21"/>
          <w:color w:val="auto"/>
        </w:rPr>
      </w:pPr>
    </w:p>
    <w:p>
      <w:pPr>
        <w:ind w:left="860" w:firstLine="4"/>
        <w:spacing w:after="0" w:line="253" w:lineRule="auto"/>
        <w:tabs>
          <w:tab w:leader="none" w:pos="1623"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Tandem Stock Appreciation Right may be granted at the same time as the related Option is granted or at any time thereafter before exercise or expiration of such Option.</w:t>
      </w:r>
    </w:p>
    <w:p>
      <w:pPr>
        <w:spacing w:after="0" w:line="188" w:lineRule="exact"/>
        <w:rPr>
          <w:rFonts w:ascii="Arial" w:cs="Arial" w:eastAsia="Arial" w:hAnsi="Arial"/>
          <w:sz w:val="21"/>
          <w:szCs w:val="21"/>
          <w:color w:val="auto"/>
        </w:rPr>
      </w:pPr>
    </w:p>
    <w:p>
      <w:pPr>
        <w:jc w:val="both"/>
        <w:ind w:left="860" w:firstLine="4"/>
        <w:spacing w:after="0" w:line="242" w:lineRule="auto"/>
        <w:tabs>
          <w:tab w:leader="none" w:pos="1635"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Any Tandem Stock Appreciation Right related to an Option may be exercised only when the related Option would be exercisable and the Fair Market Value of the Shares subject to the related Option exceeds the option price at which Shares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316230</wp:posOffset>
            </wp:positionV>
            <wp:extent cx="729424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1" w:name="page82"/>
    <w:bookmarkEnd w:id="81"/>
    <w:p>
      <w:pPr>
        <w:jc w:val="both"/>
        <w:ind w:left="860"/>
        <w:spacing w:after="0" w:line="254" w:lineRule="auto"/>
        <w:rPr>
          <w:sz w:val="20"/>
          <w:szCs w:val="20"/>
          <w:color w:val="auto"/>
        </w:rPr>
      </w:pPr>
      <w:r>
        <w:rPr>
          <w:rFonts w:ascii="Arial" w:cs="Arial" w:eastAsia="Arial" w:hAnsi="Arial"/>
          <w:sz w:val="20"/>
          <w:szCs w:val="20"/>
          <w:color w:val="auto"/>
        </w:rPr>
        <w:t>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w:t>
      </w:r>
    </w:p>
    <w:p>
      <w:pPr>
        <w:spacing w:after="0" w:line="189" w:lineRule="exact"/>
        <w:rPr>
          <w:sz w:val="20"/>
          <w:szCs w:val="20"/>
          <w:color w:val="auto"/>
        </w:rPr>
      </w:pPr>
    </w:p>
    <w:p>
      <w:pPr>
        <w:ind w:left="860" w:firstLine="4"/>
        <w:spacing w:after="0" w:line="253" w:lineRule="auto"/>
        <w:tabs>
          <w:tab w:leader="none" w:pos="1623" w:val="left"/>
        </w:tabs>
        <w:numPr>
          <w:ilvl w:val="1"/>
          <w:numId w:val="63"/>
        </w:numPr>
        <w:rPr>
          <w:rFonts w:ascii="Arial" w:cs="Arial" w:eastAsia="Arial" w:hAnsi="Arial"/>
          <w:sz w:val="21"/>
          <w:szCs w:val="21"/>
          <w:color w:val="auto"/>
        </w:rPr>
      </w:pPr>
      <w:r>
        <w:rPr>
          <w:rFonts w:ascii="Arial" w:cs="Arial" w:eastAsia="Arial" w:hAnsi="Arial"/>
          <w:sz w:val="21"/>
          <w:szCs w:val="21"/>
          <w:color w:val="auto"/>
        </w:rPr>
        <w:t>Any Option related to a Tandem Stock Appreciation Right shall no longer be exercisable to the extent the Tandem Stock Appreciation Right has been exercised.</w:t>
      </w:r>
    </w:p>
    <w:p>
      <w:pPr>
        <w:spacing w:after="0" w:line="188" w:lineRule="exact"/>
        <w:rPr>
          <w:rFonts w:ascii="Arial" w:cs="Arial" w:eastAsia="Arial" w:hAnsi="Arial"/>
          <w:sz w:val="21"/>
          <w:szCs w:val="21"/>
          <w:color w:val="auto"/>
        </w:rPr>
      </w:pPr>
    </w:p>
    <w:p>
      <w:pPr>
        <w:ind w:left="1600" w:hanging="736"/>
        <w:spacing w:after="0"/>
        <w:tabs>
          <w:tab w:leader="none" w:pos="1600"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provisions of Stock Appreciation Rights need not be the same with respect to each recipient.</w:t>
      </w:r>
    </w:p>
    <w:p>
      <w:pPr>
        <w:spacing w:after="0" w:line="223" w:lineRule="exact"/>
        <w:rPr>
          <w:rFonts w:ascii="Arial" w:cs="Arial" w:eastAsia="Arial" w:hAnsi="Arial"/>
          <w:sz w:val="21"/>
          <w:szCs w:val="21"/>
          <w:color w:val="auto"/>
        </w:rPr>
      </w:pPr>
    </w:p>
    <w:p>
      <w:pPr>
        <w:jc w:val="both"/>
        <w:ind w:left="860" w:firstLine="4"/>
        <w:spacing w:after="0" w:line="261" w:lineRule="auto"/>
        <w:tabs>
          <w:tab w:leader="none" w:pos="1635"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Committee may impose such other conditions or restrictions on the terms of exercise and the exercise price of any Stock Appreciation Right, as it shall deem appropriate, including providing that the exercise price of a Tandem Stock Appreciation Right may be less than the Fair Market Value on the date of grant if the Tandem Stock Appreciation Right is added to an Option following the date of the grant of the Option. Notwithstanding the foregoing provisions of this Section 6.2(g), but subject to Section 12.2, a Freestanding Stock Appreciation Right shall be evidenced by an electronic or written Award Agreement and generally have the same terms and conditions as Options, including (i) an exercise price not less than Fair Market Value on the date of grant and (ii) a term not greater than 10 years (including an extension of term as provided in Section 5.4 and automatic exercise of an otherwise expiring Award provided in Section 5.5). In addition to the foregoing, but subject to Section 12.2, the base amount of any Stock Appreciation Right shall not be reduced after the date of grant.</w:t>
      </w:r>
    </w:p>
    <w:p>
      <w:pPr>
        <w:spacing w:after="0" w:line="187" w:lineRule="exact"/>
        <w:rPr>
          <w:rFonts w:ascii="Arial" w:cs="Arial" w:eastAsia="Arial" w:hAnsi="Arial"/>
          <w:sz w:val="19"/>
          <w:szCs w:val="19"/>
          <w:color w:val="auto"/>
        </w:rPr>
      </w:pPr>
    </w:p>
    <w:p>
      <w:pPr>
        <w:ind w:left="860" w:firstLine="4"/>
        <w:spacing w:after="0" w:line="253" w:lineRule="auto"/>
        <w:tabs>
          <w:tab w:leader="none" w:pos="1635"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Committee may impose such terms and conditions on Stock Appreciation Rights granted in conjunction with any Award (other than an Option) as the Committee shall determine in its sole discretion.</w:t>
      </w:r>
    </w:p>
    <w:p>
      <w:pPr>
        <w:spacing w:after="0" w:line="186" w:lineRule="exact"/>
        <w:rPr>
          <w:rFonts w:ascii="Arial" w:cs="Arial" w:eastAsia="Arial" w:hAnsi="Arial"/>
          <w:sz w:val="21"/>
          <w:szCs w:val="21"/>
          <w:color w:val="auto"/>
        </w:rPr>
      </w:pPr>
    </w:p>
    <w:p>
      <w:pPr>
        <w:ind w:left="420" w:hanging="417"/>
        <w:spacing w:after="0"/>
        <w:tabs>
          <w:tab w:leader="none" w:pos="420" w:val="left"/>
        </w:tabs>
        <w:numPr>
          <w:ilvl w:val="0"/>
          <w:numId w:val="64"/>
        </w:numPr>
        <w:rPr>
          <w:rFonts w:ascii="Arial" w:cs="Arial" w:eastAsia="Arial" w:hAnsi="Arial"/>
          <w:sz w:val="24"/>
          <w:szCs w:val="24"/>
          <w:b w:val="1"/>
          <w:bCs w:val="1"/>
          <w:color w:val="auto"/>
        </w:rPr>
      </w:pPr>
      <w:r>
        <w:rPr>
          <w:rFonts w:ascii="Arial" w:cs="Arial" w:eastAsia="Arial" w:hAnsi="Arial"/>
          <w:sz w:val="24"/>
          <w:szCs w:val="24"/>
          <w:b w:val="1"/>
          <w:bCs w:val="1"/>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b w:val="1"/>
          <w:bCs w:val="1"/>
          <w:i w:val="1"/>
          <w:iCs w:val="1"/>
          <w:color w:val="auto"/>
        </w:rPr>
        <w:t>Grants</w:t>
      </w:r>
      <w:r>
        <w:rPr>
          <w:rFonts w:ascii="Arial" w:cs="Arial" w:eastAsia="Arial" w:hAnsi="Arial"/>
          <w:sz w:val="21"/>
          <w:szCs w:val="21"/>
          <w:i w:val="1"/>
          <w:iCs w:val="1"/>
          <w:color w:val="auto"/>
        </w:rPr>
        <w:t>.</w:t>
      </w:r>
      <w:r>
        <w:rPr>
          <w:rFonts w:ascii="Arial" w:cs="Arial" w:eastAsia="Arial" w:hAnsi="Arial"/>
          <w:sz w:val="21"/>
          <w:szCs w:val="21"/>
          <w:color w:val="auto"/>
        </w:rPr>
        <w:t xml:space="preserve"> Awards of Restricted Stock may be issued hereunder to Participants either alone or in addition to other Awards granted under the Plan (a “Restricted Stock Award”), and such Restricted Stock Awards shall also be available as a form of payment of Performance Awards and other earned cash-based incentive compensation. A Restricted Stock Award shall be subject to restrictions imposed by the Committee covering a period of time specified by the Committee (the “Restriction Period”). The Committee has absolute discretion to determine whether any consideration (other than services) is to be received by the Company or any Subsidiary as a condition precedent to the issuance of Restricted Stock.</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i w:val="1"/>
          <w:iCs w:val="1"/>
          <w:color w:val="auto"/>
        </w:rPr>
        <w:t>Award Agreements.</w:t>
      </w:r>
      <w:r>
        <w:rPr>
          <w:rFonts w:ascii="Arial" w:cs="Arial" w:eastAsia="Arial" w:hAnsi="Arial"/>
          <w:sz w:val="21"/>
          <w:szCs w:val="21"/>
          <w:color w:val="auto"/>
        </w:rPr>
        <w:t xml:space="preserve"> The terms of any Restricted Stock Award granted under the Plan shall be set forth in an electronic or written Award Agreement which shall contain provisions determined by the Committee and not inconsistent with the Plan. The terms of Restricted Stock Awards need not be the same with respect to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464185</wp:posOffset>
            </wp:positionV>
            <wp:extent cx="729424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2" w:name="page83"/>
    <w:bookmarkEnd w:id="82"/>
    <w:p>
      <w:pPr>
        <w:jc w:val="both"/>
        <w:spacing w:after="0" w:line="236"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i w:val="1"/>
          <w:iCs w:val="1"/>
          <w:color w:val="auto"/>
        </w:rPr>
        <w:t>Rights of Holders of Restricted Stock.</w:t>
      </w:r>
      <w:r>
        <w:rPr>
          <w:rFonts w:ascii="Arial" w:cs="Arial" w:eastAsia="Arial" w:hAnsi="Arial"/>
          <w:sz w:val="21"/>
          <w:szCs w:val="21"/>
          <w:color w:val="auto"/>
        </w:rPr>
        <w:t xml:space="preserve"> Beginning on the date of grant of the Restricted Stock Award and subject to the terms and conditions of the Award, the Participant shall become a shareholder of the Company with respect to all Shares subject to the Award and shall have all of the rights of a shareholder, including the right to vote such Shares and the right to receive distributions made with respect to such Shares; provided, however, that any Shares or any other property (other than cash) distributed as a dividend or otherwise with respect to any Restricted Stock as to which the restrictions have not yet lapsed shall be subject to the same restrictions as such Restricted Stock.</w:t>
      </w: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w:t>
        <w:tab/>
        <w:t>Stock Unit Awards;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i w:val="1"/>
          <w:iCs w:val="1"/>
          <w:color w:val="auto"/>
        </w:rPr>
        <w:t>Grants</w:t>
      </w:r>
      <w:r>
        <w:rPr>
          <w:rFonts w:ascii="Arial" w:cs="Arial" w:eastAsia="Arial" w:hAnsi="Arial"/>
          <w:sz w:val="21"/>
          <w:szCs w:val="21"/>
          <w:i w:val="1"/>
          <w:iCs w:val="1"/>
          <w:color w:val="auto"/>
        </w:rPr>
        <w:t>.</w:t>
      </w:r>
      <w:r>
        <w:rPr>
          <w:rFonts w:ascii="Arial" w:cs="Arial" w:eastAsia="Arial" w:hAnsi="Arial"/>
          <w:sz w:val="21"/>
          <w:szCs w:val="21"/>
          <w:color w:val="auto"/>
        </w:rPr>
        <w:t xml:space="preserve"> Other Awards of units having a value equal to a number of Shares (“Stock Unit Awards”) may be granted hereunder to Participants, in addition to other Awards granted under the Plan. Stock Unit Awards shall also be available as a form of payment of other Awards granted under the Plan and other earned cash-based incentive compensation.</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i w:val="1"/>
          <w:iCs w:val="1"/>
          <w:color w:val="auto"/>
        </w:rPr>
        <w:t>Award Agreements</w:t>
      </w:r>
      <w:r>
        <w:rPr>
          <w:rFonts w:ascii="Arial" w:cs="Arial" w:eastAsia="Arial" w:hAnsi="Arial"/>
          <w:sz w:val="21"/>
          <w:szCs w:val="21"/>
          <w:i w:val="1"/>
          <w:iCs w:val="1"/>
          <w:color w:val="auto"/>
        </w:rPr>
        <w:t>.</w:t>
      </w:r>
      <w:r>
        <w:rPr>
          <w:rFonts w:ascii="Arial" w:cs="Arial" w:eastAsia="Arial" w:hAnsi="Arial"/>
          <w:sz w:val="21"/>
          <w:szCs w:val="21"/>
          <w:color w:val="auto"/>
        </w:rPr>
        <w:t xml:space="preserve"> The terms of Stock Unit Awards granted under the Plan shall be set forth in an electronic or written Award Agreement which shall contain provisions determined by the Committee and not inconsistent with the Plan. The terms of such Awards need not be the same with respect to each Participant.</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xml:space="preserve"> Except as provided in Article 10 or as may be provided in an Award Agreement, Stock Unit Awards may be paid in cash, Shares, other property, or any combination thereof, in the sole discretion of the Committee at the time of payment. Stock Unit Awards may be paid in a lump sum or in installments or, in accordance with procedures established by the Committee, on a deferred basis.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b w:val="1"/>
          <w:bCs w:val="1"/>
          <w:i w:val="1"/>
          <w:iCs w:val="1"/>
          <w:color w:val="auto"/>
        </w:rPr>
        <w:t>Cash Awards</w:t>
      </w:r>
      <w:r>
        <w:rPr>
          <w:rFonts w:ascii="Arial" w:cs="Arial" w:eastAsia="Arial" w:hAnsi="Arial"/>
          <w:sz w:val="20"/>
          <w:szCs w:val="20"/>
          <w:i w:val="1"/>
          <w:iCs w:val="1"/>
          <w:color w:val="auto"/>
        </w:rPr>
        <w:t>.</w:t>
      </w:r>
      <w:r>
        <w:rPr>
          <w:rFonts w:ascii="Arial" w:cs="Arial" w:eastAsia="Arial" w:hAnsi="Arial"/>
          <w:sz w:val="20"/>
          <w:szCs w:val="20"/>
          <w:color w:val="auto"/>
        </w:rPr>
        <w:t xml:space="preserve"> An Employee Award may be in the form of a Cash Award. The terms, conditions and limitations applicable to a Cash Award, including, but not limited to, vesting or other restrictions, shall be determined by the Committee.</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w:t>
        <w:tab/>
        <w:t>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3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i w:val="1"/>
          <w:iCs w:val="1"/>
          <w:color w:val="auto"/>
        </w:rPr>
        <w:t>Grants</w:t>
      </w:r>
      <w:r>
        <w:rPr>
          <w:rFonts w:ascii="Arial" w:cs="Arial" w:eastAsia="Arial" w:hAnsi="Arial"/>
          <w:sz w:val="19"/>
          <w:szCs w:val="19"/>
          <w:i w:val="1"/>
          <w:iCs w:val="1"/>
          <w:color w:val="auto"/>
        </w:rPr>
        <w:t>.</w:t>
      </w:r>
      <w:r>
        <w:rPr>
          <w:rFonts w:ascii="Arial" w:cs="Arial" w:eastAsia="Arial" w:hAnsi="Arial"/>
          <w:sz w:val="19"/>
          <w:szCs w:val="19"/>
          <w:color w:val="auto"/>
        </w:rPr>
        <w:t xml:space="preserve"> Performance Awards in the form of Performance Shares or Performance Units, as determined by the Committee in its sole discretion, may be granted hereunder to Participants, for no consideration or for such minimum consideration as may be required by applicable law, either alone or in addition to other Awards granted under the Plan. The performance goals to be achieved for each Performance Period shall be conclusively determined by the Committee and may be based upon the criteria set forth in Section 10.2.</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xml:space="preserve"> The terms of any Performance Award granted under the Plan shall be set forth in an electronic or written Award Agreement which shall contain provisions determined by the Committee and not inconsistent with the Plan, including whether such Awards shall have Dividend Equivalents. The terms of Performance Awards need not be the same with respect to each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431800</wp:posOffset>
            </wp:positionV>
            <wp:extent cx="729424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3" w:name="page84"/>
    <w:bookmarkEnd w:id="83"/>
    <w:p>
      <w:pPr>
        <w:jc w:val="both"/>
        <w:spacing w:after="0" w:line="242"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b w:val="1"/>
          <w:bCs w:val="1"/>
          <w:i w:val="1"/>
          <w:iCs w:val="1"/>
          <w:color w:val="auto"/>
        </w:rPr>
        <w:t>Terms and Conditions</w:t>
      </w:r>
      <w:r>
        <w:rPr>
          <w:rFonts w:ascii="Arial" w:cs="Arial" w:eastAsia="Arial" w:hAnsi="Arial"/>
          <w:sz w:val="21"/>
          <w:szCs w:val="21"/>
          <w:i w:val="1"/>
          <w:iCs w:val="1"/>
          <w:color w:val="auto"/>
        </w:rPr>
        <w:t>.</w:t>
      </w:r>
      <w:r>
        <w:rPr>
          <w:rFonts w:ascii="Arial" w:cs="Arial" w:eastAsia="Arial" w:hAnsi="Arial"/>
          <w:sz w:val="21"/>
          <w:szCs w:val="21"/>
          <w:color w:val="auto"/>
        </w:rPr>
        <w:t xml:space="preserve"> The performance criteria to be achieved during any Performance Period and the length of the Performance Period shall be determined by the Committee upon the grant of each Performance Award. The amount of the Award to be distributed shall be conclusively determined by the Committee.</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xml:space="preserve"> Except as provided in Article 11 or as may be provided in an Award Agreement, Performance Awards will be distributed only after the end of the relevant Performance Period. Performance Awards may be paid in cash, Shares, other property, or any combination thereof, in the sole discretion of the Committee at the time of payment. Performance Awards may be paid in a lump sum or in installments following the close of the Performance Period or, in accordance with procedures established by the Committee, on a deferred basis.</w:t>
      </w:r>
    </w:p>
    <w:p>
      <w:pPr>
        <w:spacing w:after="0" w:line="201" w:lineRule="exact"/>
        <w:rPr>
          <w:sz w:val="20"/>
          <w:szCs w:val="20"/>
          <w:color w:val="auto"/>
        </w:rPr>
      </w:pPr>
    </w:p>
    <w:p>
      <w:pPr>
        <w:spacing w:after="0"/>
        <w:tabs>
          <w:tab w:leader="none" w:pos="520" w:val="left"/>
        </w:tabs>
        <w:rPr>
          <w:sz w:val="20"/>
          <w:szCs w:val="20"/>
          <w:color w:val="auto"/>
        </w:rPr>
      </w:pPr>
      <w:r>
        <w:rPr>
          <w:rFonts w:ascii="Arial" w:cs="Arial" w:eastAsia="Arial" w:hAnsi="Arial"/>
          <w:sz w:val="24"/>
          <w:szCs w:val="24"/>
          <w:b w:val="1"/>
          <w:bCs w:val="1"/>
          <w:color w:val="auto"/>
        </w:rPr>
        <w:t>10.</w:t>
        <w:tab/>
        <w:t>Code Section 162(m)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b w:val="1"/>
          <w:bCs w:val="1"/>
          <w:i w:val="1"/>
          <w:iCs w:val="1"/>
          <w:color w:val="auto"/>
        </w:rPr>
        <w:t>Covered Employees</w:t>
      </w:r>
      <w:r>
        <w:rPr>
          <w:rFonts w:ascii="Arial" w:cs="Arial" w:eastAsia="Arial" w:hAnsi="Arial"/>
          <w:sz w:val="21"/>
          <w:szCs w:val="21"/>
          <w:i w:val="1"/>
          <w:iCs w:val="1"/>
          <w:color w:val="auto"/>
        </w:rPr>
        <w:t>.</w:t>
      </w:r>
      <w:r>
        <w:rPr>
          <w:rFonts w:ascii="Arial" w:cs="Arial" w:eastAsia="Arial" w:hAnsi="Arial"/>
          <w:sz w:val="21"/>
          <w:szCs w:val="21"/>
          <w:color w:val="auto"/>
        </w:rPr>
        <w:t xml:space="preserve"> Notwithstanding any other provision of the Plan, if the Committee determines at the time a Restricted Stock Award, a Performance Award, a Stock Unit Award, or Cash Award is granted to a Participant who is, or is likely to be, as of the end of the tax year in which the Company would claim a tax deduction in connection with such Award, a Covered Employee, then the Committee may provide that this Article 10 is applicable to such Award.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xml:space="preserve"> If the Committee determines that a Restricted Stock Award, a Performance Award, a Stock Unit Award, or Cash Award is subject to this Article 10, the lapsing of restrictions thereon and the distribution of cash, Shares or other property pursuant thereto, as applicable, shall be subject to the achievement of one or more objective performance goals established by the Committee, which shall be based on the attainment of specified levels of one or any combination of the following: revenues; booking of orders; earnings, or some derivative thereof such as earnings before interest and taxes (“EBIT”), earnings before interest, taxes, depreciation and amortization (“EBITDA”), or earnings per share; operating income; pre- or after-tax income; cash flow; net earnings; return on equity (“ROE”); return on capital (including return on total capital or return on invested capital); return on assets or net assets; economic value added (“EVA”) (or an equivalent metric); margins; share price performance; total shareholder return (“TSR”); improvement in or attainment of expense levels; safety performance; on-time delivery; and improvement in or attainment of working capital levels of the Company or any Subsidiary, division, business unit or product line of the Company for or within which the Participant is primarily employed. Such performance goals also may be based solely by reference to the Company’s performance or the performance of a Subsidiary, division, business unit or product line of the Company, or based upon the relative performance of other companies or upon comparisons of any of the indicators of performance relative to other companies. Such performance goals shall be set by the Committee within the time period prescribed by, and shall otherwise comply with the requirements of, Section 162(m) of the Code, and the regulations thereunder. The Committee may provide in any such Performance Award that any evaluation of performance may include or exclude certain events that occur during a Performance Period including but not limited to: (i) amortization, depreciation or impairment of tangible or intangible assets, (ii) litigation or claim judgments or settlements, (iii) the effect of changes in tax law, accounting principles or other laws or provisions affecting reported results, (iv) accruals for reorganization and restructuring programs or reductions in force or early retirement programs, (v) any extraordinary non-recurring items that may be defined in an objective and non-discretionary manner under or by reference to U.S. Generally Accepted Accounting Principles, accounting standards or other applicable accounting standards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318770</wp:posOffset>
            </wp:positionV>
            <wp:extent cx="729424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4" w:name="page85"/>
    <w:bookmarkEnd w:id="84"/>
    <w:p>
      <w:pPr>
        <w:jc w:val="both"/>
        <w:spacing w:after="0" w:line="265" w:lineRule="auto"/>
        <w:rPr>
          <w:sz w:val="20"/>
          <w:szCs w:val="20"/>
          <w:color w:val="auto"/>
        </w:rPr>
      </w:pPr>
      <w:r>
        <w:rPr>
          <w:rFonts w:ascii="Arial" w:cs="Arial" w:eastAsia="Arial" w:hAnsi="Arial"/>
          <w:sz w:val="19"/>
          <w:szCs w:val="19"/>
          <w:color w:val="auto"/>
        </w:rPr>
        <w:t>from time to time and/or in management’s discussion and analysis of financial condition and results of operations appearing in the Company’s annual report to stockholders for the applicable year, (vi) the sale of investments or non-core assets; (vii) discontinued operations, categories or segments; (viii) investments, acquisitions or dispositions; (ix) political, legal and other business interruptions (such as due to war, insurrection, riot, terrorism, confiscation, expropriation, nationalization, deprivation, seizure, and regulatory requirements); (x) natural catastrophes; (xi) currency fluctuations; (xii) stock based compensation expense; (xiii) stock repurchases; (xiv) early retirement of debt; (xv) conversion of convertible debt securities; and (xvi) termination of real estate leases.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b w:val="1"/>
          <w:bCs w:val="1"/>
          <w:i w:val="1"/>
          <w:iCs w:val="1"/>
          <w:color w:val="auto"/>
        </w:rPr>
        <w:t>Adjustments.</w:t>
      </w:r>
      <w:r>
        <w:rPr>
          <w:rFonts w:ascii="Arial" w:cs="Arial" w:eastAsia="Arial" w:hAnsi="Arial"/>
          <w:sz w:val="21"/>
          <w:szCs w:val="21"/>
          <w:color w:val="auto"/>
        </w:rPr>
        <w:t xml:space="preserve"> Notwithstanding any provision of the Plan (other than Article 12), with respect to any Restricted Stock, Performance Award, Stock Unit Award, or Cash Award that is subject to this Section 10, the Committee may adjust downwards, but not upwards, the amount payable pursuant to such Award, and the Committee may not waive the achievement of the applicable performance goals, except in the case of the death or disability of the Participant or change of control or as otherwise determined by the Committee in special circumstances.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b w:val="1"/>
          <w:bCs w:val="1"/>
          <w:i w:val="1"/>
          <w:iCs w:val="1"/>
          <w:color w:val="auto"/>
        </w:rPr>
        <w:t>Restrictions.</w:t>
      </w:r>
      <w:r>
        <w:rPr>
          <w:rFonts w:ascii="Arial" w:cs="Arial" w:eastAsia="Arial" w:hAnsi="Arial"/>
          <w:sz w:val="21"/>
          <w:szCs w:val="21"/>
          <w:color w:val="auto"/>
        </w:rPr>
        <w:t xml:space="preserve"> The Committee shall have the power to impose such other restrictions on Awards subject to this Article as it may deem necessary or appropriate to ensure that such Awards satisfy all requirements for “performance-based compensation” within the meaning of Section 162(m) of the Code.</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b w:val="1"/>
          <w:bCs w:val="1"/>
          <w:i w:val="1"/>
          <w:iCs w:val="1"/>
          <w:color w:val="auto"/>
        </w:rPr>
        <w:t>Limitations on Grants to Individual Participant</w:t>
      </w:r>
      <w:r>
        <w:rPr>
          <w:rFonts w:ascii="Arial" w:cs="Arial" w:eastAsia="Arial" w:hAnsi="Arial"/>
          <w:sz w:val="19"/>
          <w:szCs w:val="19"/>
          <w:i w:val="1"/>
          <w:iCs w:val="1"/>
          <w:color w:val="auto"/>
        </w:rPr>
        <w:t>.</w:t>
      </w:r>
      <w:r>
        <w:rPr>
          <w:rFonts w:ascii="Arial" w:cs="Arial" w:eastAsia="Arial" w:hAnsi="Arial"/>
          <w:sz w:val="19"/>
          <w:szCs w:val="19"/>
          <w:color w:val="auto"/>
        </w:rPr>
        <w:t xml:space="preserve"> Subject to adjustment as provided in Section 12.2, no Participant may be granted (i) Options or Stock Appreciation Rights during any calendar year with respect to more than 1,500,000 Shares, (ii) Restricted Stock, Performance Awards and/or Stock Unit Awards that are denominated in Shares in any calendar year with respect to more than 1,500,000 Shares (the “Limitations”). In addition to the foregoing, the maximum dollar value payable to any Participant in any calendar year with respect to a Cash Award that is a Performance Award is $5,000,000 If an Award is cancelled, the cancelled Award shall continue to (including a Performance Unit denominated in cash) be counted toward the applicable Limitations.</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4"/>
          <w:szCs w:val="24"/>
          <w:b w:val="1"/>
          <w:bCs w:val="1"/>
          <w:color w:val="auto"/>
        </w:rPr>
        <w:t>11.</w:t>
        <w:tab/>
        <w:t>Cancellation of Award; Clawbacks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Notwithstanding anything to the contrary contained herein, (1) an Award Agreement may provide that the Award shall be canceled if the Participant, without the consent of the Company, while employed by the Company or any Subsidiary or after termination of such employment or service, establishes a relationship with a competitor of the Company or any Subsidiary or engages in activity that is in conflict with or adverse to the interest of the Company or any Subsidiary, as determined by the Committee in its sole discretion and (2) all Awards shall be subject to any clawback policy adopted by the Company whether before or after the grant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481330</wp:posOffset>
            </wp:positionV>
            <wp:extent cx="729424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5" w:name="page86"/>
    <w:bookmarkEnd w:id="85"/>
    <w:p>
      <w:pPr>
        <w:spacing w:after="0"/>
        <w:tabs>
          <w:tab w:leader="none" w:pos="520" w:val="left"/>
        </w:tabs>
        <w:rPr>
          <w:sz w:val="20"/>
          <w:szCs w:val="20"/>
          <w:color w:val="auto"/>
        </w:rPr>
      </w:pPr>
      <w:r>
        <w:rPr>
          <w:rFonts w:ascii="Arial" w:cs="Arial" w:eastAsia="Arial" w:hAnsi="Arial"/>
          <w:sz w:val="21"/>
          <w:szCs w:val="21"/>
          <w:b w:val="1"/>
          <w:bCs w:val="1"/>
          <w:color w:val="auto"/>
        </w:rPr>
        <w:t>12.</w:t>
        <w:tab/>
        <w:t>Generally Applicable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2523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b w:val="1"/>
          <w:bCs w:val="1"/>
          <w:i w:val="1"/>
          <w:iCs w:val="1"/>
          <w:color w:val="auto"/>
        </w:rPr>
        <w:t>Amendment, Modification, Suspension or Termination</w:t>
      </w:r>
      <w:r>
        <w:rPr>
          <w:rFonts w:ascii="Arial" w:cs="Arial" w:eastAsia="Arial" w:hAnsi="Arial"/>
          <w:sz w:val="19"/>
          <w:szCs w:val="19"/>
          <w:i w:val="1"/>
          <w:iCs w:val="1"/>
          <w:color w:val="auto"/>
        </w:rPr>
        <w:t>.</w:t>
      </w:r>
      <w:r>
        <w:rPr>
          <w:rFonts w:ascii="Arial" w:cs="Arial" w:eastAsia="Arial" w:hAnsi="Arial"/>
          <w:sz w:val="19"/>
          <w:szCs w:val="19"/>
          <w:color w:val="auto"/>
        </w:rPr>
        <w:t xml:space="preserve"> The Board may amend, modify, suspend or terminate this Plan (and the Committee may amend an Award Agreement) for the purpose of meeting or addressing any changes in legal requirements or for any other purpose permitted by law, except that (1) no amendment or alteration that would adversely affect the rights of any Participant under any Award previously granted to such Participant shall be made without the consent of such Participant and (2) no amendment or alteration shall be effective prior to its approval by the stockholders of the Company to the extent stockholder approval is otherwise required by applicable legal requirements or the requirements of the securities exchange on which the Company’s stock is listed, including any amendment that expands the types of Awards available under this Plan, materially increases the number of Shares available for Awards under this Plan, materially expands the classes of persons eligible for Awards under this Plan, materially extends the term of this Plan, materially changes the method of determining the exercise price of Options, or deletes or limits any provisions of this Plan that prohibit the repricing of Options or SARs.</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7"/>
          <w:szCs w:val="17"/>
          <w:b w:val="1"/>
          <w:bCs w:val="1"/>
          <w:i w:val="1"/>
          <w:iCs w:val="1"/>
          <w:color w:val="auto"/>
        </w:rPr>
        <w:t>Adjustments.</w:t>
      </w:r>
    </w:p>
    <w:p>
      <w:pPr>
        <w:spacing w:after="0" w:line="224" w:lineRule="exact"/>
        <w:rPr>
          <w:sz w:val="20"/>
          <w:szCs w:val="20"/>
          <w:color w:val="auto"/>
        </w:rPr>
      </w:pPr>
    </w:p>
    <w:p>
      <w:pPr>
        <w:jc w:val="both"/>
        <w:ind w:left="860" w:firstLine="4"/>
        <w:spacing w:after="0" w:line="282" w:lineRule="auto"/>
        <w:tabs>
          <w:tab w:leader="none" w:pos="16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existence of outstanding Awards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Shares)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68" w:lineRule="exact"/>
        <w:rPr>
          <w:rFonts w:ascii="Arial" w:cs="Arial" w:eastAsia="Arial" w:hAnsi="Arial"/>
          <w:sz w:val="18"/>
          <w:szCs w:val="18"/>
          <w:color w:val="auto"/>
        </w:rPr>
      </w:pPr>
    </w:p>
    <w:p>
      <w:pPr>
        <w:jc w:val="both"/>
        <w:ind w:left="860" w:firstLine="4"/>
        <w:spacing w:after="0" w:line="259" w:lineRule="auto"/>
        <w:tabs>
          <w:tab w:leader="none" w:pos="17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of any subdivision or consolidation of outstanding shares of Common Stock, declaration of a dividend payable in Shares or other stock split, then (1) the number of Shares reserved under this Plan, (2) the number of Shares covered by outstanding Awards in the form of Shares or units denominated in Shares, (3) the exercise price or other price in respect of such Awards, (4) the Limitations, and (5) the appropriate Fair Market Value and other price determinations for such Awards shall each be proportionately adjusted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the Shares or any distribution to holders of Shares of securities or property (other than normal cash dividends or dividends payable in Shares), the Committee shall make appropriate adjustments to (i) the number and kind of shares covered by Awards in the form of Shares or units denominated in Shares, (ii) the exercise price or other price in respect of such Awards, (iii) the appropriate Fair Market Value and other price determinations for such Awards, and (iv) the Limitations to reflect such transaction; provided that such adjustments shall only be such as are necessary to maintain the proportionate interest of the holders of the Awards and preserve, without increasing, the value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458470</wp:posOffset>
            </wp:positionV>
            <wp:extent cx="729424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86" w:name="page87"/>
    <w:bookmarkEnd w:id="86"/>
    <w:p>
      <w:pPr>
        <w:jc w:val="both"/>
        <w:ind w:left="860" w:firstLine="4"/>
        <w:spacing w:after="0" w:line="246" w:lineRule="auto"/>
        <w:tabs>
          <w:tab w:leader="none" w:pos="1623"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connection with a corporate merger, consolidation, acquisition of property or stock, separation, reorganization or liquidation, the Committee may make such adjustments to Awards or other provisions for the disposition of Awards as it deems equitable, and shall be authorized, in its discretion, (1) to provide for the substitution of a new Award or other arrangement (which, if applicable, may be exercisable for such property or stock as the Committee determines) for an Award or the assumption of the Award, regardless of whether in a transaction to which Code Section 424(a) applies, (2) to provide for the acceleration of the vesting and exercisability of, or lapse of restrictions with respect to, the Award and, if the transaction is a cash merger, provide for the termination of any portion of the Award that remains unexercised at the time of such transaction, or (3) to cancel any such Awards and to deliver to the Participants cash in an amount that the Committee shall determine in its sole discretion is equal to the fair market value of such Awards on the date of such event, which in the case of Options or Stock Appreciation Rights shall be the excess of the Fair Market Value of Common Stock on such date over the Option or base price of such Award.</w:t>
      </w:r>
    </w:p>
    <w:p>
      <w:pPr>
        <w:spacing w:after="0" w:line="197" w:lineRule="exact"/>
        <w:rPr>
          <w:rFonts w:ascii="Arial" w:cs="Arial" w:eastAsia="Arial" w:hAnsi="Arial"/>
          <w:sz w:val="20"/>
          <w:szCs w:val="20"/>
          <w:color w:val="auto"/>
        </w:rPr>
      </w:pPr>
    </w:p>
    <w:p>
      <w:pPr>
        <w:ind w:left="860" w:firstLine="4"/>
        <w:spacing w:after="0" w:line="253" w:lineRule="auto"/>
        <w:tabs>
          <w:tab w:leader="none" w:pos="1635" w:val="left"/>
        </w:tabs>
        <w:numPr>
          <w:ilvl w:val="0"/>
          <w:numId w:val="66"/>
        </w:numPr>
        <w:rPr>
          <w:rFonts w:ascii="Arial" w:cs="Arial" w:eastAsia="Arial" w:hAnsi="Arial"/>
          <w:sz w:val="21"/>
          <w:szCs w:val="21"/>
          <w:color w:val="auto"/>
        </w:rPr>
      </w:pPr>
      <w:r>
        <w:rPr>
          <w:rFonts w:ascii="Arial" w:cs="Arial" w:eastAsia="Arial" w:hAnsi="Arial"/>
          <w:sz w:val="21"/>
          <w:szCs w:val="21"/>
          <w:color w:val="auto"/>
        </w:rPr>
        <w:t>No adjustment or substitution pursuant to this Section 12.2 shall be made in a manner that results in noncompliance with the requirements of Code Section 409A, to the extent applicable.</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b w:val="1"/>
          <w:bCs w:val="1"/>
          <w:i w:val="1"/>
          <w:iCs w:val="1"/>
          <w:color w:val="auto"/>
        </w:rPr>
        <w:t>Transferability of Awards.</w:t>
      </w:r>
      <w:r>
        <w:rPr>
          <w:rFonts w:ascii="Arial" w:cs="Arial" w:eastAsia="Arial" w:hAnsi="Arial"/>
          <w:sz w:val="19"/>
          <w:szCs w:val="19"/>
          <w:color w:val="auto"/>
        </w:rPr>
        <w:t xml:space="preserve"> Except as provided below, and except as otherwise authorized by the Committee in an Award Agreement, no Award and no Shares subject to Awards described in Article 8 that have not been issued or as to which any applicable restriction, performance or deferral period has not lapsed, may be sold, assigned, transferred, pledged or otherwise encumbered, other than by will or the laws of descent and distribution, or pursuant to a qualified domestic relations order, and such Award may be exercised during the life of the Participant only by the Participant or the Participant’s guardian or legal representative. Notwithstanding the foregoing, a Participant may assign or transfer an Award (i) for charitable donations, (ii) to the Participant’s spouse, children or grandchildren (including any adopted and stepchildren and grandchildren, (iii) a trust for the benefit of one or more of the Participant or the persons referred to in clause (ii), or (iv) any other person with the consent of the Committee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 The Company shall cooperate with any Permitted Assignee and the Company’s transfer agent in effectuating any transfer permitted under this Section.</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b w:val="1"/>
          <w:bCs w:val="1"/>
          <w:i w:val="1"/>
          <w:iCs w:val="1"/>
          <w:color w:val="auto"/>
        </w:rPr>
        <w:t>Termination of Employment</w:t>
      </w:r>
      <w:r>
        <w:rPr>
          <w:rFonts w:ascii="Arial" w:cs="Arial" w:eastAsia="Arial" w:hAnsi="Arial"/>
          <w:sz w:val="20"/>
          <w:szCs w:val="20"/>
          <w:i w:val="1"/>
          <w:iCs w:val="1"/>
          <w:color w:val="auto"/>
        </w:rPr>
        <w:t>.</w:t>
      </w:r>
      <w:r>
        <w:rPr>
          <w:rFonts w:ascii="Arial" w:cs="Arial" w:eastAsia="Arial" w:hAnsi="Arial"/>
          <w:sz w:val="20"/>
          <w:szCs w:val="20"/>
          <w:color w:val="auto"/>
        </w:rPr>
        <w:t xml:space="preserve"> The Committee shall determine and set forth in each Award Agreement whether any Awards granted in such Award Agreement will continue to be exercisable, and the terms of such exercise, on and after the date that a Participant ceases to be employed by or to provide services to the Company or any Subsidiary (including as a Director), whether by reason of death, disability, voluntary or involuntary termination of employment or services, or otherwise. The date of termination of a Participant’s employment or services will be determined by the Committee, which determination will be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459740</wp:posOffset>
            </wp:positionV>
            <wp:extent cx="729424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7" w:name="page88"/>
    <w:bookmarkEnd w:id="87"/>
    <w:p>
      <w:pPr>
        <w:jc w:val="both"/>
        <w:spacing w:after="0" w:line="246"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b w:val="1"/>
          <w:bCs w:val="1"/>
          <w:i w:val="1"/>
          <w:iCs w:val="1"/>
          <w:color w:val="auto"/>
        </w:rPr>
        <w:t>Deferral; Dividend Equivalents</w:t>
      </w:r>
      <w:r>
        <w:rPr>
          <w:rFonts w:ascii="Arial" w:cs="Arial" w:eastAsia="Arial" w:hAnsi="Arial"/>
          <w:sz w:val="20"/>
          <w:szCs w:val="20"/>
          <w:i w:val="1"/>
          <w:iCs w:val="1"/>
          <w:color w:val="auto"/>
        </w:rPr>
        <w:t>.</w:t>
      </w:r>
      <w:r>
        <w:rPr>
          <w:rFonts w:ascii="Arial" w:cs="Arial" w:eastAsia="Arial" w:hAnsi="Arial"/>
          <w:sz w:val="20"/>
          <w:szCs w:val="20"/>
          <w:color w:val="auto"/>
        </w:rPr>
        <w:t xml:space="preserve"> The Committee shall be authorized to establish procedures pursuant to which the payment of any Award may be deferred. Subject to the provisions of the Plan and any Award Agreement, the recipient of an Award (including any deferred Award) may, if so determined by the Committee, be entitled to receive, currently or on a deferred basis, cash, stock or other property dividends, or cash payments in amounts equivalent to cash, stock or other property dividends on Shares (“Dividend Equivalents”) with respect to the number of Shares covered by the Award, as determined by the Committee, in its sole discretion. The Committee may provide that such amounts and Dividend Equivalents (if any) shall be deemed to have been reinvested in additional Shares or otherwise reinvested and may provide that such as amounts and Dividend Equivalents are subject to the same vesting or performance conditions as the underlying Award. Dividend Equivalents attributable to Performance Awards shall not be paid out before the underlying Performance Award has been earned. No Dividend Equivalents shall be granted in connection with an Option or a Stock Appreciation Right.</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b w:val="1"/>
          <w:bCs w:val="1"/>
          <w:i w:val="1"/>
          <w:iCs w:val="1"/>
          <w:color w:val="auto"/>
        </w:rPr>
        <w:t>Restrictions.</w:t>
      </w:r>
      <w:r>
        <w:rPr>
          <w:rFonts w:ascii="Arial" w:cs="Arial" w:eastAsia="Arial" w:hAnsi="Arial"/>
          <w:sz w:val="19"/>
          <w:szCs w:val="19"/>
          <w:color w:val="auto"/>
        </w:rPr>
        <w:t xml:space="preserve"> No Common Stock or other form of payment shall be issued with respect to any Award unless the 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83" w:lineRule="exact"/>
        <w:rPr>
          <w:sz w:val="20"/>
          <w:szCs w:val="20"/>
          <w:color w:val="auto"/>
        </w:rPr>
      </w:pPr>
    </w:p>
    <w:p>
      <w:pPr>
        <w:spacing w:after="0"/>
        <w:tabs>
          <w:tab w:leader="none" w:pos="520" w:val="left"/>
        </w:tabs>
        <w:rPr>
          <w:sz w:val="20"/>
          <w:szCs w:val="20"/>
          <w:color w:val="auto"/>
        </w:rPr>
      </w:pPr>
      <w:r>
        <w:rPr>
          <w:rFonts w:ascii="Arial" w:cs="Arial" w:eastAsia="Arial" w:hAnsi="Arial"/>
          <w:sz w:val="24"/>
          <w:szCs w:val="24"/>
          <w:b w:val="1"/>
          <w:bCs w:val="1"/>
          <w:color w:val="auto"/>
        </w:rPr>
        <w:t>13.</w:t>
        <w:tab/>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3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8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i w:val="1"/>
          <w:iCs w:val="1"/>
          <w:color w:val="auto"/>
        </w:rPr>
        <w:t>Tax Withholding</w:t>
      </w:r>
      <w:r>
        <w:rPr>
          <w:rFonts w:ascii="Arial" w:cs="Arial" w:eastAsia="Arial" w:hAnsi="Arial"/>
          <w:sz w:val="19"/>
          <w:szCs w:val="19"/>
          <w:i w:val="1"/>
          <w:iCs w:val="1"/>
          <w:color w:val="auto"/>
        </w:rPr>
        <w:t>.</w:t>
      </w:r>
      <w:r>
        <w:rPr>
          <w:rFonts w:ascii="Arial" w:cs="Arial" w:eastAsia="Arial" w:hAnsi="Arial"/>
          <w:sz w:val="19"/>
          <w:szCs w:val="19"/>
          <w:color w:val="auto"/>
        </w:rPr>
        <w:t xml:space="preserve"> The Company shall have the right to make all payments or distributions pursuant to the Plan to a Participant (or a Permitted Assignee thereof) (any such person, a “Payee”) net of any applicable federal, state and local taxes required to be paid or withheld as a result of (a) the grant of any Award, (b) the exercise of an Option or Stock Appreciation Right, (c) the delivery of Shares or cash, (d) the lapse of any restrictions in connection with any Award or (e) any other event occurring pursuant to the Plan. The Company or any Subsidiary shall have the right to withhold from wages or other amounts otherwise payable to such Payee such withholding taxes as may be required by law, or to otherwise require the Payee to pay such withholding taxes. If the Payee shall fail to make such tax payments as are required, the Company or its Subsidiaries shall, to the extent permitted by law, have the right to deduct any such taxes from any payment of any kind otherwise due to such Payee or to take such other action as may be necessary to satisfy such withholding obligations. The Committee shall be authorized to establish procedures for election by Participants to satisfy such obligation for the payment of such taxes by tendering previously acquired Shares (either actually or by attestation, valued at their then Fair Market Value), or by directing the Company to retain Shares (up to the Participant’s minimum required tax withholding rate or such other rate that will not trigger a negative accounting impact) otherwise deliverable in connection with the Award.</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i w:val="1"/>
          <w:iCs w:val="1"/>
          <w:color w:val="auto"/>
        </w:rPr>
        <w:t>Right of Discharge Reserved; Claims to Awards</w:t>
      </w:r>
      <w:r>
        <w:rPr>
          <w:rFonts w:ascii="Arial" w:cs="Arial" w:eastAsia="Arial" w:hAnsi="Arial"/>
          <w:sz w:val="20"/>
          <w:szCs w:val="20"/>
          <w:i w:val="1"/>
          <w:iCs w:val="1"/>
          <w:color w:val="auto"/>
        </w:rPr>
        <w:t>.</w:t>
      </w:r>
      <w:r>
        <w:rPr>
          <w:rFonts w:ascii="Arial" w:cs="Arial" w:eastAsia="Arial" w:hAnsi="Arial"/>
          <w:sz w:val="20"/>
          <w:szCs w:val="20"/>
          <w:color w:val="auto"/>
        </w:rPr>
        <w:t xml:space="preserve"> Nothing in the Plan nor the grant of an Award hereunder shall confer upon any Employee or Director the right to continue in the employment or service of the Company or any Subsidiary or affect any right that the Company or any Subsidiary may have to terminate the employment or service of (or to demote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305435</wp:posOffset>
            </wp:positionV>
            <wp:extent cx="729424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8" w:name="page89"/>
    <w:bookmarkEnd w:id="88"/>
    <w:p>
      <w:pPr>
        <w:jc w:val="both"/>
        <w:spacing w:after="0" w:line="254" w:lineRule="auto"/>
        <w:rPr>
          <w:sz w:val="20"/>
          <w:szCs w:val="20"/>
          <w:color w:val="auto"/>
        </w:rPr>
      </w:pPr>
      <w:r>
        <w:rPr>
          <w:rFonts w:ascii="Arial" w:cs="Arial" w:eastAsia="Arial" w:hAnsi="Arial"/>
          <w:sz w:val="20"/>
          <w:szCs w:val="20"/>
          <w:color w:val="auto"/>
        </w:rPr>
        <w:t>exclude from future Awards under the Plan) any such Employee or Director at any time for any reason. Except as specifically provided by the Committee, the Company shall not be liable for the loss of existing or potential profit from an Award granted in the event of termination of an employment or other relationship. No Employee or Director shall have any claim to be granted any Award under the Plan, and there is no obligation for uniformity of treatment of Employees or Directors under the Plan.</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b w:val="1"/>
          <w:bCs w:val="1"/>
          <w:i w:val="1"/>
          <w:iCs w:val="1"/>
          <w:color w:val="auto"/>
        </w:rPr>
        <w:t>Prospective Recipient</w:t>
      </w:r>
      <w:r>
        <w:rPr>
          <w:rFonts w:ascii="Arial" w:cs="Arial" w:eastAsia="Arial" w:hAnsi="Arial"/>
          <w:sz w:val="21"/>
          <w:szCs w:val="21"/>
          <w:i w:val="1"/>
          <w:iCs w:val="1"/>
          <w:color w:val="auto"/>
        </w:rPr>
        <w:t>.</w:t>
      </w:r>
      <w:r>
        <w:rPr>
          <w:rFonts w:ascii="Arial" w:cs="Arial" w:eastAsia="Arial" w:hAnsi="Arial"/>
          <w:sz w:val="21"/>
          <w:szCs w:val="21"/>
          <w:color w:val="auto"/>
        </w:rPr>
        <w:t xml:space="preserve"> The prospective recipient of any Award under the Plan shall not, with respect to such Award, be deemed to have become a Participant, or to have any rights with respect to such Award, until and unless such recipient shall have complied with the then applicable terms and conditions of the Award.</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b w:val="1"/>
          <w:bCs w:val="1"/>
          <w:i w:val="1"/>
          <w:iCs w:val="1"/>
          <w:color w:val="auto"/>
        </w:rPr>
        <w:t>Stop-Transfer Orders</w:t>
      </w:r>
      <w:r>
        <w:rPr>
          <w:rFonts w:ascii="Arial" w:cs="Arial" w:eastAsia="Arial" w:hAnsi="Arial"/>
          <w:sz w:val="21"/>
          <w:szCs w:val="21"/>
          <w:i w:val="1"/>
          <w:iCs w:val="1"/>
          <w:color w:val="auto"/>
        </w:rPr>
        <w:t>.</w:t>
      </w:r>
      <w:r>
        <w:rPr>
          <w:rFonts w:ascii="Arial" w:cs="Arial" w:eastAsia="Arial" w:hAnsi="Arial"/>
          <w:sz w:val="21"/>
          <w:szCs w:val="21"/>
          <w:color w:val="auto"/>
        </w:rPr>
        <w:t xml:space="preserve"> All certificates for Shares delivered under the Plan pursuant to any Award shall be subject to such stop-transfer orders and other restrictions as the Committee may deem advisable under the rules, regulations and other requirements of the Securities and Exchange Commission, any stock exchange upon which the Shares are then listed, and any applicable federal or state securities law, and the Committee may cause a legend or legends to be put on any such certificates to make appropriate reference to such restrictions.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b w:val="1"/>
          <w:bCs w:val="1"/>
          <w:i w:val="1"/>
          <w:iCs w:val="1"/>
          <w:color w:val="auto"/>
        </w:rPr>
        <w:t>Nature of Payments</w:t>
      </w:r>
      <w:r>
        <w:rPr>
          <w:rFonts w:ascii="Arial" w:cs="Arial" w:eastAsia="Arial" w:hAnsi="Arial"/>
          <w:sz w:val="19"/>
          <w:szCs w:val="19"/>
          <w:i w:val="1"/>
          <w:iCs w:val="1"/>
          <w:color w:val="auto"/>
        </w:rPr>
        <w:t>.</w:t>
      </w:r>
      <w:r>
        <w:rPr>
          <w:rFonts w:ascii="Arial" w:cs="Arial" w:eastAsia="Arial" w:hAnsi="Arial"/>
          <w:sz w:val="19"/>
          <w:szCs w:val="19"/>
          <w:color w:val="auto"/>
        </w:rPr>
        <w:t xml:space="preserve"> All Awards made pursuant to the Plan are in consideration of services performed or to be performed for the Company or any Subsidiary, division or business unit of the Company. Any income or gain realized pursuant to Awards under the Plan and any Stock Appreciation Rights constitute a special incentive payment to the Participant and shall not be taken into account, to the extent permissible under applicable law, as compensation for purposes of any of the employee benefit plans of the Company or any Subsidiary except as may be determined by the Committee or by the Board or board of directors of the applicable Subsidiary.</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b w:val="1"/>
          <w:bCs w:val="1"/>
          <w:i w:val="1"/>
          <w:iCs w:val="1"/>
          <w:color w:val="auto"/>
        </w:rPr>
        <w:t>Other Plans</w:t>
      </w:r>
      <w:r>
        <w:rPr>
          <w:rFonts w:ascii="Arial" w:cs="Arial" w:eastAsia="Arial" w:hAnsi="Arial"/>
          <w:sz w:val="21"/>
          <w:szCs w:val="21"/>
          <w:i w:val="1"/>
          <w:iCs w:val="1"/>
          <w:color w:val="auto"/>
        </w:rPr>
        <w:t>.</w:t>
      </w:r>
      <w:r>
        <w:rPr>
          <w:rFonts w:ascii="Arial" w:cs="Arial" w:eastAsia="Arial" w:hAnsi="Arial"/>
          <w:sz w:val="21"/>
          <w:szCs w:val="21"/>
          <w:color w:val="auto"/>
        </w:rPr>
        <w:t xml:space="preserve"> 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b w:val="1"/>
          <w:bCs w:val="1"/>
          <w:i w:val="1"/>
          <w:iCs w:val="1"/>
          <w:color w:val="auto"/>
        </w:rPr>
        <w:t>Severability</w:t>
      </w:r>
      <w:r>
        <w:rPr>
          <w:rFonts w:ascii="Arial" w:cs="Arial" w:eastAsia="Arial" w:hAnsi="Arial"/>
          <w:sz w:val="19"/>
          <w:szCs w:val="19"/>
          <w:i w:val="1"/>
          <w:iCs w:val="1"/>
          <w:color w:val="auto"/>
        </w:rPr>
        <w:t>.</w:t>
      </w:r>
      <w:r>
        <w:rPr>
          <w:rFonts w:ascii="Arial" w:cs="Arial" w:eastAsia="Arial" w:hAnsi="Arial"/>
          <w:sz w:val="19"/>
          <w:szCs w:val="19"/>
          <w:color w:val="auto"/>
        </w:rPr>
        <w:t xml:space="preserve"> If any provision of the Plan shall be held unlawful or otherwise invalid or unenforceable in whole or in part by a court of competent jurisdiction, such provision shall (a) be deemed limited to the extent that such court of competent jurisdiction deems it lawful, valid and/or enforceable and as so limited shall remain in full force and effect, and (b) not affect any other provision of the Plan or part thereof, each of which shall remain in full force and effect. If the making of any payment or the provision of any other benefit required under the Plan shall be held unlawful or otherwise invalid or unenforceable by a court of competent jurisdiction,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729424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9" w:name="page90"/>
    <w:bookmarkEnd w:id="89"/>
    <w:p>
      <w:pPr>
        <w:jc w:val="both"/>
        <w:spacing w:after="0" w:line="253" w:lineRule="auto"/>
        <w:rPr>
          <w:sz w:val="20"/>
          <w:szCs w:val="20"/>
          <w:color w:val="auto"/>
        </w:rPr>
      </w:pPr>
      <w:r>
        <w:rPr>
          <w:rFonts w:ascii="Arial" w:cs="Arial" w:eastAsia="Arial" w:hAnsi="Arial"/>
          <w:sz w:val="21"/>
          <w:szCs w:val="21"/>
          <w:color w:val="auto"/>
        </w:rPr>
        <w:t xml:space="preserve">13.8 </w:t>
      </w:r>
      <w:r>
        <w:rPr>
          <w:rFonts w:ascii="Arial" w:cs="Arial" w:eastAsia="Arial" w:hAnsi="Arial"/>
          <w:sz w:val="21"/>
          <w:szCs w:val="21"/>
          <w:b w:val="1"/>
          <w:bCs w:val="1"/>
          <w:i w:val="1"/>
          <w:iCs w:val="1"/>
          <w:color w:val="auto"/>
        </w:rPr>
        <w:t>Construction</w:t>
      </w:r>
      <w:r>
        <w:rPr>
          <w:rFonts w:ascii="Arial" w:cs="Arial" w:eastAsia="Arial" w:hAnsi="Arial"/>
          <w:sz w:val="21"/>
          <w:szCs w:val="21"/>
          <w:i w:val="1"/>
          <w:iCs w:val="1"/>
          <w:color w:val="auto"/>
        </w:rPr>
        <w:t>.</w:t>
      </w:r>
      <w:r>
        <w:rPr>
          <w:rFonts w:ascii="Arial" w:cs="Arial" w:eastAsia="Arial" w:hAnsi="Arial"/>
          <w:sz w:val="21"/>
          <w:szCs w:val="21"/>
          <w:color w:val="auto"/>
        </w:rPr>
        <w:t xml:space="preserve"> As used in the Plan, the words </w:t>
      </w:r>
      <w:r>
        <w:rPr>
          <w:rFonts w:ascii="Arial" w:cs="Arial" w:eastAsia="Arial" w:hAnsi="Arial"/>
          <w:sz w:val="21"/>
          <w:szCs w:val="21"/>
          <w:i w:val="1"/>
          <w:iCs w:val="1"/>
          <w:color w:val="auto"/>
        </w:rPr>
        <w:t>“include”</w:t>
      </w:r>
      <w:r>
        <w:rPr>
          <w:rFonts w:ascii="Arial" w:cs="Arial" w:eastAsia="Arial" w:hAnsi="Arial"/>
          <w:sz w:val="21"/>
          <w:szCs w:val="21"/>
          <w:color w:val="auto"/>
        </w:rPr>
        <w:t xml:space="preserve"> and </w:t>
      </w:r>
      <w:r>
        <w:rPr>
          <w:rFonts w:ascii="Arial" w:cs="Arial" w:eastAsia="Arial" w:hAnsi="Arial"/>
          <w:sz w:val="21"/>
          <w:szCs w:val="21"/>
          <w:i w:val="1"/>
          <w:iCs w:val="1"/>
          <w:color w:val="auto"/>
        </w:rPr>
        <w:t>“including”</w:t>
      </w:r>
      <w:r>
        <w:rPr>
          <w:rFonts w:ascii="Arial" w:cs="Arial" w:eastAsia="Arial" w:hAnsi="Arial"/>
          <w:sz w:val="21"/>
          <w:szCs w:val="21"/>
          <w:color w:val="auto"/>
        </w:rPr>
        <w:t xml:space="preserve"> , and variations thereof, shall not be deemed to be terms of limitation, but rather shall be deemed to be followed by the words </w:t>
      </w:r>
      <w:r>
        <w:rPr>
          <w:rFonts w:ascii="Arial" w:cs="Arial" w:eastAsia="Arial" w:hAnsi="Arial"/>
          <w:sz w:val="21"/>
          <w:szCs w:val="21"/>
          <w:i w:val="1"/>
          <w:iCs w:val="1"/>
          <w:color w:val="auto"/>
        </w:rPr>
        <w:t>“without limitation”.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 xml:space="preserve">13.9 </w:t>
      </w:r>
      <w:r>
        <w:rPr>
          <w:rFonts w:ascii="Arial" w:cs="Arial" w:eastAsia="Arial" w:hAnsi="Arial"/>
          <w:sz w:val="21"/>
          <w:szCs w:val="21"/>
          <w:b w:val="1"/>
          <w:bCs w:val="1"/>
          <w:i w:val="1"/>
          <w:iCs w:val="1"/>
          <w:color w:val="auto"/>
        </w:rPr>
        <w:t>Unfunded Status of the Plan</w:t>
      </w:r>
      <w:r>
        <w:rPr>
          <w:rFonts w:ascii="Arial" w:cs="Arial" w:eastAsia="Arial" w:hAnsi="Arial"/>
          <w:sz w:val="21"/>
          <w:szCs w:val="21"/>
          <w:i w:val="1"/>
          <w:iCs w:val="1"/>
          <w:color w:val="auto"/>
        </w:rPr>
        <w:t>.</w:t>
      </w:r>
      <w:r>
        <w:rPr>
          <w:rFonts w:ascii="Arial" w:cs="Arial" w:eastAsia="Arial" w:hAnsi="Arial"/>
          <w:sz w:val="21"/>
          <w:szCs w:val="21"/>
          <w:color w:val="auto"/>
        </w:rPr>
        <w:t xml:space="preserve"> The Plan is intended to constitute an “unfunded” plan for incentive and deferred compensation.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the Shares or payments in lieu of or with respect to Awards hereunder; provided, however, that the existence of such trusts or other arrangements is consistent with the unfunded status of the Plan.</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13.10 </w:t>
      </w:r>
      <w:r>
        <w:rPr>
          <w:rFonts w:ascii="Arial" w:cs="Arial" w:eastAsia="Arial" w:hAnsi="Arial"/>
          <w:sz w:val="21"/>
          <w:szCs w:val="21"/>
          <w:b w:val="1"/>
          <w:bCs w:val="1"/>
          <w:i w:val="1"/>
          <w:iCs w:val="1"/>
          <w:color w:val="auto"/>
        </w:rPr>
        <w:t>Governing Law</w:t>
      </w:r>
      <w:r>
        <w:rPr>
          <w:rFonts w:ascii="Arial" w:cs="Arial" w:eastAsia="Arial" w:hAnsi="Arial"/>
          <w:sz w:val="21"/>
          <w:szCs w:val="21"/>
          <w:i w:val="1"/>
          <w:iCs w:val="1"/>
          <w:color w:val="auto"/>
        </w:rPr>
        <w:t>.</w:t>
      </w:r>
      <w:r>
        <w:rPr>
          <w:rFonts w:ascii="Arial" w:cs="Arial" w:eastAsia="Arial" w:hAnsi="Arial"/>
          <w:sz w:val="21"/>
          <w:szCs w:val="21"/>
          <w:color w:val="auto"/>
        </w:rPr>
        <w:t xml:space="preserve"> The Plan and all determinations made and actions taken thereunder, to the extent not otherwise governed by the Code or the laws of the United States, shall be governed by the laws of the State of Delaware, without reference to principles of conflict of laws, and construed accordingly.</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b w:val="1"/>
          <w:bCs w:val="1"/>
          <w:i w:val="1"/>
          <w:iCs w:val="1"/>
          <w:color w:val="auto"/>
        </w:rPr>
        <w:t>Effective Date of Amended and Restated Plan; Expiration of Plan.</w:t>
      </w:r>
      <w:r>
        <w:rPr>
          <w:rFonts w:ascii="Arial" w:cs="Arial" w:eastAsia="Arial" w:hAnsi="Arial"/>
          <w:sz w:val="18"/>
          <w:szCs w:val="18"/>
          <w:color w:val="auto"/>
        </w:rPr>
        <w:t xml:space="preserve"> The amended and restated Plan shall be effective on the date of the approval of the amended and restated Plan by the holders of the shares entitled to vote at a duly constituted meeting of the stockholders of the Company. The amended and restated Plan shall be null and void and of no effect if the foregoing condition is not fulfilled and in such event the Plan as in effect immediately prior to the Restatement Date will continue to operate in accordance with its terms. Awards may be granted under the amended and restated Plan at any time and from time to time on or prior to the tenth anniversary of the effective date of the amended and restated Plan, on which date the amended and restated Plan will expire except as to Awards then outstanding under the Plan. Such outstanding Awards shall remain in effect until they have been exercised or terminated, or have expired.</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13.12 </w:t>
      </w:r>
      <w:r>
        <w:rPr>
          <w:rFonts w:ascii="Arial" w:cs="Arial" w:eastAsia="Arial" w:hAnsi="Arial"/>
          <w:sz w:val="20"/>
          <w:szCs w:val="20"/>
          <w:b w:val="1"/>
          <w:bCs w:val="1"/>
          <w:i w:val="1"/>
          <w:iCs w:val="1"/>
          <w:color w:val="auto"/>
        </w:rPr>
        <w:t>Foreign Employees</w:t>
      </w:r>
      <w:r>
        <w:rPr>
          <w:rFonts w:ascii="Arial" w:cs="Arial" w:eastAsia="Arial" w:hAnsi="Arial"/>
          <w:sz w:val="20"/>
          <w:szCs w:val="20"/>
          <w:i w:val="1"/>
          <w:iCs w:val="1"/>
          <w:color w:val="auto"/>
        </w:rPr>
        <w:t>.</w:t>
      </w:r>
      <w:r>
        <w:rPr>
          <w:rFonts w:ascii="Arial" w:cs="Arial" w:eastAsia="Arial" w:hAnsi="Arial"/>
          <w:sz w:val="20"/>
          <w:szCs w:val="20"/>
          <w:color w:val="auto"/>
        </w:rPr>
        <w:t xml:space="preserve"> 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The Committee also may impose conditions on the exercise or vesting of Awards in order to minimize the Company’s obligation with respect to tax equalization for Employees on assignments outside their home country.</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21"/>
          <w:szCs w:val="21"/>
          <w:color w:val="auto"/>
        </w:rPr>
        <w:t>13.13</w:t>
      </w:r>
      <w:r>
        <w:rPr>
          <w:sz w:val="20"/>
          <w:szCs w:val="20"/>
          <w:color w:val="auto"/>
        </w:rPr>
        <w:tab/>
      </w:r>
      <w:r>
        <w:rPr>
          <w:rFonts w:ascii="Arial" w:cs="Arial" w:eastAsia="Arial" w:hAnsi="Arial"/>
          <w:sz w:val="17"/>
          <w:szCs w:val="17"/>
          <w:b w:val="1"/>
          <w:bCs w:val="1"/>
          <w:i w:val="1"/>
          <w:iCs w:val="1"/>
          <w:color w:val="auto"/>
        </w:rPr>
        <w:t>Code Section 409A</w:t>
      </w:r>
      <w:r>
        <w:rPr>
          <w:rFonts w:ascii="Arial" w:cs="Arial" w:eastAsia="Arial" w:hAnsi="Arial"/>
          <w:sz w:val="17"/>
          <w:szCs w:val="17"/>
          <w:i w:val="1"/>
          <w:iCs w:val="1"/>
          <w:color w:val="auto"/>
        </w:rPr>
        <w:t>.</w:t>
      </w:r>
    </w:p>
    <w:p>
      <w:pPr>
        <w:spacing w:after="0" w:line="224" w:lineRule="exact"/>
        <w:rPr>
          <w:sz w:val="20"/>
          <w:szCs w:val="20"/>
          <w:color w:val="auto"/>
        </w:rPr>
      </w:pPr>
    </w:p>
    <w:p>
      <w:pPr>
        <w:jc w:val="both"/>
        <w:ind w:left="860" w:firstLine="4"/>
        <w:spacing w:after="0" w:line="248" w:lineRule="auto"/>
        <w:tabs>
          <w:tab w:leader="none" w:pos="1623" w:val="left"/>
        </w:tabs>
        <w:numPr>
          <w:ilvl w:val="0"/>
          <w:numId w:val="67"/>
        </w:numPr>
        <w:rPr>
          <w:rFonts w:ascii="Arial" w:cs="Arial" w:eastAsia="Arial" w:hAnsi="Arial"/>
          <w:sz w:val="20"/>
          <w:szCs w:val="20"/>
          <w:color w:val="auto"/>
        </w:rPr>
      </w:pPr>
      <w:r>
        <w:rPr>
          <w:rFonts w:ascii="Arial" w:cs="Arial" w:eastAsia="Arial" w:hAnsi="Arial"/>
          <w:sz w:val="20"/>
          <w:szCs w:val="20"/>
          <w:color w:val="auto"/>
        </w:rPr>
        <w:t>Awards made under this Plan are intended to comply with or be exempt from Code Section 409A, and ambiguous provisions hereof, if any, shall be construed and interpreted in a manner consistent with such intent. No payment, benefit or consideration shall be substituted for an Award if such action would result in the imposition of taxes under Code Section 409A. Notwithstanding anything in this Plan to the contrary, if any Plan provision or Award under this Plan would result in the imposition of an additional tax under Code Section 409A, that Plan provision or Award shall be reformed, to the extent permissible under Code Section 409A, to avoid imposition of the additional tax, and no such action shall be deemed to adversely affect the Participant’s rights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314325</wp:posOffset>
            </wp:positionV>
            <wp:extent cx="729424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0" w:name="page91"/>
    <w:bookmarkEnd w:id="90"/>
    <w:p>
      <w:pPr>
        <w:jc w:val="both"/>
        <w:ind w:left="860" w:firstLine="4"/>
        <w:spacing w:after="0" w:line="273" w:lineRule="auto"/>
        <w:tabs>
          <w:tab w:leader="none" w:pos="163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Unless the Committee provides otherwise in an Award Agreement, each Restricted Stock Unit Award, Performance Unit Award or Cash Award (or portion thereof if the Award is subject to a vesting schedule) shall be settled no later than the 15 </w:t>
      </w:r>
      <w:r>
        <w:rPr>
          <w:rFonts w:ascii="Arial" w:cs="Arial" w:eastAsia="Arial" w:hAnsi="Arial"/>
          <w:sz w:val="15"/>
          <w:szCs w:val="15"/>
          <w:color w:val="auto"/>
        </w:rPr>
        <w:t xml:space="preserve">th </w:t>
      </w:r>
      <w:r>
        <w:rPr>
          <w:rFonts w:ascii="Arial" w:cs="Arial" w:eastAsia="Arial" w:hAnsi="Arial"/>
          <w:sz w:val="18"/>
          <w:szCs w:val="18"/>
          <w:color w:val="auto"/>
        </w:rPr>
        <w:t>day of the third month after the end of the first calendar year in which the Award (or such portion thereof) is no longer</w:t>
      </w:r>
      <w:r>
        <w:rPr>
          <w:rFonts w:ascii="Arial" w:cs="Arial" w:eastAsia="Arial" w:hAnsi="Arial"/>
          <w:sz w:val="15"/>
          <w:szCs w:val="15"/>
          <w:color w:val="auto"/>
        </w:rPr>
        <w:t xml:space="preserve"> </w:t>
      </w:r>
      <w:r>
        <w:rPr>
          <w:rFonts w:ascii="Arial" w:cs="Arial" w:eastAsia="Arial" w:hAnsi="Arial"/>
          <w:sz w:val="18"/>
          <w:szCs w:val="18"/>
          <w:color w:val="auto"/>
        </w:rPr>
        <w:t>subject to a “substantial risk of forfeiture” within the meaning of Code Section 409A. If the Committee determines that a Restricted Stock Unit Award, Performance Unit Award or Cash Award is intended to be subject to Code Section 409A, the applicable Award Agreement shall include terms that are designed to satisfy the requirements of Code Section 409A.</w:t>
      </w:r>
    </w:p>
    <w:p>
      <w:pPr>
        <w:spacing w:after="0" w:line="175" w:lineRule="exact"/>
        <w:rPr>
          <w:rFonts w:ascii="Arial" w:cs="Arial" w:eastAsia="Arial" w:hAnsi="Arial"/>
          <w:sz w:val="19"/>
          <w:szCs w:val="19"/>
          <w:color w:val="auto"/>
        </w:rPr>
      </w:pPr>
    </w:p>
    <w:p>
      <w:pPr>
        <w:jc w:val="both"/>
        <w:ind w:left="860" w:firstLine="4"/>
        <w:spacing w:after="0" w:line="259" w:lineRule="auto"/>
        <w:tabs>
          <w:tab w:leader="none" w:pos="1623"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the Participant is identified by the Company as a “specified employee” within the meaning of Code Section 409A(a)(2)(B)(i) on the date on which the Participant has a “separation from service” (other than due to death) within the meaning of Treasury Regulation § 1.409A-1(h), any Award payable or settled on account of a separation from service that is deferred compensation subject to Code Section 409A shall be paid or settled on the earliest of (1) the first business day following the expiration of six months from the Participant’s separation from service, (2) the date of the Participant’s death, or</w:t>
      </w:r>
    </w:p>
    <w:p>
      <w:pPr>
        <w:spacing w:after="0" w:line="1"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1"/>
          <w:szCs w:val="21"/>
          <w:color w:val="auto"/>
        </w:rPr>
        <w:t>(3) such earlier date as complies with the requirements of Code Section 409A.</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 xml:space="preserve">13.14 </w:t>
      </w:r>
      <w:r>
        <w:rPr>
          <w:rFonts w:ascii="Arial" w:cs="Arial" w:eastAsia="Arial" w:hAnsi="Arial"/>
          <w:sz w:val="21"/>
          <w:szCs w:val="21"/>
          <w:b w:val="1"/>
          <w:bCs w:val="1"/>
          <w:i w:val="1"/>
          <w:iCs w:val="1"/>
          <w:color w:val="auto"/>
        </w:rPr>
        <w:t>Captions.</w:t>
      </w:r>
      <w:r>
        <w:rPr>
          <w:rFonts w:ascii="Arial" w:cs="Arial" w:eastAsia="Arial" w:hAnsi="Arial"/>
          <w:sz w:val="21"/>
          <w:szCs w:val="21"/>
          <w:color w:val="auto"/>
        </w:rPr>
        <w:t xml:space="preserve"> The captions in the Plan are for convenience of reference only, and are not intended to narrow, limit or affect the substance or interpretation of the provisions contained herein.</w:t>
      </w:r>
    </w:p>
    <w:p>
      <w:pPr>
        <w:sectPr>
          <w:pgSz w:w="11900" w:h="16838" w:orient="portrait"/>
          <w:cols w:equalWidth="0" w:num="1">
            <w:col w:w="11420"/>
          </w:cols>
          <w:pgMar w:left="240" w:top="57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1"/>
          <w:szCs w:val="21"/>
          <w:color w:val="auto"/>
        </w:rPr>
        <w:t>Exhibit 10.35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CAMERON INTERNATIONAL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PERFORMANCE-BASED RESTRICTED STOCK UNIT AWARD AGREEMENT</w:t>
      </w:r>
    </w:p>
    <w:tbl>
      <w:tblPr>
        <w:tblLayout w:type="fixed"/>
        <w:tblInd w:w="2980" w:type="dxa"/>
        <w:tblCellMar>
          <w:top w:w="0" w:type="dxa"/>
          <w:left w:w="0" w:type="dxa"/>
          <w:bottom w:w="0" w:type="dxa"/>
          <w:right w:w="0" w:type="dxa"/>
        </w:tblCellMar>
      </w:tblPr>
      <w:tr>
        <w:trPr>
          <w:trHeight w:val="209"/>
        </w:trPr>
        <w:tc>
          <w:tcPr>
            <w:tcW w:w="3480" w:type="dxa"/>
            <w:vAlign w:val="bottom"/>
          </w:tcPr>
          <w:p>
            <w:pPr>
              <w:ind w:left="1880"/>
              <w:spacing w:after="0" w:line="209" w:lineRule="exact"/>
              <w:rPr>
                <w:sz w:val="20"/>
                <w:szCs w:val="20"/>
                <w:color w:val="auto"/>
              </w:rPr>
            </w:pPr>
            <w:r>
              <w:rPr>
                <w:rFonts w:ascii="Arial" w:cs="Arial" w:eastAsia="Arial" w:hAnsi="Arial"/>
                <w:sz w:val="19"/>
                <w:szCs w:val="19"/>
                <w:b w:val="1"/>
                <w:bCs w:val="1"/>
                <w:i w:val="1"/>
                <w:iCs w:val="1"/>
                <w:color w:val="auto"/>
              </w:rPr>
              <w:t>GRANT DATE: [</w:t>
            </w:r>
          </w:p>
        </w:tc>
        <w:tc>
          <w:tcPr>
            <w:tcW w:w="1980" w:type="dxa"/>
            <w:vAlign w:val="bottom"/>
          </w:tcPr>
          <w:p>
            <w:pPr>
              <w:jc w:val="right"/>
              <w:ind w:right="1785"/>
              <w:spacing w:after="0" w:line="209" w:lineRule="exact"/>
              <w:rPr>
                <w:sz w:val="20"/>
                <w:szCs w:val="20"/>
                <w:color w:val="auto"/>
              </w:rPr>
            </w:pPr>
            <w:r>
              <w:rPr>
                <w:rFonts w:ascii="Arial" w:cs="Arial" w:eastAsia="Arial" w:hAnsi="Arial"/>
                <w:sz w:val="19"/>
                <w:szCs w:val="19"/>
                <w:b w:val="1"/>
                <w:bCs w:val="1"/>
                <w:i w:val="1"/>
                <w:iCs w:val="1"/>
                <w:color w:val="auto"/>
              </w:rPr>
              <w:t>]</w:t>
            </w:r>
          </w:p>
        </w:tc>
      </w:tr>
      <w:tr>
        <w:trPr>
          <w:trHeight w:val="180"/>
        </w:trPr>
        <w:tc>
          <w:tcPr>
            <w:tcW w:w="5460" w:type="dxa"/>
            <w:vAlign w:val="bottom"/>
            <w:tcBorders>
              <w:bottom w:val="single" w:sz="8" w:color="auto"/>
            </w:tcBorders>
            <w:gridSpan w:val="2"/>
          </w:tcPr>
          <w:p>
            <w:pPr>
              <w:jc w:val="right"/>
              <w:spacing w:after="0" w:line="180" w:lineRule="exact"/>
              <w:rPr>
                <w:sz w:val="20"/>
                <w:szCs w:val="20"/>
                <w:color w:val="auto"/>
              </w:rPr>
            </w:pPr>
            <w:r>
              <w:rPr>
                <w:rFonts w:ascii="Arial" w:cs="Arial" w:eastAsia="Arial" w:hAnsi="Arial"/>
                <w:sz w:val="17"/>
                <w:szCs w:val="17"/>
                <w:b w:val="1"/>
                <w:bCs w:val="1"/>
                <w:i w:val="1"/>
                <w:iCs w:val="1"/>
                <w:color w:val="auto"/>
                <w:w w:val="89"/>
              </w:rPr>
              <w:t>(Including Non-Compete, Non-Solicitation, and Confidentiality Agreements)</w:t>
            </w:r>
          </w:p>
        </w:tc>
      </w:tr>
      <w:tr>
        <w:trPr>
          <w:trHeight w:val="630"/>
        </w:trPr>
        <w:tc>
          <w:tcPr>
            <w:tcW w:w="3480" w:type="dxa"/>
            <w:vAlign w:val="bottom"/>
          </w:tcPr>
          <w:p>
            <w:pPr>
              <w:ind w:left="1640"/>
              <w:spacing w:after="0"/>
              <w:rPr>
                <w:sz w:val="20"/>
                <w:szCs w:val="20"/>
                <w:color w:val="auto"/>
              </w:rPr>
            </w:pPr>
            <w:r>
              <w:rPr>
                <w:rFonts w:ascii="Arial" w:cs="Arial" w:eastAsia="Arial" w:hAnsi="Arial"/>
                <w:sz w:val="19"/>
                <w:szCs w:val="19"/>
                <w:b w:val="1"/>
                <w:bCs w:val="1"/>
                <w:i w:val="1"/>
                <w:iCs w:val="1"/>
                <w:color w:val="auto"/>
                <w:w w:val="91"/>
              </w:rPr>
              <w:t>Performance Period: [</w:t>
            </w:r>
          </w:p>
        </w:tc>
        <w:tc>
          <w:tcPr>
            <w:tcW w:w="1980" w:type="dxa"/>
            <w:vAlign w:val="bottom"/>
          </w:tcPr>
          <w:p>
            <w:pPr>
              <w:jc w:val="right"/>
              <w:ind w:right="1525"/>
              <w:spacing w:after="0"/>
              <w:rPr>
                <w:sz w:val="20"/>
                <w:szCs w:val="20"/>
                <w:color w:val="auto"/>
              </w:rPr>
            </w:pPr>
            <w:r>
              <w:rPr>
                <w:rFonts w:ascii="Arial" w:cs="Arial" w:eastAsia="Arial" w:hAnsi="Arial"/>
                <w:sz w:val="19"/>
                <w:szCs w:val="19"/>
                <w:b w:val="1"/>
                <w:bCs w:val="1"/>
                <w:i w:val="1"/>
                <w:iCs w:val="1"/>
                <w:color w:val="auto"/>
              </w:rPr>
              <w:t>]</w:t>
            </w:r>
          </w:p>
        </w:tc>
      </w:tr>
    </w:tbl>
    <w:p>
      <w:pPr>
        <w:spacing w:after="0" w:line="362"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 xml:space="preserve">This PERFORMANCE-BASED RESTRICTED STOCK UNIT AWARD AGREEMENT (the “Award Agreement”) is between the employee named in the attached Notice of Grant of Award (“Participant”) and Cameron International Corporation (the “Company”), in connection with the Performance-Based Restricted Stock Unit (“PRSU”) Award granted to Participant by the Company under the Company’s </w:t>
      </w:r>
      <w:r>
        <w:rPr>
          <w:rFonts w:ascii="Arial" w:cs="Arial" w:eastAsia="Arial" w:hAnsi="Arial"/>
          <w:sz w:val="21"/>
          <w:szCs w:val="21"/>
          <w:b w:val="1"/>
          <w:bCs w:val="1"/>
          <w:color w:val="auto"/>
        </w:rPr>
        <w:t>Equity Incentive Plan</w:t>
      </w:r>
      <w:r>
        <w:rPr>
          <w:rFonts w:ascii="Arial" w:cs="Arial" w:eastAsia="Arial" w:hAnsi="Arial"/>
          <w:sz w:val="21"/>
          <w:szCs w:val="21"/>
          <w:color w:val="auto"/>
        </w:rPr>
        <w:t xml:space="preserve"> (the “Plan”). For purposes of this Award Agreement, “Employer” means the Company or Subsidiary that employs the Participant on the applicable date. All capitalized terms not defined in this Award Agreement shall have the same meaning as set forth in the Plan.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21"/>
          <w:szCs w:val="21"/>
          <w:color w:val="auto"/>
        </w:rPr>
        <w:t xml:space="preserve">This Award covers the performance during the years </w:t>
      </w:r>
      <w:r>
        <w:rPr>
          <w:rFonts w:ascii="Arial" w:cs="Arial" w:eastAsia="Arial" w:hAnsi="Arial"/>
          <w:sz w:val="21"/>
          <w:szCs w:val="21"/>
          <w:b w:val="1"/>
          <w:bCs w:val="1"/>
          <w:color w:val="auto"/>
        </w:rPr>
        <w:t>[ ]</w:t>
      </w:r>
      <w:r>
        <w:rPr>
          <w:rFonts w:ascii="Arial" w:cs="Arial" w:eastAsia="Arial" w:hAnsi="Arial"/>
          <w:sz w:val="21"/>
          <w:szCs w:val="21"/>
          <w:color w:val="auto"/>
        </w:rPr>
        <w:t xml:space="preserve"> (the “Performance Period”). That portion of the Target Award which can be earned by performance based on Return on Invested Capital (“ROIC”) is subject to performance against a yearly ROIC goal for each of these three years. That portion of the Award which can be earned by performance based on Total Shareholder Return (“TSR”) is subject to a TSR goal for the three-year period.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This Award is performance based, and performance will be measured against the goals specified in your Notice of Grant of Award for TSR for the three-year period and for ROIC for [ ]. Subsequent communications will specify the ROIC goals for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21"/>
          <w:szCs w:val="21"/>
          <w:b w:val="1"/>
          <w:bCs w:val="1"/>
          <w:color w:val="auto"/>
        </w:rPr>
        <w:t>each of the years [ ]. The actual number of units earned under the Award and the actual value of the Award will be determined by performance against goals during the Performance Period and can range between 0 and 200% of the Target Award.</w:t>
      </w:r>
    </w:p>
    <w:p>
      <w:pPr>
        <w:spacing w:after="0" w:line="171" w:lineRule="exact"/>
        <w:rPr>
          <w:sz w:val="20"/>
          <w:szCs w:val="20"/>
          <w:color w:val="auto"/>
        </w:rPr>
      </w:pPr>
    </w:p>
    <w:p>
      <w:pPr>
        <w:ind w:left="1660" w:hanging="778"/>
        <w:spacing w:after="0"/>
        <w:tabs>
          <w:tab w:leader="none" w:pos="1660" w:val="left"/>
        </w:tabs>
        <w:numPr>
          <w:ilvl w:val="0"/>
          <w:numId w:val="69"/>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Effective Date and Issuance of PRSUs</w:t>
      </w:r>
      <w:r>
        <w:rPr>
          <w:rFonts w:ascii="Arial" w:cs="Arial" w:eastAsia="Arial" w:hAnsi="Arial"/>
          <w:sz w:val="21"/>
          <w:szCs w:val="21"/>
          <w:color w:val="010000"/>
        </w:rPr>
        <w:t>.</w:t>
      </w:r>
    </w:p>
    <w:p>
      <w:pPr>
        <w:spacing w:after="0" w:line="198" w:lineRule="exact"/>
        <w:rPr>
          <w:sz w:val="20"/>
          <w:szCs w:val="20"/>
          <w:color w:val="auto"/>
        </w:rPr>
      </w:pPr>
    </w:p>
    <w:p>
      <w:pPr>
        <w:ind w:left="1740" w:hanging="858"/>
        <w:spacing w:after="0"/>
        <w:tabs>
          <w:tab w:leader="none" w:pos="1740" w:val="left"/>
        </w:tabs>
        <w:numPr>
          <w:ilvl w:val="0"/>
          <w:numId w:val="70"/>
        </w:numPr>
        <w:rPr>
          <w:rFonts w:ascii="Arial" w:cs="Arial" w:eastAsia="Arial" w:hAnsi="Arial"/>
          <w:sz w:val="18"/>
          <w:szCs w:val="18"/>
          <w:color w:val="010000"/>
        </w:rPr>
      </w:pPr>
      <w:r>
        <w:rPr>
          <w:rFonts w:ascii="Arial" w:cs="Arial" w:eastAsia="Arial" w:hAnsi="Arial"/>
          <w:sz w:val="18"/>
          <w:szCs w:val="18"/>
          <w:color w:val="010000"/>
        </w:rPr>
        <w:t xml:space="preserve">The Company hereby grants to the Participant, on the terms and conditions set forth herein, an award of PRSUs </w:t>
      </w:r>
      <w:r>
        <w:rPr>
          <w:rFonts w:ascii="Arial" w:cs="Arial" w:eastAsia="Arial" w:hAnsi="Arial"/>
          <w:sz w:val="18"/>
          <w:szCs w:val="18"/>
          <w:b w:val="1"/>
          <w:bCs w:val="1"/>
          <w:color w:val="010000"/>
        </w:rPr>
        <w:t>(the</w:t>
      </w:r>
    </w:p>
    <w:p>
      <w:pPr>
        <w:spacing w:after="0" w:line="50" w:lineRule="exact"/>
        <w:rPr>
          <w:sz w:val="20"/>
          <w:szCs w:val="20"/>
          <w:color w:val="auto"/>
        </w:rPr>
      </w:pPr>
    </w:p>
    <w:p>
      <w:pPr>
        <w:spacing w:after="0"/>
        <w:tabs>
          <w:tab w:leader="none" w:pos="2560" w:val="left"/>
        </w:tabs>
        <w:rPr>
          <w:sz w:val="20"/>
          <w:szCs w:val="20"/>
          <w:color w:val="auto"/>
        </w:rPr>
      </w:pPr>
      <w:r>
        <w:rPr>
          <w:rFonts w:ascii="Arial" w:cs="Arial" w:eastAsia="Arial" w:hAnsi="Arial"/>
          <w:sz w:val="21"/>
          <w:szCs w:val="21"/>
          <w:b w:val="1"/>
          <w:bCs w:val="1"/>
          <w:color w:val="010000"/>
        </w:rPr>
        <w:t xml:space="preserve">“Award”) </w:t>
      </w:r>
      <w:r>
        <w:rPr>
          <w:rFonts w:ascii="Arial" w:cs="Arial" w:eastAsia="Arial" w:hAnsi="Arial"/>
          <w:sz w:val="21"/>
          <w:szCs w:val="21"/>
          <w:color w:val="010000"/>
        </w:rPr>
        <w:t>effective as of</w:t>
      </w:r>
      <w:r>
        <w:rPr>
          <w:rFonts w:ascii="Arial" w:cs="Arial" w:eastAsia="Arial" w:hAnsi="Arial"/>
          <w:sz w:val="21"/>
          <w:szCs w:val="21"/>
          <w:b w:val="1"/>
          <w:bCs w:val="1"/>
          <w:color w:val="010000"/>
        </w:rPr>
        <w:t xml:space="preserve"> [</w:t>
      </w:r>
      <w:r>
        <w:rPr>
          <w:sz w:val="20"/>
          <w:szCs w:val="20"/>
          <w:color w:val="auto"/>
        </w:rPr>
        <w:tab/>
      </w:r>
      <w:r>
        <w:rPr>
          <w:rFonts w:ascii="Arial" w:cs="Arial" w:eastAsia="Arial" w:hAnsi="Arial"/>
          <w:sz w:val="19"/>
          <w:szCs w:val="19"/>
          <w:b w:val="1"/>
          <w:bCs w:val="1"/>
          <w:color w:val="010000"/>
        </w:rPr>
        <w:t>]</w:t>
      </w:r>
      <w:r>
        <w:rPr>
          <w:rFonts w:ascii="Arial" w:cs="Arial" w:eastAsia="Arial" w:hAnsi="Arial"/>
          <w:sz w:val="19"/>
          <w:szCs w:val="19"/>
          <w:color w:val="010000"/>
        </w:rPr>
        <w:t>.</w:t>
      </w:r>
    </w:p>
    <w:p>
      <w:pPr>
        <w:spacing w:after="0" w:line="180" w:lineRule="exact"/>
        <w:rPr>
          <w:sz w:val="20"/>
          <w:szCs w:val="20"/>
          <w:color w:val="auto"/>
        </w:rPr>
      </w:pPr>
    </w:p>
    <w:p>
      <w:pPr>
        <w:jc w:val="both"/>
        <w:ind w:firstLine="882"/>
        <w:spacing w:after="0" w:line="242" w:lineRule="auto"/>
        <w:tabs>
          <w:tab w:leader="none" w:pos="1739" w:val="left"/>
        </w:tabs>
        <w:numPr>
          <w:ilvl w:val="0"/>
          <w:numId w:val="71"/>
        </w:numPr>
        <w:rPr>
          <w:rFonts w:ascii="Arial" w:cs="Arial" w:eastAsia="Arial" w:hAnsi="Arial"/>
          <w:sz w:val="21"/>
          <w:szCs w:val="21"/>
          <w:color w:val="010000"/>
        </w:rPr>
      </w:pPr>
      <w:r>
        <w:rPr>
          <w:rFonts w:ascii="Arial" w:cs="Arial" w:eastAsia="Arial" w:hAnsi="Arial"/>
          <w:sz w:val="21"/>
          <w:szCs w:val="21"/>
          <w:color w:val="010000"/>
        </w:rPr>
        <w:t>This Award is a commitment to issue one share of Cameron common stock (“Shares”) for each PRSU actually earned pursuant to the terms of this Award Agreement, subject to the Participant’s acceptance of this Agreement in writing or electronically in the manner prescribed by the Company or its third party administrator.</w:t>
      </w:r>
    </w:p>
    <w:p>
      <w:pPr>
        <w:spacing w:after="0" w:line="173" w:lineRule="exact"/>
        <w:rPr>
          <w:rFonts w:ascii="Arial" w:cs="Arial" w:eastAsia="Arial" w:hAnsi="Arial"/>
          <w:sz w:val="21"/>
          <w:szCs w:val="21"/>
          <w:color w:val="010000"/>
        </w:rPr>
      </w:pPr>
    </w:p>
    <w:p>
      <w:pPr>
        <w:jc w:val="both"/>
        <w:ind w:firstLine="882"/>
        <w:spacing w:after="0" w:line="268" w:lineRule="auto"/>
        <w:tabs>
          <w:tab w:leader="none" w:pos="1728" w:val="left"/>
        </w:tabs>
        <w:numPr>
          <w:ilvl w:val="0"/>
          <w:numId w:val="71"/>
        </w:numPr>
        <w:rPr>
          <w:rFonts w:ascii="Arial" w:cs="Arial" w:eastAsia="Arial" w:hAnsi="Arial"/>
          <w:sz w:val="19"/>
          <w:szCs w:val="19"/>
          <w:color w:val="010000"/>
        </w:rPr>
      </w:pPr>
      <w:r>
        <w:rPr>
          <w:rFonts w:ascii="Arial" w:cs="Arial" w:eastAsia="Arial" w:hAnsi="Arial"/>
          <w:sz w:val="19"/>
          <w:szCs w:val="19"/>
          <w:color w:val="010000"/>
        </w:rPr>
        <w:t>Notwithstanding the foregoing, the Company may, in its sole discretion, settle the PRSUs in the form of (i) a cash payment to the extent settlement in Shares (1) is prohibited under local law, (2) would require the Participant or the Company to obtain the approval of any governmental and/or regulatory body in the Participant’s country of residence (and country of employment, if different), or (3) is administratively burdensome; or (ii) Shares, but require the Participant to immediately sell such Shares (in which case, this Award Agreement shall give the Company the authority to issue sales instructions on the Participant’s behalf).</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2" w:name="page93"/>
    <w:bookmarkEnd w:id="92"/>
    <w:p>
      <w:pPr>
        <w:jc w:val="both"/>
        <w:ind w:firstLine="882"/>
        <w:spacing w:after="0" w:line="283" w:lineRule="auto"/>
        <w:tabs>
          <w:tab w:leader="none" w:pos="1653" w:val="left"/>
        </w:tabs>
        <w:numPr>
          <w:ilvl w:val="0"/>
          <w:numId w:val="7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Terms Subject to the Plan.</w:t>
      </w:r>
      <w:r>
        <w:rPr>
          <w:rFonts w:ascii="Arial" w:cs="Arial" w:eastAsia="Arial" w:hAnsi="Arial"/>
          <w:sz w:val="19"/>
          <w:szCs w:val="19"/>
          <w:b w:val="1"/>
          <w:bCs w:val="1"/>
          <w:color w:val="010000"/>
        </w:rPr>
        <w:t xml:space="preserve"> </w:t>
      </w:r>
      <w:r>
        <w:rPr>
          <w:rFonts w:ascii="Arial" w:cs="Arial" w:eastAsia="Arial" w:hAnsi="Arial"/>
          <w:sz w:val="19"/>
          <w:szCs w:val="19"/>
          <w:color w:val="010000"/>
        </w:rPr>
        <w:t>This Award Agreement is expressly subject to the terms and provisions of the Plan, as</w:t>
      </w:r>
      <w:r>
        <w:rPr>
          <w:rFonts w:ascii="Arial" w:cs="Arial" w:eastAsia="Arial" w:hAnsi="Arial"/>
          <w:sz w:val="19"/>
          <w:szCs w:val="19"/>
          <w:b w:val="1"/>
          <w:bCs w:val="1"/>
          <w:color w:val="010000"/>
        </w:rPr>
        <w:t xml:space="preserve"> </w:t>
      </w:r>
      <w:r>
        <w:rPr>
          <w:rFonts w:ascii="Arial" w:cs="Arial" w:eastAsia="Arial" w:hAnsi="Arial"/>
          <w:sz w:val="19"/>
          <w:szCs w:val="19"/>
          <w:color w:val="010000"/>
        </w:rPr>
        <w:t>indicated in the Participant’s Notice of Grant of Award. A copy of the Plan is available from the Corporate Secretary upon request. In the event there is a conflict between the terms of the Plan and this Award Agreement, the terms of the Plan shall control.</w:t>
      </w:r>
    </w:p>
    <w:p>
      <w:pPr>
        <w:spacing w:after="0" w:line="131" w:lineRule="exact"/>
        <w:rPr>
          <w:rFonts w:ascii="Arial" w:cs="Arial" w:eastAsia="Arial" w:hAnsi="Arial"/>
          <w:sz w:val="19"/>
          <w:szCs w:val="19"/>
          <w:b w:val="1"/>
          <w:bCs w:val="1"/>
          <w:color w:val="010000"/>
        </w:rPr>
      </w:pPr>
    </w:p>
    <w:p>
      <w:pPr>
        <w:jc w:val="both"/>
        <w:ind w:firstLine="882"/>
        <w:spacing w:after="0" w:line="256" w:lineRule="auto"/>
        <w:tabs>
          <w:tab w:leader="none" w:pos="1653" w:val="left"/>
        </w:tabs>
        <w:numPr>
          <w:ilvl w:val="0"/>
          <w:numId w:val="7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Vesting Schedule</w:t>
      </w:r>
      <w:r>
        <w:rPr>
          <w:rFonts w:ascii="Arial" w:cs="Arial" w:eastAsia="Arial" w:hAnsi="Arial"/>
          <w:sz w:val="20"/>
          <w:szCs w:val="20"/>
          <w:u w:val="single" w:color="auto"/>
          <w:color w:val="010000"/>
        </w:rPr>
        <w:t>.</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Award, to the extent earned, will become vested in 2018 upon the determination of actual</w:t>
      </w:r>
      <w:r>
        <w:rPr>
          <w:rFonts w:ascii="Arial" w:cs="Arial" w:eastAsia="Arial" w:hAnsi="Arial"/>
          <w:sz w:val="20"/>
          <w:szCs w:val="20"/>
          <w:b w:val="1"/>
          <w:bCs w:val="1"/>
          <w:color w:val="010000"/>
        </w:rPr>
        <w:t xml:space="preserve"> </w:t>
      </w:r>
      <w:r>
        <w:rPr>
          <w:rFonts w:ascii="Arial" w:cs="Arial" w:eastAsia="Arial" w:hAnsi="Arial"/>
          <w:sz w:val="20"/>
          <w:szCs w:val="20"/>
          <w:color w:val="010000"/>
        </w:rPr>
        <w:t>performance achieved against goals by the Compensation Committee following completion of the Performance Period (the “Scheduled Vesting Date”), provided there has been continuous employment of the Participant by the Company and/or Subsidiary from the date of Grant to the Scheduled Vesting Date, subject to the provisions of Sections 4 and 5 below.</w:t>
      </w:r>
    </w:p>
    <w:p>
      <w:pPr>
        <w:spacing w:after="0" w:line="155" w:lineRule="exact"/>
        <w:rPr>
          <w:rFonts w:ascii="Arial" w:cs="Arial" w:eastAsia="Arial" w:hAnsi="Arial"/>
          <w:sz w:val="20"/>
          <w:szCs w:val="20"/>
          <w:b w:val="1"/>
          <w:bCs w:val="1"/>
          <w:color w:val="010000"/>
        </w:rPr>
      </w:pPr>
    </w:p>
    <w:p>
      <w:pPr>
        <w:ind w:left="1660" w:hanging="778"/>
        <w:spacing w:after="0"/>
        <w:tabs>
          <w:tab w:leader="none" w:pos="1660" w:val="left"/>
        </w:tabs>
        <w:numPr>
          <w:ilvl w:val="0"/>
          <w:numId w:val="7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Termination of Employment</w:t>
      </w:r>
      <w:r>
        <w:rPr>
          <w:rFonts w:ascii="Arial" w:cs="Arial" w:eastAsia="Arial" w:hAnsi="Arial"/>
          <w:sz w:val="21"/>
          <w:szCs w:val="21"/>
          <w:b w:val="1"/>
          <w:bCs w:val="1"/>
          <w:color w:val="010000"/>
        </w:rPr>
        <w:t xml:space="preserve">. </w:t>
      </w:r>
      <w:r>
        <w:rPr>
          <w:rFonts w:ascii="Arial" w:cs="Arial" w:eastAsia="Arial" w:hAnsi="Arial"/>
          <w:sz w:val="21"/>
          <w:szCs w:val="21"/>
          <w:color w:val="010000"/>
        </w:rPr>
        <w:t>Notwithstanding the foregoing:</w:t>
      </w:r>
    </w:p>
    <w:p>
      <w:pPr>
        <w:spacing w:after="0" w:line="204" w:lineRule="exact"/>
        <w:rPr>
          <w:sz w:val="20"/>
          <w:szCs w:val="20"/>
          <w:color w:val="auto"/>
        </w:rPr>
      </w:pPr>
    </w:p>
    <w:p>
      <w:pPr>
        <w:jc w:val="both"/>
        <w:ind w:firstLine="882"/>
        <w:spacing w:after="0" w:line="263" w:lineRule="auto"/>
        <w:tabs>
          <w:tab w:leader="none" w:pos="1728" w:val="left"/>
        </w:tabs>
        <w:numPr>
          <w:ilvl w:val="0"/>
          <w:numId w:val="73"/>
        </w:numPr>
        <w:rPr>
          <w:rFonts w:ascii="Arial" w:cs="Arial" w:eastAsia="Arial" w:hAnsi="Arial"/>
          <w:sz w:val="19"/>
          <w:szCs w:val="19"/>
          <w:color w:val="010000"/>
        </w:rPr>
      </w:pPr>
      <w:r>
        <w:rPr>
          <w:rFonts w:ascii="Arial" w:cs="Arial" w:eastAsia="Arial" w:hAnsi="Arial"/>
          <w:sz w:val="19"/>
          <w:szCs w:val="19"/>
          <w:color w:val="010000"/>
        </w:rPr>
        <w:t>If the Participant’s employment terminates, for reasons other than “Cause” (</w:t>
      </w:r>
      <w:r>
        <w:rPr>
          <w:rFonts w:ascii="Arial" w:cs="Arial" w:eastAsia="Arial" w:hAnsi="Arial"/>
          <w:sz w:val="19"/>
          <w:szCs w:val="19"/>
          <w:i w:val="1"/>
          <w:iCs w:val="1"/>
          <w:color w:val="010000"/>
        </w:rPr>
        <w:t>as defined below)</w:t>
      </w:r>
      <w:r>
        <w:rPr>
          <w:rFonts w:ascii="Arial" w:cs="Arial" w:eastAsia="Arial" w:hAnsi="Arial"/>
          <w:sz w:val="19"/>
          <w:szCs w:val="19"/>
          <w:color w:val="010000"/>
        </w:rPr>
        <w:t xml:space="preserve">, at age 60 or older and the Participant has at least ten years of continuous employment with either or both of the Company or a Subsidiary, the Award shall vest according to the terms of the Award Agreement including its performance conditions, </w:t>
      </w:r>
      <w:r>
        <w:rPr>
          <w:rFonts w:ascii="Arial" w:cs="Arial" w:eastAsia="Arial" w:hAnsi="Arial"/>
          <w:sz w:val="19"/>
          <w:szCs w:val="19"/>
          <w:u w:val="single" w:color="auto"/>
          <w:color w:val="010000"/>
        </w:rPr>
        <w:t>except</w:t>
      </w:r>
      <w:r>
        <w:rPr>
          <w:rFonts w:ascii="Arial" w:cs="Arial" w:eastAsia="Arial" w:hAnsi="Arial"/>
          <w:sz w:val="19"/>
          <w:szCs w:val="19"/>
          <w:color w:val="010000"/>
        </w:rPr>
        <w:t xml:space="preserve"> that, unless the Participant is an Executive Officer, categorized as a Tier 1 Executive Officer at the time of grant or at the time of termination, age 65 or older and has at least ten years of continuous employment with either or both of the Company or a Subsidiary at the time of termination, if such termination occurs during the first year of the Award, the Award shall be prorated based on the number of days worked during the first year of the Award to the date of termination divided by 365 and the Shares shall be delivered in accordance with Section 6.</w:t>
      </w:r>
    </w:p>
    <w:p>
      <w:pPr>
        <w:spacing w:after="0" w:line="158" w:lineRule="exact"/>
        <w:rPr>
          <w:rFonts w:ascii="Arial" w:cs="Arial" w:eastAsia="Arial" w:hAnsi="Arial"/>
          <w:sz w:val="19"/>
          <w:szCs w:val="19"/>
          <w:color w:val="010000"/>
        </w:rPr>
      </w:pPr>
    </w:p>
    <w:p>
      <w:pPr>
        <w:jc w:val="both"/>
        <w:ind w:firstLine="882"/>
        <w:spacing w:after="0" w:line="237" w:lineRule="auto"/>
        <w:tabs>
          <w:tab w:leader="none" w:pos="1739" w:val="left"/>
        </w:tabs>
        <w:numPr>
          <w:ilvl w:val="0"/>
          <w:numId w:val="73"/>
        </w:numPr>
        <w:rPr>
          <w:rFonts w:ascii="Arial" w:cs="Arial" w:eastAsia="Arial" w:hAnsi="Arial"/>
          <w:sz w:val="21"/>
          <w:szCs w:val="21"/>
          <w:color w:val="010000"/>
        </w:rPr>
      </w:pPr>
      <w:r>
        <w:rPr>
          <w:rFonts w:ascii="Arial" w:cs="Arial" w:eastAsia="Arial" w:hAnsi="Arial"/>
          <w:sz w:val="21"/>
          <w:szCs w:val="21"/>
          <w:color w:val="010000"/>
        </w:rPr>
        <w:t>If the Participant’s employment terminates by reason of death or “Long-Term Disability” (</w:t>
      </w:r>
      <w:r>
        <w:rPr>
          <w:rFonts w:ascii="Arial" w:cs="Arial" w:eastAsia="Arial" w:hAnsi="Arial"/>
          <w:sz w:val="21"/>
          <w:szCs w:val="21"/>
          <w:i w:val="1"/>
          <w:iCs w:val="1"/>
          <w:color w:val="010000"/>
        </w:rPr>
        <w:t>as defined below</w:t>
      </w:r>
      <w:r>
        <w:rPr>
          <w:rFonts w:ascii="Arial" w:cs="Arial" w:eastAsia="Arial" w:hAnsi="Arial"/>
          <w:sz w:val="21"/>
          <w:szCs w:val="21"/>
          <w:color w:val="010000"/>
        </w:rPr>
        <w:t>) of the Participant, the Award shall immediately vest. For that portion of the Award subject to performance against TSR, vesting shall be at Target Performance. For that portion of the Award subject to performance against ROIC, vesting shall be at the attainment levels for those years for which a determination has been made by the Compensation Committee and at Target Performance for any other year during the Performance Period.</w:t>
      </w:r>
    </w:p>
    <w:p>
      <w:pPr>
        <w:spacing w:after="0" w:line="177" w:lineRule="exact"/>
        <w:rPr>
          <w:rFonts w:ascii="Arial" w:cs="Arial" w:eastAsia="Arial" w:hAnsi="Arial"/>
          <w:sz w:val="21"/>
          <w:szCs w:val="21"/>
          <w:color w:val="010000"/>
        </w:rPr>
      </w:pPr>
    </w:p>
    <w:p>
      <w:pPr>
        <w:jc w:val="both"/>
        <w:ind w:firstLine="882"/>
        <w:spacing w:after="0" w:line="248" w:lineRule="auto"/>
        <w:tabs>
          <w:tab w:leader="none" w:pos="1728" w:val="left"/>
        </w:tabs>
        <w:numPr>
          <w:ilvl w:val="0"/>
          <w:numId w:val="73"/>
        </w:numPr>
        <w:rPr>
          <w:rFonts w:ascii="Arial" w:cs="Arial" w:eastAsia="Arial" w:hAnsi="Arial"/>
          <w:sz w:val="20"/>
          <w:szCs w:val="20"/>
          <w:color w:val="010000"/>
        </w:rPr>
      </w:pPr>
      <w:r>
        <w:rPr>
          <w:rFonts w:ascii="Arial" w:cs="Arial" w:eastAsia="Arial" w:hAnsi="Arial"/>
          <w:sz w:val="20"/>
          <w:szCs w:val="20"/>
          <w:color w:val="010000"/>
        </w:rPr>
        <w:t xml:space="preserve">Subject to the provisions of Section 5(a), if the Participant’s employment terminates by reason of a workforce reduction, the Award shall vest according to the terms of the Award Agreement including its performance conditions, and the Shares shall be delivered in accordance with Section 6, </w:t>
      </w:r>
      <w:r>
        <w:rPr>
          <w:rFonts w:ascii="Arial" w:cs="Arial" w:eastAsia="Arial" w:hAnsi="Arial"/>
          <w:sz w:val="20"/>
          <w:szCs w:val="20"/>
          <w:u w:val="single" w:color="auto"/>
          <w:color w:val="010000"/>
        </w:rPr>
        <w:t>except</w:t>
      </w:r>
      <w:r>
        <w:rPr>
          <w:rFonts w:ascii="Arial" w:cs="Arial" w:eastAsia="Arial" w:hAnsi="Arial"/>
          <w:sz w:val="20"/>
          <w:szCs w:val="20"/>
          <w:color w:val="010000"/>
        </w:rPr>
        <w:t xml:space="preserve"> that, unless the Participant is an executive officer, categorized as a Tier 1 Executive Officer at the time of grant or at the time of termination, age 65 or older and has at least ten years of continuous employment with either or both of the Company or a Subsidiary at time of termination, if such termination occurs during the first year of the Award, the Award shall be reduced in proportion to the number of days worked during the first year of the Award and 365 and the Shares shall be delivered in accordance with Section 6; and</w:t>
      </w:r>
    </w:p>
    <w:p>
      <w:pPr>
        <w:spacing w:after="0" w:line="171" w:lineRule="exact"/>
        <w:rPr>
          <w:rFonts w:ascii="Arial" w:cs="Arial" w:eastAsia="Arial" w:hAnsi="Arial"/>
          <w:sz w:val="20"/>
          <w:szCs w:val="20"/>
          <w:color w:val="010000"/>
        </w:rPr>
      </w:pPr>
    </w:p>
    <w:p>
      <w:pPr>
        <w:ind w:firstLine="882"/>
        <w:spacing w:after="0" w:line="253" w:lineRule="auto"/>
        <w:tabs>
          <w:tab w:leader="none" w:pos="1739" w:val="left"/>
        </w:tabs>
        <w:numPr>
          <w:ilvl w:val="0"/>
          <w:numId w:val="73"/>
        </w:numPr>
        <w:rPr>
          <w:rFonts w:ascii="Arial" w:cs="Arial" w:eastAsia="Arial" w:hAnsi="Arial"/>
          <w:sz w:val="21"/>
          <w:szCs w:val="21"/>
          <w:color w:val="010000"/>
        </w:rPr>
      </w:pPr>
      <w:r>
        <w:rPr>
          <w:rFonts w:ascii="Arial" w:cs="Arial" w:eastAsia="Arial" w:hAnsi="Arial"/>
          <w:sz w:val="21"/>
          <w:szCs w:val="21"/>
          <w:color w:val="010000"/>
        </w:rPr>
        <w:t>If the Participant’s employment terminates for reasons other than for those addressed in Sections 4(a)-(c) or Section 5(a), all PRSUs subject to this Award shall be forfeited upon Participant’s termination of employment.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3" w:name="page94"/>
    <w:bookmarkEnd w:id="93"/>
    <w:p>
      <w:pPr>
        <w:jc w:val="both"/>
        <w:ind w:firstLine="882"/>
        <w:spacing w:after="0" w:line="237" w:lineRule="auto"/>
        <w:tabs>
          <w:tab w:leader="none" w:pos="1728" w:val="left"/>
        </w:tabs>
        <w:numPr>
          <w:ilvl w:val="0"/>
          <w:numId w:val="74"/>
        </w:numPr>
        <w:rPr>
          <w:rFonts w:ascii="Arial" w:cs="Arial" w:eastAsia="Arial" w:hAnsi="Arial"/>
          <w:sz w:val="21"/>
          <w:szCs w:val="21"/>
          <w:color w:val="010000"/>
        </w:rPr>
      </w:pPr>
      <w:r>
        <w:rPr>
          <w:rFonts w:ascii="Arial" w:cs="Arial" w:eastAsia="Arial" w:hAnsi="Arial"/>
          <w:sz w:val="21"/>
          <w:szCs w:val="21"/>
          <w:color w:val="010000"/>
        </w:rPr>
        <w:t>For purposes of clarity and unless otherwise determined by the Committee in its sole discretion, any termination of employment shall be effective as of the date on which the Participant’s active employment ends and will not be extended by any notice period mandated under local law (e.g., active employment will not include a period of “garden leave” or similar period pursuant to local law). The Compensation Committee shall have the exclusive discretion to determine when the Participant is no longer actively employed for purposes of the PRSUs.</w:t>
      </w:r>
    </w:p>
    <w:p>
      <w:pPr>
        <w:spacing w:after="0" w:line="177" w:lineRule="exact"/>
        <w:rPr>
          <w:rFonts w:ascii="Arial" w:cs="Arial" w:eastAsia="Arial" w:hAnsi="Arial"/>
          <w:sz w:val="21"/>
          <w:szCs w:val="21"/>
          <w:color w:val="010000"/>
        </w:rPr>
      </w:pPr>
    </w:p>
    <w:p>
      <w:pPr>
        <w:jc w:val="both"/>
        <w:ind w:firstLine="882"/>
        <w:spacing w:after="0" w:line="248" w:lineRule="auto"/>
        <w:tabs>
          <w:tab w:leader="none" w:pos="1705" w:val="left"/>
        </w:tabs>
        <w:numPr>
          <w:ilvl w:val="0"/>
          <w:numId w:val="74"/>
        </w:numPr>
        <w:rPr>
          <w:rFonts w:ascii="Arial" w:cs="Arial" w:eastAsia="Arial" w:hAnsi="Arial"/>
          <w:sz w:val="20"/>
          <w:szCs w:val="20"/>
          <w:color w:val="010000"/>
        </w:rPr>
      </w:pPr>
      <w:r>
        <w:rPr>
          <w:rFonts w:ascii="Arial" w:cs="Arial" w:eastAsia="Arial" w:hAnsi="Arial"/>
          <w:sz w:val="20"/>
          <w:szCs w:val="20"/>
          <w:color w:val="010000"/>
        </w:rPr>
        <w:t>“Cause”, for the purposes hereof, shall mean the Participant has (1) engaged in gross negligence or willful misconduct in the performance of his or her duties and responsibilities respecting his or her position with the Company or Employer; (2) willfully refused, without proper legal reason, to perform the duties and responsibilities respecting his or her position with the Company or Employer; (3) breached any material policy or code of conduct established by the Company or Employer; (4) engaged in conduct that Participant knows or should know is materially injurious to the Company or Employer; (5) been convicted of a felony or a misdemeanor involving moral turpitude; or (6) engaged in an act of dishonest or impropriety which materially impairs the Participant’s effectiveness in his or her position with the Company or Employer.</w:t>
      </w:r>
    </w:p>
    <w:p>
      <w:pPr>
        <w:spacing w:after="0" w:line="171" w:lineRule="exact"/>
        <w:rPr>
          <w:rFonts w:ascii="Arial" w:cs="Arial" w:eastAsia="Arial" w:hAnsi="Arial"/>
          <w:sz w:val="20"/>
          <w:szCs w:val="20"/>
          <w:color w:val="010000"/>
        </w:rPr>
      </w:pPr>
    </w:p>
    <w:p>
      <w:pPr>
        <w:jc w:val="both"/>
        <w:ind w:firstLine="882"/>
        <w:spacing w:after="0" w:line="242" w:lineRule="auto"/>
        <w:tabs>
          <w:tab w:leader="none" w:pos="1739" w:val="left"/>
        </w:tabs>
        <w:numPr>
          <w:ilvl w:val="0"/>
          <w:numId w:val="74"/>
        </w:numPr>
        <w:rPr>
          <w:rFonts w:ascii="Arial" w:cs="Arial" w:eastAsia="Arial" w:hAnsi="Arial"/>
          <w:sz w:val="21"/>
          <w:szCs w:val="21"/>
          <w:color w:val="010000"/>
        </w:rPr>
      </w:pPr>
      <w:r>
        <w:rPr>
          <w:rFonts w:ascii="Arial" w:cs="Arial" w:eastAsia="Arial" w:hAnsi="Arial"/>
          <w:sz w:val="21"/>
          <w:szCs w:val="21"/>
          <w:color w:val="010000"/>
        </w:rPr>
        <w:t>“Long-Term Disability”, for the purposes hereof, shall mean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68" w:lineRule="exact"/>
        <w:rPr>
          <w:sz w:val="20"/>
          <w:szCs w:val="20"/>
          <w:color w:val="auto"/>
        </w:rPr>
      </w:pPr>
    </w:p>
    <w:p>
      <w:pPr>
        <w:ind w:left="1660" w:hanging="778"/>
        <w:spacing w:after="0"/>
        <w:tabs>
          <w:tab w:leader="none" w:pos="1660" w:val="left"/>
        </w:tabs>
        <w:numPr>
          <w:ilvl w:val="0"/>
          <w:numId w:val="7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Change in Control.</w:t>
      </w:r>
    </w:p>
    <w:p>
      <w:pPr>
        <w:spacing w:after="0" w:line="204" w:lineRule="exact"/>
        <w:rPr>
          <w:sz w:val="20"/>
          <w:szCs w:val="20"/>
          <w:color w:val="auto"/>
        </w:rPr>
      </w:pPr>
    </w:p>
    <w:p>
      <w:pPr>
        <w:jc w:val="both"/>
        <w:ind w:firstLine="882"/>
        <w:spacing w:after="0" w:line="277" w:lineRule="auto"/>
        <w:tabs>
          <w:tab w:leader="none" w:pos="1728" w:val="left"/>
        </w:tabs>
        <w:numPr>
          <w:ilvl w:val="0"/>
          <w:numId w:val="76"/>
        </w:numPr>
        <w:rPr>
          <w:rFonts w:ascii="Arial" w:cs="Arial" w:eastAsia="Arial" w:hAnsi="Arial"/>
          <w:sz w:val="18"/>
          <w:szCs w:val="18"/>
          <w:color w:val="010000"/>
        </w:rPr>
      </w:pPr>
      <w:r>
        <w:rPr>
          <w:rFonts w:ascii="Arial" w:cs="Arial" w:eastAsia="Arial" w:hAnsi="Arial"/>
          <w:sz w:val="18"/>
          <w:szCs w:val="18"/>
          <w:color w:val="010000"/>
        </w:rPr>
        <w:t>Notwithstanding any other agreement between the Company and the Participant, upon termination of employment in connection with a “Change in Control” (</w:t>
      </w:r>
      <w:r>
        <w:rPr>
          <w:rFonts w:ascii="Arial" w:cs="Arial" w:eastAsia="Arial" w:hAnsi="Arial"/>
          <w:sz w:val="18"/>
          <w:szCs w:val="18"/>
          <w:i w:val="1"/>
          <w:iCs w:val="1"/>
          <w:color w:val="010000"/>
        </w:rPr>
        <w:t>as defined below</w:t>
      </w:r>
      <w:r>
        <w:rPr>
          <w:rFonts w:ascii="Arial" w:cs="Arial" w:eastAsia="Arial" w:hAnsi="Arial"/>
          <w:sz w:val="18"/>
          <w:szCs w:val="18"/>
          <w:color w:val="010000"/>
        </w:rPr>
        <w:t>) or in the event the Company does not survive a Change in Control during the Performance Period as a separate publicly traded corporation, the Award granted hereunder shall immediately become vested. For that portion of the award subject to performance against a TSR goal, vesting shall be at the attainment level, and the number of shares to be vested shall be calculated as of when the Change in Control occurs, but otherwise in accordance with the Notice of Grant of Award using the Company’s TSR. For that portion of the Award subject to performance against a ROIC goal, vesting shall be at the attainment levels for those years for which a determination has been made by the Compensation Committee prior to the Change in Control and at Target Performance for any other year during the Performance Period unless termination of employment occurs after the Performance Period ends but before the Scheduled Vesting Date, in which case attainment levels will be calculated as of the end of the Performance Period.</w:t>
      </w:r>
    </w:p>
    <w:p>
      <w:pPr>
        <w:spacing w:after="0" w:line="149" w:lineRule="exact"/>
        <w:rPr>
          <w:rFonts w:ascii="Arial" w:cs="Arial" w:eastAsia="Arial" w:hAnsi="Arial"/>
          <w:sz w:val="18"/>
          <w:szCs w:val="18"/>
          <w:color w:val="010000"/>
        </w:rPr>
      </w:pPr>
    </w:p>
    <w:p>
      <w:pPr>
        <w:ind w:left="1740" w:hanging="858"/>
        <w:spacing w:after="0"/>
        <w:tabs>
          <w:tab w:leader="none" w:pos="1740" w:val="left"/>
        </w:tabs>
        <w:numPr>
          <w:ilvl w:val="0"/>
          <w:numId w:val="76"/>
        </w:numPr>
        <w:rPr>
          <w:rFonts w:ascii="Arial" w:cs="Arial" w:eastAsia="Arial" w:hAnsi="Arial"/>
          <w:sz w:val="21"/>
          <w:szCs w:val="21"/>
          <w:color w:val="010000"/>
        </w:rPr>
      </w:pPr>
      <w:r>
        <w:rPr>
          <w:rFonts w:ascii="Arial" w:cs="Arial" w:eastAsia="Arial" w:hAnsi="Arial"/>
          <w:sz w:val="21"/>
          <w:szCs w:val="21"/>
          <w:color w:val="010000"/>
        </w:rPr>
        <w:t>“Change in Control” for the purposes of this Award, shall mean the earliest date on which:</w:t>
      </w:r>
    </w:p>
    <w:p>
      <w:pPr>
        <w:spacing w:after="0" w:line="197" w:lineRule="exact"/>
        <w:rPr>
          <w:rFonts w:ascii="Arial" w:cs="Arial" w:eastAsia="Arial" w:hAnsi="Arial"/>
          <w:sz w:val="21"/>
          <w:szCs w:val="21"/>
          <w:color w:val="010000"/>
        </w:rPr>
      </w:pPr>
    </w:p>
    <w:p>
      <w:pPr>
        <w:jc w:val="both"/>
        <w:ind w:left="2620" w:hanging="872"/>
        <w:spacing w:after="0" w:line="238" w:lineRule="auto"/>
        <w:tabs>
          <w:tab w:leader="none" w:pos="2620" w:val="left"/>
        </w:tabs>
        <w:numPr>
          <w:ilvl w:val="1"/>
          <w:numId w:val="76"/>
        </w:numPr>
        <w:rPr>
          <w:rFonts w:ascii="Arial" w:cs="Arial" w:eastAsia="Arial" w:hAnsi="Arial"/>
          <w:sz w:val="21"/>
          <w:szCs w:val="21"/>
          <w:color w:val="010000"/>
        </w:rPr>
      </w:pPr>
      <w:r>
        <w:rPr>
          <w:rFonts w:ascii="Arial" w:cs="Arial" w:eastAsia="Arial" w:hAnsi="Arial"/>
          <w:sz w:val="21"/>
          <w:szCs w:val="21"/>
          <w:color w:val="010000"/>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4" w:name="page95"/>
    <w:bookmarkEnd w:id="94"/>
    <w:p>
      <w:pPr>
        <w:jc w:val="both"/>
        <w:ind w:left="2620" w:hanging="872"/>
        <w:spacing w:after="0" w:line="268" w:lineRule="auto"/>
        <w:tabs>
          <w:tab w:leader="none" w:pos="2620" w:val="left"/>
        </w:tabs>
        <w:numPr>
          <w:ilvl w:val="0"/>
          <w:numId w:val="77"/>
        </w:numPr>
        <w:rPr>
          <w:rFonts w:ascii="Arial" w:cs="Arial" w:eastAsia="Arial" w:hAnsi="Arial"/>
          <w:sz w:val="19"/>
          <w:szCs w:val="19"/>
          <w:color w:val="010000"/>
        </w:rPr>
      </w:pPr>
      <w:r>
        <w:rPr>
          <w:rFonts w:ascii="Arial" w:cs="Arial" w:eastAsia="Arial" w:hAnsi="Arial"/>
          <w:sz w:val="19"/>
          <w:szCs w:val="19"/>
          <w:color w:val="010000"/>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49" w:lineRule="exact"/>
        <w:rPr>
          <w:rFonts w:ascii="Arial" w:cs="Arial" w:eastAsia="Arial" w:hAnsi="Arial"/>
          <w:sz w:val="19"/>
          <w:szCs w:val="19"/>
          <w:color w:val="010000"/>
        </w:rPr>
      </w:pPr>
    </w:p>
    <w:p>
      <w:pPr>
        <w:jc w:val="both"/>
        <w:ind w:left="2620" w:hanging="872"/>
        <w:spacing w:after="0" w:line="260" w:lineRule="auto"/>
        <w:tabs>
          <w:tab w:leader="none" w:pos="2620" w:val="left"/>
        </w:tabs>
        <w:numPr>
          <w:ilvl w:val="0"/>
          <w:numId w:val="77"/>
        </w:numPr>
        <w:rPr>
          <w:rFonts w:ascii="Arial" w:cs="Arial" w:eastAsia="Arial" w:hAnsi="Arial"/>
          <w:sz w:val="19"/>
          <w:szCs w:val="19"/>
          <w:color w:val="010000"/>
        </w:rPr>
      </w:pPr>
      <w:r>
        <w:rPr>
          <w:rFonts w:ascii="Arial" w:cs="Arial" w:eastAsia="Arial" w:hAnsi="Arial"/>
          <w:sz w:val="19"/>
          <w:szCs w:val="19"/>
          <w:color w:val="010000"/>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50% or more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or more continuity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 or</w:t>
      </w:r>
    </w:p>
    <w:p>
      <w:pPr>
        <w:spacing w:after="0" w:line="161" w:lineRule="exact"/>
        <w:rPr>
          <w:rFonts w:ascii="Arial" w:cs="Arial" w:eastAsia="Arial" w:hAnsi="Arial"/>
          <w:sz w:val="19"/>
          <w:szCs w:val="19"/>
          <w:color w:val="010000"/>
        </w:rPr>
      </w:pPr>
    </w:p>
    <w:p>
      <w:pPr>
        <w:jc w:val="both"/>
        <w:ind w:left="2620" w:hanging="872"/>
        <w:spacing w:after="0" w:line="238" w:lineRule="auto"/>
        <w:tabs>
          <w:tab w:leader="none" w:pos="2620" w:val="left"/>
        </w:tabs>
        <w:numPr>
          <w:ilvl w:val="0"/>
          <w:numId w:val="77"/>
        </w:numPr>
        <w:rPr>
          <w:rFonts w:ascii="Arial" w:cs="Arial" w:eastAsia="Arial" w:hAnsi="Arial"/>
          <w:sz w:val="21"/>
          <w:szCs w:val="21"/>
          <w:color w:val="010000"/>
        </w:rPr>
      </w:pPr>
      <w:r>
        <w:rPr>
          <w:rFonts w:ascii="Arial" w:cs="Arial" w:eastAsia="Arial" w:hAnsi="Arial"/>
          <w:sz w:val="21"/>
          <w:szCs w:val="21"/>
          <w:color w:val="010000"/>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in Control shall be deemed to have occurred by virtue of any transaction which results in the Participant, or a group of Persons which includes the Participant, acquiring 20% or more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7" w:lineRule="exact"/>
        <w:rPr>
          <w:sz w:val="20"/>
          <w:szCs w:val="20"/>
          <w:color w:val="auto"/>
        </w:rPr>
      </w:pPr>
    </w:p>
    <w:p>
      <w:pPr>
        <w:jc w:val="both"/>
        <w:ind w:firstLine="882"/>
        <w:spacing w:after="0" w:line="238" w:lineRule="auto"/>
        <w:tabs>
          <w:tab w:leader="none" w:pos="1728" w:val="left"/>
        </w:tabs>
        <w:numPr>
          <w:ilvl w:val="0"/>
          <w:numId w:val="78"/>
        </w:numPr>
        <w:rPr>
          <w:rFonts w:ascii="Arial" w:cs="Arial" w:eastAsia="Arial" w:hAnsi="Arial"/>
          <w:sz w:val="21"/>
          <w:szCs w:val="21"/>
          <w:color w:val="010000"/>
        </w:rPr>
      </w:pPr>
      <w:r>
        <w:rPr>
          <w:rFonts w:ascii="Arial" w:cs="Arial" w:eastAsia="Arial" w:hAnsi="Arial"/>
          <w:sz w:val="21"/>
          <w:szCs w:val="21"/>
          <w:color w:val="010000"/>
        </w:rPr>
        <w:t>For the purposes of this Award Agreement, a termination in connection with a Change in Control shall mean a Change in Control shall have occurred and there has occurred a termination of the Participant’s employment with the Company or a Subsidiary either by the Company or a Subsidiary without Cause (</w:t>
      </w:r>
      <w:r>
        <w:rPr>
          <w:rFonts w:ascii="Arial" w:cs="Arial" w:eastAsia="Arial" w:hAnsi="Arial"/>
          <w:sz w:val="21"/>
          <w:szCs w:val="21"/>
          <w:i w:val="1"/>
          <w:iCs w:val="1"/>
          <w:color w:val="010000"/>
        </w:rPr>
        <w:t>as defined above in Section 4(f)</w:t>
      </w:r>
      <w:r>
        <w:rPr>
          <w:rFonts w:ascii="Arial" w:cs="Arial" w:eastAsia="Arial" w:hAnsi="Arial"/>
          <w:sz w:val="21"/>
          <w:szCs w:val="21"/>
          <w:color w:val="010000"/>
        </w:rPr>
        <w:t>), or by the Participant for “Good Reason” (</w:t>
      </w:r>
      <w:r>
        <w:rPr>
          <w:rFonts w:ascii="Arial" w:cs="Arial" w:eastAsia="Arial" w:hAnsi="Arial"/>
          <w:sz w:val="21"/>
          <w:szCs w:val="21"/>
          <w:i w:val="1"/>
          <w:iCs w:val="1"/>
          <w:color w:val="010000"/>
        </w:rPr>
        <w:t>as defined below</w:t>
      </w:r>
      <w:r>
        <w:rPr>
          <w:rFonts w:ascii="Arial" w:cs="Arial" w:eastAsia="Arial" w:hAnsi="Arial"/>
          <w:sz w:val="21"/>
          <w:szCs w:val="21"/>
          <w:color w:val="010000"/>
        </w:rPr>
        <w:t>) during the “Effective Period” (</w:t>
      </w:r>
      <w:r>
        <w:rPr>
          <w:rFonts w:ascii="Arial" w:cs="Arial" w:eastAsia="Arial" w:hAnsi="Arial"/>
          <w:sz w:val="21"/>
          <w:szCs w:val="21"/>
          <w:i w:val="1"/>
          <w:iCs w:val="1"/>
          <w:color w:val="010000"/>
        </w:rPr>
        <w:t>as defined below</w:t>
      </w:r>
      <w:r>
        <w:rPr>
          <w:rFonts w:ascii="Arial" w:cs="Arial" w:eastAsia="Arial" w:hAnsi="Arial"/>
          <w:sz w:val="21"/>
          <w:szCs w:val="21"/>
          <w:color w:val="010000"/>
        </w:rPr>
        <w:t>).</w:t>
      </w:r>
    </w:p>
    <w:p>
      <w:pPr>
        <w:spacing w:after="0" w:line="179" w:lineRule="exact"/>
        <w:rPr>
          <w:rFonts w:ascii="Arial" w:cs="Arial" w:eastAsia="Arial" w:hAnsi="Arial"/>
          <w:sz w:val="21"/>
          <w:szCs w:val="21"/>
          <w:color w:val="010000"/>
        </w:rPr>
      </w:pPr>
    </w:p>
    <w:p>
      <w:pPr>
        <w:jc w:val="both"/>
        <w:ind w:left="2620" w:hanging="872"/>
        <w:spacing w:after="0" w:line="242" w:lineRule="auto"/>
        <w:tabs>
          <w:tab w:leader="none" w:pos="2620" w:val="left"/>
        </w:tabs>
        <w:numPr>
          <w:ilvl w:val="1"/>
          <w:numId w:val="78"/>
        </w:numPr>
        <w:rPr>
          <w:rFonts w:ascii="Arial" w:cs="Arial" w:eastAsia="Arial" w:hAnsi="Arial"/>
          <w:sz w:val="21"/>
          <w:szCs w:val="21"/>
          <w:color w:val="010000"/>
        </w:rPr>
      </w:pPr>
      <w:r>
        <w:rPr>
          <w:rFonts w:ascii="Arial" w:cs="Arial" w:eastAsia="Arial" w:hAnsi="Arial"/>
          <w:sz w:val="21"/>
          <w:szCs w:val="21"/>
          <w:color w:val="010000"/>
        </w:rPr>
        <w:t>The “Effective Period” shall mean for the purposes of this Award Agreement the period from (A) the earliest date to occur of any of the following: (1) any of the events set forth under the definition of Change in</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5" w:name="page96"/>
    <w:bookmarkEnd w:id="95"/>
    <w:p>
      <w:pPr>
        <w:jc w:val="both"/>
        <w:ind w:left="1420"/>
        <w:spacing w:after="0" w:line="259" w:lineRule="auto"/>
        <w:rPr>
          <w:sz w:val="20"/>
          <w:szCs w:val="20"/>
          <w:color w:val="auto"/>
        </w:rPr>
      </w:pPr>
      <w:r>
        <w:rPr>
          <w:rFonts w:ascii="Arial" w:cs="Arial" w:eastAsia="Arial" w:hAnsi="Arial"/>
          <w:sz w:val="19"/>
          <w:szCs w:val="19"/>
          <w:color w:val="010000"/>
        </w:rPr>
        <w:t>Control shall have occurred, (2) the receipt by the Company of a Schedule 13D stating the intention of any person to take actions which if accomplished, would constitute a Change in Control; (3) the public announcement by any person of its intention to take any such action, in each case without regard for any contingency or condition which has not been satisfied on such date; (4) the agreement by the Company to enter into a transaction which, if consummated, would result in a Change in Control; or (5) consideration by the Board of a transaction which, if consummated, would result in a Change in Control and continues until (B) the Scheduled Vesting Date, provided that the Change in Control is consummated during the Performance Period. If, however, an Effective Period occurs but the proposed transaction to which it relates ceases to be actively considered or pending, the Effective Period will be deemed not to have commenced for purposes of this Agreement. If, however, an Effective Period occurs with respect to a proposed transaction which ceased to be actively considered but for which active consideration is revived, the Effective Period with respect to the Change in Control that ultimately occurs shall begin on the date upon which consideration was revived and continue until the Scheduled Vesting Date, provided that the consummation of the Change in Control occurs during the Performance Period.</w:t>
      </w:r>
    </w:p>
    <w:p>
      <w:pPr>
        <w:spacing w:after="0" w:line="162" w:lineRule="exact"/>
        <w:rPr>
          <w:sz w:val="20"/>
          <w:szCs w:val="20"/>
          <w:color w:val="auto"/>
        </w:rPr>
      </w:pPr>
    </w:p>
    <w:p>
      <w:pPr>
        <w:jc w:val="both"/>
        <w:ind w:left="1420" w:hanging="872"/>
        <w:spacing w:after="0" w:line="258" w:lineRule="auto"/>
        <w:tabs>
          <w:tab w:leader="none" w:pos="1420" w:val="left"/>
        </w:tabs>
        <w:numPr>
          <w:ilvl w:val="0"/>
          <w:numId w:val="79"/>
        </w:numPr>
        <w:rPr>
          <w:rFonts w:ascii="Arial" w:cs="Arial" w:eastAsia="Arial" w:hAnsi="Arial"/>
          <w:sz w:val="19"/>
          <w:szCs w:val="19"/>
          <w:color w:val="010000"/>
        </w:rPr>
      </w:pPr>
      <w:r>
        <w:rPr>
          <w:rFonts w:ascii="Arial" w:cs="Arial" w:eastAsia="Arial" w:hAnsi="Arial"/>
          <w:sz w:val="19"/>
          <w:szCs w:val="19"/>
          <w:color w:val="010000"/>
        </w:rPr>
        <w:t>“Good Reason” for the purposes of the Award Agreement shall mean the occurrence of any of the following without the Participant’s express written consent: (1) a material change in the Participant’s status, title(s) or positions(s) with the Company, including as an officer of the Company, as in effect immediately prior to the Effective Period which in the Participant’s reasonable judgment, does not represent a promotion, with commensurate adjustment of compensation, from the Participant’s status, title(s) and positions(s) immediately prior to the Effective Period; or the assignment to the Participant of any duties or responsibilities which, in the Participant’s reasonable judgment, are materially inconsistent with such status, title(s) or positions(s); or any removal of the Participant from or any failure to reappoint or reelect the Participant to such position(s); provided that the circumstances described in this item (1) do not apply if as a result of the Participant’s Death, voluntary termination of employment after age 60, with 10 years of service or Long-Term Disability or following receipt by the Participant of written notice from the Company of the termination of the Participant’s employment for Cause; (2) a reduction by the Company during the Effective Period in the Participant’s then current base salary; (3) the failure by the Company to continue to effect any material Plan in which the Participant was participating immediately prior to the Effective Period other than as a result of the normal expiration or amendment of any such Plan in accordance with its terms; or the taking of any action, or the failure to act, by the Company which would materially adversely affect the Participant’s continued participation in any such Plan on at least as favorable a basis to</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67945</wp:posOffset>
            </wp:positionV>
            <wp:extent cx="729424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0220"/>
          </w:cols>
          <w:pgMar w:left="1440" w:top="325" w:right="239" w:bottom="1440" w:gutter="0" w:footer="0" w:header="0"/>
        </w:sectPr>
      </w:pPr>
    </w:p>
    <w:bookmarkStart w:id="96" w:name="page97"/>
    <w:bookmarkEnd w:id="96"/>
    <w:p>
      <w:pPr>
        <w:jc w:val="both"/>
        <w:ind w:left="2620"/>
        <w:spacing w:after="0" w:line="262" w:lineRule="auto"/>
        <w:rPr>
          <w:sz w:val="20"/>
          <w:szCs w:val="20"/>
          <w:color w:val="auto"/>
        </w:rPr>
      </w:pPr>
      <w:r>
        <w:rPr>
          <w:rFonts w:ascii="Arial" w:cs="Arial" w:eastAsia="Arial" w:hAnsi="Arial"/>
          <w:sz w:val="19"/>
          <w:szCs w:val="19"/>
          <w:color w:val="010000"/>
        </w:rPr>
        <w:t>the Participant’s participation as in effect immediately prior to the Effective Period or which would materially reduce the Participant’s benefits under any such Plan or deprive the Participant of any material benefit enjoyed by Participant immediately prior to the Effective Period; or (4) the relocation of the principal place of Participant’s employment to a location 25 miles further from the Participant’s principal residence. To qualify as Good Reason, a Participant must (i) give written notice of an event constituting Good Reason within 90 days of its initial occurrence, (ii) give the Company 30 days in which to cure such condition, and (iii) actually terminate employment within two years following the initial occurrence of the Good Reason condition and prior to the Scheduled Vesting Date.</w:t>
      </w:r>
    </w:p>
    <w:p>
      <w:pPr>
        <w:spacing w:after="0" w:line="153" w:lineRule="exact"/>
        <w:rPr>
          <w:sz w:val="20"/>
          <w:szCs w:val="20"/>
          <w:color w:val="auto"/>
        </w:rPr>
      </w:pPr>
    </w:p>
    <w:p>
      <w:pPr>
        <w:ind w:left="1660" w:hanging="778"/>
        <w:spacing w:after="0"/>
        <w:tabs>
          <w:tab w:leader="none" w:pos="1660" w:val="left"/>
        </w:tabs>
        <w:numPr>
          <w:ilvl w:val="0"/>
          <w:numId w:val="8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Delivery of Shares.</w:t>
      </w:r>
    </w:p>
    <w:p>
      <w:pPr>
        <w:spacing w:after="0" w:line="204" w:lineRule="exact"/>
        <w:rPr>
          <w:sz w:val="20"/>
          <w:szCs w:val="20"/>
          <w:color w:val="auto"/>
        </w:rPr>
      </w:pPr>
    </w:p>
    <w:p>
      <w:pPr>
        <w:jc w:val="both"/>
        <w:ind w:firstLine="882"/>
        <w:spacing w:after="0" w:line="249" w:lineRule="auto"/>
        <w:tabs>
          <w:tab w:leader="none" w:pos="1728" w:val="left"/>
        </w:tabs>
        <w:numPr>
          <w:ilvl w:val="0"/>
          <w:numId w:val="81"/>
        </w:numPr>
        <w:rPr>
          <w:rFonts w:ascii="Arial" w:cs="Arial" w:eastAsia="Arial" w:hAnsi="Arial"/>
          <w:sz w:val="20"/>
          <w:szCs w:val="20"/>
          <w:color w:val="010000"/>
        </w:rPr>
      </w:pPr>
      <w:r>
        <w:rPr>
          <w:rFonts w:ascii="Arial" w:cs="Arial" w:eastAsia="Arial" w:hAnsi="Arial"/>
          <w:sz w:val="20"/>
          <w:szCs w:val="20"/>
          <w:u w:val="single" w:color="auto"/>
          <w:color w:val="010000"/>
        </w:rPr>
        <w:t>Employed through Scheduled Vesting Date</w:t>
      </w:r>
      <w:r>
        <w:rPr>
          <w:rFonts w:ascii="Arial" w:cs="Arial" w:eastAsia="Arial" w:hAnsi="Arial"/>
          <w:sz w:val="20"/>
          <w:szCs w:val="20"/>
          <w:color w:val="010000"/>
        </w:rPr>
        <w:t>. If the Participant is continuously employed with the Company or a Subsidiary through the Scheduled Vesting Date the number of Shares equal to the number of PRSUs that have vested shall be delivered within 30 days following the Committee's certification of results of performance against goals and the number of PRSUs earned, but in no event later than the end of the calendar year during which the Scheduled Vesting Date occurs, unless deferred under the provisions of the Equity Incentive Deferral Program by means of the Company’s Election/ Acknowledgement Form, in which case the Shares shall be delivered pursuant to the Election/Acknowledgement Form.</w:t>
      </w:r>
    </w:p>
    <w:p>
      <w:pPr>
        <w:spacing w:after="0" w:line="170" w:lineRule="exact"/>
        <w:rPr>
          <w:rFonts w:ascii="Arial" w:cs="Arial" w:eastAsia="Arial" w:hAnsi="Arial"/>
          <w:sz w:val="20"/>
          <w:szCs w:val="20"/>
          <w:color w:val="010000"/>
        </w:rPr>
      </w:pPr>
    </w:p>
    <w:p>
      <w:pPr>
        <w:ind w:left="1740" w:hanging="858"/>
        <w:spacing w:after="0"/>
        <w:tabs>
          <w:tab w:leader="none" w:pos="1740" w:val="left"/>
        </w:tabs>
        <w:numPr>
          <w:ilvl w:val="0"/>
          <w:numId w:val="81"/>
        </w:numPr>
        <w:rPr>
          <w:rFonts w:ascii="Arial" w:cs="Arial" w:eastAsia="Arial" w:hAnsi="Arial"/>
          <w:sz w:val="21"/>
          <w:szCs w:val="21"/>
          <w:color w:val="010000"/>
        </w:rPr>
      </w:pPr>
      <w:r>
        <w:rPr>
          <w:rFonts w:ascii="Arial" w:cs="Arial" w:eastAsia="Arial" w:hAnsi="Arial"/>
          <w:sz w:val="21"/>
          <w:szCs w:val="21"/>
          <w:u w:val="single" w:color="auto"/>
          <w:color w:val="010000"/>
        </w:rPr>
        <w:t>Employment Terminates prior to Scheduled Vesting Date</w:t>
      </w:r>
    </w:p>
    <w:p>
      <w:pPr>
        <w:spacing w:after="0" w:line="197" w:lineRule="exact"/>
        <w:rPr>
          <w:rFonts w:ascii="Arial" w:cs="Arial" w:eastAsia="Arial" w:hAnsi="Arial"/>
          <w:sz w:val="21"/>
          <w:szCs w:val="21"/>
          <w:color w:val="010000"/>
        </w:rPr>
      </w:pPr>
    </w:p>
    <w:p>
      <w:pPr>
        <w:jc w:val="both"/>
        <w:ind w:left="2620" w:hanging="872"/>
        <w:spacing w:after="0" w:line="260" w:lineRule="auto"/>
        <w:tabs>
          <w:tab w:leader="none" w:pos="2620" w:val="left"/>
        </w:tabs>
        <w:numPr>
          <w:ilvl w:val="1"/>
          <w:numId w:val="81"/>
        </w:numPr>
        <w:rPr>
          <w:rFonts w:ascii="Arial" w:cs="Arial" w:eastAsia="Arial" w:hAnsi="Arial"/>
          <w:sz w:val="20"/>
          <w:szCs w:val="20"/>
          <w:color w:val="010000"/>
        </w:rPr>
      </w:pPr>
      <w:r>
        <w:rPr>
          <w:rFonts w:ascii="Arial" w:cs="Arial" w:eastAsia="Arial" w:hAnsi="Arial"/>
          <w:sz w:val="20"/>
          <w:szCs w:val="20"/>
          <w:color w:val="010000"/>
        </w:rPr>
        <w:t>If the Participant’s employment is terminated pursuant to the circumstances provided for in Section 4(b) hereof, prior to the Scheduled Vesting Date, the number of Shares equal to the PRSUs that were vested by reason of Section 4(b) shall be delivered within 30 days of the date of termination.</w:t>
      </w:r>
    </w:p>
    <w:p>
      <w:pPr>
        <w:spacing w:after="0" w:line="156" w:lineRule="exact"/>
        <w:rPr>
          <w:rFonts w:ascii="Arial" w:cs="Arial" w:eastAsia="Arial" w:hAnsi="Arial"/>
          <w:sz w:val="20"/>
          <w:szCs w:val="20"/>
          <w:color w:val="010000"/>
        </w:rPr>
      </w:pPr>
    </w:p>
    <w:p>
      <w:pPr>
        <w:jc w:val="both"/>
        <w:ind w:left="2620" w:hanging="872"/>
        <w:spacing w:after="0" w:line="272" w:lineRule="auto"/>
        <w:tabs>
          <w:tab w:leader="none" w:pos="2620" w:val="left"/>
        </w:tabs>
        <w:numPr>
          <w:ilvl w:val="1"/>
          <w:numId w:val="81"/>
        </w:numPr>
        <w:rPr>
          <w:rFonts w:ascii="Arial" w:cs="Arial" w:eastAsia="Arial" w:hAnsi="Arial"/>
          <w:sz w:val="19"/>
          <w:szCs w:val="19"/>
          <w:color w:val="010000"/>
        </w:rPr>
      </w:pPr>
      <w:r>
        <w:rPr>
          <w:rFonts w:ascii="Arial" w:cs="Arial" w:eastAsia="Arial" w:hAnsi="Arial"/>
          <w:sz w:val="19"/>
          <w:szCs w:val="19"/>
          <w:color w:val="010000"/>
        </w:rPr>
        <w:t>If the Participant’s employment is terminated pursuant to the circumstances provided for in Sections 4(a) or 4(c), the number of Shares equal to the number of PRSUs that vested pursuant to Section 4(a) or 4(c), as applicable, shall be delivered within 30 days following the Scheduled Vesting Date, but in no event later than the end of the calendar year during which the Scheduled Vesting Date occurs.</w:t>
      </w:r>
    </w:p>
    <w:p>
      <w:pPr>
        <w:spacing w:after="0" w:line="146" w:lineRule="exact"/>
        <w:rPr>
          <w:rFonts w:ascii="Arial" w:cs="Arial" w:eastAsia="Arial" w:hAnsi="Arial"/>
          <w:sz w:val="19"/>
          <w:szCs w:val="19"/>
          <w:color w:val="010000"/>
        </w:rPr>
      </w:pPr>
    </w:p>
    <w:p>
      <w:pPr>
        <w:jc w:val="both"/>
        <w:ind w:firstLine="882"/>
        <w:spacing w:after="0" w:line="265" w:lineRule="auto"/>
        <w:tabs>
          <w:tab w:leader="none" w:pos="1728" w:val="left"/>
        </w:tabs>
        <w:numPr>
          <w:ilvl w:val="0"/>
          <w:numId w:val="81"/>
        </w:numPr>
        <w:rPr>
          <w:rFonts w:ascii="Arial" w:cs="Arial" w:eastAsia="Arial" w:hAnsi="Arial"/>
          <w:sz w:val="19"/>
          <w:szCs w:val="19"/>
          <w:color w:val="010000"/>
        </w:rPr>
      </w:pPr>
      <w:r>
        <w:rPr>
          <w:rFonts w:ascii="Arial" w:cs="Arial" w:eastAsia="Arial" w:hAnsi="Arial"/>
          <w:sz w:val="19"/>
          <w:szCs w:val="19"/>
          <w:u w:val="single" w:color="auto"/>
          <w:color w:val="010000"/>
        </w:rPr>
        <w:t>Employment Termination in Connection with a Change in Control.</w:t>
      </w:r>
      <w:r>
        <w:rPr>
          <w:rFonts w:ascii="Arial" w:cs="Arial" w:eastAsia="Arial" w:hAnsi="Arial"/>
          <w:sz w:val="19"/>
          <w:szCs w:val="19"/>
          <w:color w:val="010000"/>
        </w:rPr>
        <w:t xml:space="preserve"> Upon termination of employment in connection with a Change in Control, that also constitutes a “change in control event” within the meaning of U.S. Department of Treasury Regulation Section 1.409A-3(i)(5) (a “Section 409A CIC”), the number of Shares equal to the Participant’s PRSUs vested pursuant to Section 5(a), shall be delivered within 30 days following such Section 409A CIC or such termination, whichever is the later to occur. Upon the occurrence of a Change in Control that is not a Section 409A CIC, the Shares underlying the Participant’s PRSUs vested pursuant to Section 5(a), shall be delivered within 30 days following the Scheduled Vesting Date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7" w:name="page98"/>
    <w:bookmarkEnd w:id="97"/>
    <w:p>
      <w:pPr>
        <w:jc w:val="both"/>
        <w:spacing w:after="0" w:line="242" w:lineRule="auto"/>
        <w:rPr>
          <w:sz w:val="20"/>
          <w:szCs w:val="20"/>
          <w:color w:val="auto"/>
        </w:rPr>
      </w:pPr>
      <w:r>
        <w:rPr>
          <w:rFonts w:ascii="Arial" w:cs="Arial" w:eastAsia="Arial" w:hAnsi="Arial"/>
          <w:sz w:val="21"/>
          <w:szCs w:val="21"/>
          <w:color w:val="010000"/>
        </w:rPr>
        <w:t>or such termination, whichever is the earlier to occur, unless the termination occurs before the Change in Control, in which case the PRSUs vested pursuant to Section 5(a) will be paid within 30 days following the Scheduled Vesting Date, but in no event later than the end of the calendar year during which the Scheduled Vesting Date occurs.</w:t>
      </w:r>
    </w:p>
    <w:p>
      <w:pPr>
        <w:spacing w:after="0" w:line="168" w:lineRule="exact"/>
        <w:rPr>
          <w:sz w:val="20"/>
          <w:szCs w:val="20"/>
          <w:color w:val="auto"/>
        </w:rPr>
      </w:pPr>
    </w:p>
    <w:p>
      <w:pPr>
        <w:ind w:firstLine="882"/>
        <w:spacing w:after="0" w:line="259" w:lineRule="auto"/>
        <w:tabs>
          <w:tab w:leader="none" w:pos="1739" w:val="left"/>
        </w:tabs>
        <w:numPr>
          <w:ilvl w:val="0"/>
          <w:numId w:val="82"/>
        </w:numPr>
        <w:rPr>
          <w:rFonts w:ascii="Arial" w:cs="Arial" w:eastAsia="Arial" w:hAnsi="Arial"/>
          <w:sz w:val="21"/>
          <w:szCs w:val="21"/>
          <w:color w:val="010000"/>
        </w:rPr>
      </w:pPr>
      <w:r>
        <w:rPr>
          <w:rFonts w:ascii="Arial" w:cs="Arial" w:eastAsia="Arial" w:hAnsi="Arial"/>
          <w:sz w:val="21"/>
          <w:szCs w:val="21"/>
          <w:u w:val="single" w:color="auto"/>
          <w:color w:val="010000"/>
        </w:rPr>
        <w:t>Payment Net of Withholding Taxes</w:t>
      </w:r>
      <w:r>
        <w:rPr>
          <w:rFonts w:ascii="Arial" w:cs="Arial" w:eastAsia="Arial" w:hAnsi="Arial"/>
          <w:sz w:val="21"/>
          <w:szCs w:val="21"/>
          <w:b w:val="1"/>
          <w:bCs w:val="1"/>
          <w:u w:val="single" w:color="auto"/>
          <w:color w:val="010000"/>
        </w:rPr>
        <w:t>.</w:t>
      </w:r>
      <w:r>
        <w:rPr>
          <w:rFonts w:ascii="Arial" w:cs="Arial" w:eastAsia="Arial" w:hAnsi="Arial"/>
          <w:sz w:val="21"/>
          <w:szCs w:val="21"/>
          <w:color w:val="010000"/>
        </w:rPr>
        <w:t xml:space="preserve"> The Shares which the Award entitles the Participant to receive shall be delivered to the Participant, subject to withholding as provided in Section 13 below.</w:t>
      </w:r>
    </w:p>
    <w:p>
      <w:pPr>
        <w:spacing w:after="0" w:line="151" w:lineRule="exact"/>
        <w:rPr>
          <w:sz w:val="20"/>
          <w:szCs w:val="20"/>
          <w:color w:val="auto"/>
        </w:rPr>
      </w:pPr>
    </w:p>
    <w:p>
      <w:pPr>
        <w:jc w:val="both"/>
        <w:ind w:firstLine="882"/>
        <w:spacing w:after="0" w:line="251" w:lineRule="auto"/>
        <w:tabs>
          <w:tab w:leader="none" w:pos="1653" w:val="left"/>
        </w:tabs>
        <w:numPr>
          <w:ilvl w:val="0"/>
          <w:numId w:val="83"/>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Restrictions on Transfer.</w:t>
      </w:r>
      <w:r>
        <w:rPr>
          <w:rFonts w:ascii="Arial" w:cs="Arial" w:eastAsia="Arial" w:hAnsi="Arial"/>
          <w:sz w:val="20"/>
          <w:szCs w:val="20"/>
          <w:b w:val="1"/>
          <w:bCs w:val="1"/>
          <w:color w:val="010000"/>
        </w:rPr>
        <w:t xml:space="preserve"> </w:t>
      </w:r>
      <w:r>
        <w:rPr>
          <w:rFonts w:ascii="Arial" w:cs="Arial" w:eastAsia="Arial" w:hAnsi="Arial"/>
          <w:sz w:val="20"/>
          <w:szCs w:val="20"/>
          <w:color w:val="010000"/>
        </w:rPr>
        <w:t>In no event shall an Award granted hereunder be voluntarily or involuntarily sold,</w:t>
      </w:r>
      <w:r>
        <w:rPr>
          <w:rFonts w:ascii="Arial" w:cs="Arial" w:eastAsia="Arial" w:hAnsi="Arial"/>
          <w:sz w:val="20"/>
          <w:szCs w:val="20"/>
          <w:b w:val="1"/>
          <w:bCs w:val="1"/>
          <w:color w:val="010000"/>
        </w:rPr>
        <w:t xml:space="preserve"> </w:t>
      </w:r>
      <w:r>
        <w:rPr>
          <w:rFonts w:ascii="Arial" w:cs="Arial" w:eastAsia="Arial" w:hAnsi="Arial"/>
          <w:sz w:val="20"/>
          <w:szCs w:val="20"/>
          <w:color w:val="010000"/>
        </w:rPr>
        <w:t>pledged, assigned or transferred by the Participant other than: (i) by will or the laws of descent and distribution; or (ii) pursuant to the qualified domestic relations order (as defined by the Internal Revenue Code); or (iii) by transfer by a Participant to a member of the Participant’s Immediate Family, or to a partnership or limited liability company whose only partners or shareholders are the Participant and members of his Immediate Family. However, any grant transferred shall continue to be subject to all terms and conditions contained in the Agreement. “Immediate Family” mean the spouse, children or grandchildren of the Participant.</w:t>
      </w:r>
    </w:p>
    <w:p>
      <w:pPr>
        <w:spacing w:after="0" w:line="158" w:lineRule="exact"/>
        <w:rPr>
          <w:rFonts w:ascii="Arial" w:cs="Arial" w:eastAsia="Arial" w:hAnsi="Arial"/>
          <w:sz w:val="20"/>
          <w:szCs w:val="20"/>
          <w:b w:val="1"/>
          <w:bCs w:val="1"/>
          <w:color w:val="010000"/>
        </w:rPr>
      </w:pPr>
    </w:p>
    <w:p>
      <w:pPr>
        <w:ind w:firstLine="882"/>
        <w:spacing w:after="0" w:line="259" w:lineRule="auto"/>
        <w:tabs>
          <w:tab w:leader="none" w:pos="1653" w:val="left"/>
        </w:tabs>
        <w:numPr>
          <w:ilvl w:val="0"/>
          <w:numId w:val="8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 Voting Rights.</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PRSUs granted pursuant to this Award, whether or not vested, will not confer any voting</w:t>
      </w:r>
      <w:r>
        <w:rPr>
          <w:rFonts w:ascii="Arial" w:cs="Arial" w:eastAsia="Arial" w:hAnsi="Arial"/>
          <w:sz w:val="21"/>
          <w:szCs w:val="21"/>
          <w:b w:val="1"/>
          <w:bCs w:val="1"/>
          <w:color w:val="010000"/>
        </w:rPr>
        <w:t xml:space="preserve"> </w:t>
      </w:r>
      <w:r>
        <w:rPr>
          <w:rFonts w:ascii="Arial" w:cs="Arial" w:eastAsia="Arial" w:hAnsi="Arial"/>
          <w:sz w:val="21"/>
          <w:szCs w:val="21"/>
          <w:color w:val="010000"/>
        </w:rPr>
        <w:t>rights upon the Participant, unless and until the Award is paid in Shares.</w:t>
      </w:r>
    </w:p>
    <w:p>
      <w:pPr>
        <w:spacing w:after="0" w:line="150" w:lineRule="exact"/>
        <w:rPr>
          <w:rFonts w:ascii="Arial" w:cs="Arial" w:eastAsia="Arial" w:hAnsi="Arial"/>
          <w:sz w:val="21"/>
          <w:szCs w:val="21"/>
          <w:b w:val="1"/>
          <w:bCs w:val="1"/>
          <w:color w:val="010000"/>
        </w:rPr>
      </w:pPr>
    </w:p>
    <w:p>
      <w:pPr>
        <w:ind w:firstLine="882"/>
        <w:spacing w:after="0" w:line="259" w:lineRule="auto"/>
        <w:tabs>
          <w:tab w:leader="none" w:pos="1653" w:val="left"/>
        </w:tabs>
        <w:numPr>
          <w:ilvl w:val="0"/>
          <w:numId w:val="8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Changes in Capitalization.</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PRSUs granted pursuant to this Award shall be subject to the provisions of Section</w:t>
      </w:r>
      <w:r>
        <w:rPr>
          <w:rFonts w:ascii="Arial" w:cs="Arial" w:eastAsia="Arial" w:hAnsi="Arial"/>
          <w:sz w:val="21"/>
          <w:szCs w:val="21"/>
          <w:b w:val="1"/>
          <w:bCs w:val="1"/>
          <w:color w:val="010000"/>
        </w:rPr>
        <w:t xml:space="preserve"> </w:t>
      </w:r>
      <w:r>
        <w:rPr>
          <w:rFonts w:ascii="Arial" w:cs="Arial" w:eastAsia="Arial" w:hAnsi="Arial"/>
          <w:sz w:val="21"/>
          <w:szCs w:val="21"/>
          <w:color w:val="010000"/>
        </w:rPr>
        <w:t>12.2 of the Plan relating to adjustments to corporate capitalization.</w:t>
      </w:r>
    </w:p>
    <w:p>
      <w:pPr>
        <w:spacing w:after="0" w:line="150" w:lineRule="exact"/>
        <w:rPr>
          <w:rFonts w:ascii="Arial" w:cs="Arial" w:eastAsia="Arial" w:hAnsi="Arial"/>
          <w:sz w:val="21"/>
          <w:szCs w:val="21"/>
          <w:b w:val="1"/>
          <w:bCs w:val="1"/>
          <w:color w:val="010000"/>
        </w:rPr>
      </w:pPr>
    </w:p>
    <w:p>
      <w:pPr>
        <w:ind w:left="1760" w:hanging="878"/>
        <w:spacing w:after="0"/>
        <w:tabs>
          <w:tab w:leader="none" w:pos="1760" w:val="left"/>
        </w:tabs>
        <w:numPr>
          <w:ilvl w:val="0"/>
          <w:numId w:val="8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Covenant Not To Compete, Solicit or Disclose Confidential Information.</w:t>
      </w:r>
    </w:p>
    <w:p>
      <w:pPr>
        <w:spacing w:after="0" w:line="204" w:lineRule="exact"/>
        <w:rPr>
          <w:sz w:val="20"/>
          <w:szCs w:val="20"/>
          <w:color w:val="auto"/>
        </w:rPr>
      </w:pPr>
    </w:p>
    <w:p>
      <w:pPr>
        <w:jc w:val="both"/>
        <w:ind w:firstLine="882"/>
        <w:spacing w:after="0" w:line="274" w:lineRule="auto"/>
        <w:tabs>
          <w:tab w:leader="none" w:pos="1728" w:val="left"/>
        </w:tabs>
        <w:numPr>
          <w:ilvl w:val="0"/>
          <w:numId w:val="84"/>
        </w:numPr>
        <w:rPr>
          <w:rFonts w:ascii="Arial" w:cs="Arial" w:eastAsia="Arial" w:hAnsi="Arial"/>
          <w:sz w:val="18"/>
          <w:szCs w:val="18"/>
          <w:color w:val="010000"/>
        </w:rPr>
      </w:pPr>
      <w:r>
        <w:rPr>
          <w:rFonts w:ascii="Arial" w:cs="Arial" w:eastAsia="Arial" w:hAnsi="Arial"/>
          <w:sz w:val="18"/>
          <w:szCs w:val="18"/>
          <w:color w:val="010000"/>
        </w:rPr>
        <w:t xml:space="preserve">The Participant acknowledges that the Participant is in possession of and has access to confidential information, including material relating to the business, products and/or services of the Company or Employer and that he or she will continue to have such possession and access during employment by the Company or Employer. The Participant also acknowledges that the Company’s or Employer’s business, products and services are highly specialized and that it is essential that they be protected, and, accordingly, </w:t>
      </w:r>
      <w:r>
        <w:rPr>
          <w:rFonts w:ascii="Arial" w:cs="Arial" w:eastAsia="Arial" w:hAnsi="Arial"/>
          <w:sz w:val="18"/>
          <w:szCs w:val="18"/>
          <w:b w:val="1"/>
          <w:bCs w:val="1"/>
          <w:color w:val="010000"/>
        </w:rPr>
        <w:t>the</w:t>
      </w:r>
    </w:p>
    <w:p>
      <w:pPr>
        <w:spacing w:after="0" w:line="3" w:lineRule="exact"/>
        <w:rPr>
          <w:rFonts w:ascii="Arial" w:cs="Arial" w:eastAsia="Arial" w:hAnsi="Arial"/>
          <w:sz w:val="18"/>
          <w:szCs w:val="18"/>
          <w:color w:val="010000"/>
        </w:rPr>
      </w:pPr>
    </w:p>
    <w:p>
      <w:pPr>
        <w:jc w:val="both"/>
        <w:spacing w:after="0" w:line="245" w:lineRule="auto"/>
        <w:rPr>
          <w:rFonts w:ascii="Arial" w:cs="Arial" w:eastAsia="Arial" w:hAnsi="Arial"/>
          <w:sz w:val="18"/>
          <w:szCs w:val="18"/>
          <w:color w:val="010000"/>
        </w:rPr>
      </w:pPr>
      <w:r>
        <w:rPr>
          <w:rFonts w:ascii="Arial" w:cs="Arial" w:eastAsia="Arial" w:hAnsi="Arial"/>
          <w:sz w:val="20"/>
          <w:szCs w:val="20"/>
          <w:b w:val="1"/>
          <w:bCs w:val="1"/>
          <w:color w:val="010000"/>
        </w:rPr>
        <w:t>Participant agrees that as partial consideration for the Award granted herein that should the Participant engage in any “Detrimental Activity,” as defined below, at any time during his or her employment or during a period of one year following his or her termination the Company or Employer shall be entitled to: (i) recover from the Participant the value of any portion of the Award that has been paid; (ii) seek injunctive relief against the Participant pursuant to the provisions of subsection (c) below; (iii) recover all damages, court costs, and attorneys’ fees incurred by the Company or Employer in enforcing the provisions of this Award, and (iv) set-off any such sums to which the Company or Employer is entitled hereunder against any sum which may be owed the Participant by the Company or Employer.</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8" w:name="page99"/>
    <w:bookmarkEnd w:id="98"/>
    <w:p>
      <w:pPr>
        <w:jc w:val="both"/>
        <w:ind w:firstLine="882"/>
        <w:spacing w:after="0" w:line="271" w:lineRule="auto"/>
        <w:tabs>
          <w:tab w:leader="none" w:pos="1739" w:val="left"/>
        </w:tabs>
        <w:numPr>
          <w:ilvl w:val="1"/>
          <w:numId w:val="85"/>
        </w:numPr>
        <w:rPr>
          <w:rFonts w:ascii="Arial" w:cs="Arial" w:eastAsia="Arial" w:hAnsi="Arial"/>
          <w:sz w:val="18"/>
          <w:szCs w:val="18"/>
          <w:color w:val="010000"/>
        </w:rPr>
      </w:pPr>
      <w:r>
        <w:rPr>
          <w:rFonts w:ascii="Arial" w:cs="Arial" w:eastAsia="Arial" w:hAnsi="Arial"/>
          <w:sz w:val="18"/>
          <w:szCs w:val="18"/>
          <w:color w:val="010000"/>
        </w:rPr>
        <w:t>“Detrimental Activity” for the purposes hereof, other than with respect to involuntary termination without Cause, termination in connection with or as a result of a “Change in Control” (as defined in Section 5 hereof), or termination following a reduction in job responsibilities, shall include: (i) rendering of services for any person or organization, or engaging directly or indirectly in any business, which is or becomes competitive with the Company or any Subsidiary; (ii) disclosing to anyone outside the Company or any Subsidiary, or using in other than the Company’s or any Subsidiary’s business, without prior written authorization from the Company or any Subsidiary, any confidential information including material relating to the business, products or services of the Company or any Subsidiary acquired by the Participant during employment with the Company or any Subsidiary; (iii) soliciting, interfering, inducing, or attempting to cause any employee of the Company or any Subsidiary to leave his or her employment, whether done on Participant’s own account or on account of any person, organization or business which is or becomes competitive with the Company or any Subsidiary, or</w:t>
      </w:r>
    </w:p>
    <w:p>
      <w:pPr>
        <w:spacing w:after="0" w:line="7" w:lineRule="exact"/>
        <w:rPr>
          <w:rFonts w:ascii="Arial" w:cs="Arial" w:eastAsia="Arial" w:hAnsi="Arial"/>
          <w:sz w:val="18"/>
          <w:szCs w:val="18"/>
          <w:color w:val="010000"/>
        </w:rPr>
      </w:pPr>
    </w:p>
    <w:p>
      <w:pPr>
        <w:jc w:val="both"/>
        <w:ind w:firstLine="3"/>
        <w:spacing w:after="0" w:line="270" w:lineRule="auto"/>
        <w:tabs>
          <w:tab w:leader="none" w:pos="359" w:val="left"/>
        </w:tabs>
        <w:numPr>
          <w:ilvl w:val="0"/>
          <w:numId w:val="86"/>
        </w:numPr>
        <w:rPr>
          <w:rFonts w:ascii="Arial" w:cs="Arial" w:eastAsia="Arial" w:hAnsi="Arial"/>
          <w:sz w:val="19"/>
          <w:szCs w:val="19"/>
          <w:color w:val="010000"/>
        </w:rPr>
      </w:pPr>
      <w:r>
        <w:rPr>
          <w:rFonts w:ascii="Arial" w:cs="Arial" w:eastAsia="Arial" w:hAnsi="Arial"/>
          <w:sz w:val="19"/>
          <w:szCs w:val="19"/>
          <w:color w:val="010000"/>
        </w:rPr>
        <w:t>directly or indirectly soliciting the trade or business of any customer of the Company or any Subsidiary. “Detrimental Activity” for the purposes hereof with respect to involuntary termination without Cause, termination in connection with or as a result of a “Change in Control”, or termination following a reduction in job responsibilities, shall include only part (ii) of the preceding sentence.</w:t>
      </w:r>
    </w:p>
    <w:p>
      <w:pPr>
        <w:spacing w:after="0" w:line="149" w:lineRule="exact"/>
        <w:rPr>
          <w:rFonts w:ascii="Arial" w:cs="Arial" w:eastAsia="Arial" w:hAnsi="Arial"/>
          <w:sz w:val="19"/>
          <w:szCs w:val="19"/>
          <w:color w:val="010000"/>
        </w:rPr>
      </w:pPr>
    </w:p>
    <w:p>
      <w:pPr>
        <w:jc w:val="both"/>
        <w:ind w:firstLine="882"/>
        <w:spacing w:after="0" w:line="249" w:lineRule="auto"/>
        <w:tabs>
          <w:tab w:leader="none" w:pos="1728" w:val="left"/>
        </w:tabs>
        <w:numPr>
          <w:ilvl w:val="1"/>
          <w:numId w:val="86"/>
        </w:numPr>
        <w:rPr>
          <w:rFonts w:ascii="Arial" w:cs="Arial" w:eastAsia="Arial" w:hAnsi="Arial"/>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Employer for which it would have no other adequate remedy, the Participant agrees that the foregoing covenants may be enforced by the Company or Employer in the event of breach by him/her by injunction relief and restraining order, without the necessity of posting a bond, and that such enforcement shall not be the Company's or Employer’s exclusive remedy for a breach but instead shall be in addition to all other rights and remedies available to the Company or Employer.</w:t>
      </w:r>
    </w:p>
    <w:p>
      <w:pPr>
        <w:spacing w:after="0" w:line="170" w:lineRule="exact"/>
        <w:rPr>
          <w:rFonts w:ascii="Arial" w:cs="Arial" w:eastAsia="Arial" w:hAnsi="Arial"/>
          <w:sz w:val="20"/>
          <w:szCs w:val="20"/>
          <w:color w:val="auto"/>
        </w:rPr>
      </w:pPr>
    </w:p>
    <w:p>
      <w:pPr>
        <w:jc w:val="both"/>
        <w:ind w:firstLine="882"/>
        <w:spacing w:after="0" w:line="237" w:lineRule="auto"/>
        <w:tabs>
          <w:tab w:leader="none" w:pos="1739"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covenants and the provisions of this Section 10 are severable and separate, and the unenforceability of any specific covenant or provision shall not affect the enforceability of any other covenant or provision. Moreover, in the event any arbitrator or court of competent jurisdiction shall determine that the scope or time set forth are unreasonable, then it is the intention of the parties that such restrictions be enforced to the fullest extent which the panel or court deems reasonable, and this Agreement shall thereby be reformed.</w:t>
      </w:r>
    </w:p>
    <w:p>
      <w:pPr>
        <w:spacing w:after="0" w:line="177" w:lineRule="exact"/>
        <w:rPr>
          <w:rFonts w:ascii="Arial" w:cs="Arial" w:eastAsia="Arial" w:hAnsi="Arial"/>
          <w:sz w:val="21"/>
          <w:szCs w:val="21"/>
          <w:color w:val="auto"/>
        </w:rPr>
      </w:pPr>
    </w:p>
    <w:p>
      <w:pPr>
        <w:jc w:val="both"/>
        <w:ind w:firstLine="882"/>
        <w:spacing w:after="0" w:line="238" w:lineRule="auto"/>
        <w:tabs>
          <w:tab w:leader="none" w:pos="1728" w:val="left"/>
        </w:tabs>
        <w:numPr>
          <w:ilvl w:val="1"/>
          <w:numId w:val="86"/>
        </w:numPr>
        <w:rPr>
          <w:rFonts w:ascii="Arial" w:cs="Arial" w:eastAsia="Arial" w:hAnsi="Arial"/>
          <w:sz w:val="21"/>
          <w:szCs w:val="21"/>
          <w:color w:val="auto"/>
        </w:rPr>
      </w:pPr>
      <w:r>
        <w:rPr>
          <w:rFonts w:ascii="Arial" w:cs="Arial" w:eastAsia="Arial" w:hAnsi="Arial"/>
          <w:sz w:val="21"/>
          <w:szCs w:val="21"/>
          <w:color w:val="auto"/>
        </w:rPr>
        <w:t>Each of the covenants in this Section 10 shall be construed as an agreement independent of any other provision in this Agreement, and the existence of any claim or cause of action of the Participant against the Company or Employer, whether predicated on this Agreement or otherwise, shall not constitute a defense to the enforcement by the Company or Employer of such covenants or provisions.</w:t>
      </w:r>
    </w:p>
    <w:p>
      <w:pPr>
        <w:spacing w:after="0" w:line="173" w:lineRule="exact"/>
        <w:rPr>
          <w:sz w:val="20"/>
          <w:szCs w:val="20"/>
          <w:color w:val="auto"/>
        </w:rPr>
      </w:pPr>
    </w:p>
    <w:p>
      <w:pPr>
        <w:ind w:left="1740" w:hanging="858"/>
        <w:spacing w:after="0"/>
        <w:tabs>
          <w:tab w:leader="none" w:pos="1740" w:val="left"/>
        </w:tabs>
        <w:numPr>
          <w:ilvl w:val="0"/>
          <w:numId w:val="8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Nature of Grant</w:t>
      </w:r>
      <w:r>
        <w:rPr>
          <w:rFonts w:ascii="Arial" w:cs="Arial" w:eastAsia="Arial" w:hAnsi="Arial"/>
          <w:sz w:val="21"/>
          <w:szCs w:val="21"/>
          <w:color w:val="010000"/>
        </w:rPr>
        <w:t>. In accepting the Award of PRSUs, Participant acknowledges that:</w:t>
      </w:r>
    </w:p>
    <w:p>
      <w:pPr>
        <w:spacing w:after="0" w:line="204" w:lineRule="exact"/>
        <w:rPr>
          <w:sz w:val="20"/>
          <w:szCs w:val="20"/>
          <w:color w:val="auto"/>
        </w:rPr>
      </w:pPr>
    </w:p>
    <w:p>
      <w:pPr>
        <w:ind w:firstLine="882"/>
        <w:spacing w:after="0" w:line="305" w:lineRule="auto"/>
        <w:tabs>
          <w:tab w:leader="none" w:pos="1728" w:val="left"/>
        </w:tabs>
        <w:numPr>
          <w:ilvl w:val="0"/>
          <w:numId w:val="88"/>
        </w:numPr>
        <w:rPr>
          <w:rFonts w:ascii="Arial" w:cs="Arial" w:eastAsia="Arial" w:hAnsi="Arial"/>
          <w:sz w:val="19"/>
          <w:szCs w:val="19"/>
          <w:color w:val="010000"/>
        </w:rPr>
      </w:pPr>
      <w:r>
        <w:rPr>
          <w:rFonts w:ascii="Arial" w:cs="Arial" w:eastAsia="Arial" w:hAnsi="Arial"/>
          <w:sz w:val="19"/>
          <w:szCs w:val="19"/>
          <w:color w:val="010000"/>
        </w:rPr>
        <w:t>The Plan is established voluntarily by the Company, it is discretionary in nature and it may be modified, amended, suspended or terminated by the Company at any time, unless otherwise provided in the Plan and this Award Agreement.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9" w:name="page100"/>
    <w:bookmarkEnd w:id="99"/>
    <w:p>
      <w:pPr>
        <w:ind w:firstLine="882"/>
        <w:spacing w:after="0" w:line="253" w:lineRule="auto"/>
        <w:tabs>
          <w:tab w:leader="none" w:pos="1739"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The grant of PRSUs is a one-time benefit and does not create any contractual or other right to receive an award or benefits in lieu of an award in the future; future awards, if any, will be at the sole discretion of the Company.</w:t>
      </w:r>
    </w:p>
    <w:p>
      <w:pPr>
        <w:spacing w:after="0" w:line="162" w:lineRule="exact"/>
        <w:rPr>
          <w:rFonts w:ascii="Arial" w:cs="Arial" w:eastAsia="Arial" w:hAnsi="Arial"/>
          <w:sz w:val="21"/>
          <w:szCs w:val="21"/>
          <w:color w:val="010000"/>
        </w:rPr>
      </w:pPr>
    </w:p>
    <w:p>
      <w:pPr>
        <w:ind w:left="1740" w:hanging="858"/>
        <w:spacing w:after="0"/>
        <w:tabs>
          <w:tab w:leader="none" w:pos="1740"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The Participant is voluntarily participating in the Plan.</w:t>
      </w:r>
    </w:p>
    <w:p>
      <w:pPr>
        <w:spacing w:after="0" w:line="197" w:lineRule="exact"/>
        <w:rPr>
          <w:rFonts w:ascii="Arial" w:cs="Arial" w:eastAsia="Arial" w:hAnsi="Arial"/>
          <w:sz w:val="21"/>
          <w:szCs w:val="21"/>
          <w:color w:val="010000"/>
        </w:rPr>
      </w:pPr>
    </w:p>
    <w:p>
      <w:pPr>
        <w:ind w:firstLine="882"/>
        <w:spacing w:after="0" w:line="253" w:lineRule="auto"/>
        <w:tabs>
          <w:tab w:leader="none" w:pos="1739"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A PRSU is an extraordinary item that does not constitute compensation of any kind for services of any kind rendered to the Employer, and which is outside the scope of the Participant’s employment contract, if any.</w:t>
      </w:r>
    </w:p>
    <w:p>
      <w:pPr>
        <w:spacing w:after="0" w:line="162" w:lineRule="exact"/>
        <w:rPr>
          <w:rFonts w:ascii="Arial" w:cs="Arial" w:eastAsia="Arial" w:hAnsi="Arial"/>
          <w:sz w:val="21"/>
          <w:szCs w:val="21"/>
          <w:color w:val="010000"/>
        </w:rPr>
      </w:pPr>
    </w:p>
    <w:p>
      <w:pPr>
        <w:jc w:val="both"/>
        <w:ind w:firstLine="882"/>
        <w:spacing w:after="0" w:line="238" w:lineRule="auto"/>
        <w:tabs>
          <w:tab w:leader="none" w:pos="1728"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The PRSUs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179" w:lineRule="exact"/>
        <w:rPr>
          <w:rFonts w:ascii="Arial" w:cs="Arial" w:eastAsia="Arial" w:hAnsi="Arial"/>
          <w:sz w:val="21"/>
          <w:szCs w:val="21"/>
          <w:color w:val="010000"/>
        </w:rPr>
      </w:pPr>
    </w:p>
    <w:p>
      <w:pPr>
        <w:ind w:firstLine="882"/>
        <w:spacing w:after="0" w:line="253" w:lineRule="auto"/>
        <w:tabs>
          <w:tab w:leader="none" w:pos="1705"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The PRSUs will not be interpreted to form an employment contract or relationship with the Company; and furthermore, the PRSUs will not be interpreted to form an employment contract with any Subsidiary.</w:t>
      </w:r>
    </w:p>
    <w:p>
      <w:pPr>
        <w:spacing w:after="0" w:line="162" w:lineRule="exact"/>
        <w:rPr>
          <w:rFonts w:ascii="Arial" w:cs="Arial" w:eastAsia="Arial" w:hAnsi="Arial"/>
          <w:sz w:val="21"/>
          <w:szCs w:val="21"/>
          <w:color w:val="010000"/>
        </w:rPr>
      </w:pPr>
    </w:p>
    <w:p>
      <w:pPr>
        <w:jc w:val="both"/>
        <w:ind w:firstLine="882"/>
        <w:spacing w:after="0" w:line="242" w:lineRule="auto"/>
        <w:tabs>
          <w:tab w:leader="none" w:pos="1739"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This Agreement shall not confer upon the Participant any right to continuation of employment by the Employer, nor shall this Agreement interfere in any way with the Employer’s right to terminate the Participant’s employment at any time, as may be permitted under local law.</w:t>
      </w:r>
    </w:p>
    <w:p>
      <w:pPr>
        <w:spacing w:after="0" w:line="173" w:lineRule="exact"/>
        <w:rPr>
          <w:rFonts w:ascii="Arial" w:cs="Arial" w:eastAsia="Arial" w:hAnsi="Arial"/>
          <w:sz w:val="21"/>
          <w:szCs w:val="21"/>
          <w:color w:val="010000"/>
        </w:rPr>
      </w:pPr>
    </w:p>
    <w:p>
      <w:pPr>
        <w:ind w:left="1740" w:hanging="858"/>
        <w:spacing w:after="0"/>
        <w:tabs>
          <w:tab w:leader="none" w:pos="1740" w:val="left"/>
        </w:tabs>
        <w:numPr>
          <w:ilvl w:val="0"/>
          <w:numId w:val="89"/>
        </w:numPr>
        <w:rPr>
          <w:rFonts w:ascii="Arial" w:cs="Arial" w:eastAsia="Arial" w:hAnsi="Arial"/>
          <w:sz w:val="21"/>
          <w:szCs w:val="21"/>
          <w:color w:val="010000"/>
        </w:rPr>
      </w:pPr>
      <w:r>
        <w:rPr>
          <w:rFonts w:ascii="Arial" w:cs="Arial" w:eastAsia="Arial" w:hAnsi="Arial"/>
          <w:sz w:val="21"/>
          <w:szCs w:val="21"/>
          <w:color w:val="010000"/>
        </w:rPr>
        <w:t>The future value of the underlying Shares is unknown and cannot be predicted with certainty.</w:t>
      </w:r>
    </w:p>
    <w:p>
      <w:pPr>
        <w:spacing w:after="0" w:line="197" w:lineRule="exact"/>
        <w:rPr>
          <w:rFonts w:ascii="Arial" w:cs="Arial" w:eastAsia="Arial" w:hAnsi="Arial"/>
          <w:sz w:val="21"/>
          <w:szCs w:val="21"/>
          <w:color w:val="010000"/>
        </w:rPr>
      </w:pPr>
    </w:p>
    <w:p>
      <w:pPr>
        <w:ind w:left="1700" w:hanging="818"/>
        <w:spacing w:after="0"/>
        <w:tabs>
          <w:tab w:leader="none" w:pos="1700" w:val="left"/>
        </w:tabs>
        <w:numPr>
          <w:ilvl w:val="0"/>
          <w:numId w:val="89"/>
        </w:numPr>
        <w:rPr>
          <w:rFonts w:ascii="Arial" w:cs="Arial" w:eastAsia="Arial" w:hAnsi="Arial"/>
          <w:sz w:val="18"/>
          <w:szCs w:val="18"/>
          <w:color w:val="010000"/>
        </w:rPr>
      </w:pPr>
      <w:r>
        <w:rPr>
          <w:rFonts w:ascii="Arial" w:cs="Arial" w:eastAsia="Arial" w:hAnsi="Arial"/>
          <w:sz w:val="18"/>
          <w:szCs w:val="18"/>
          <w:color w:val="010000"/>
        </w:rPr>
        <w:t>If the PRSUs vest and the Participant obtains Shares, the value of those Shares acquired may increase or decrease in</w:t>
      </w:r>
    </w:p>
    <w:p>
      <w:pPr>
        <w:spacing w:after="0" w:line="4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1"/>
          <w:szCs w:val="21"/>
          <w:color w:val="010000"/>
        </w:rPr>
        <w:t>value.</w:t>
      </w:r>
    </w:p>
    <w:p>
      <w:pPr>
        <w:spacing w:after="0" w:line="179" w:lineRule="exact"/>
        <w:rPr>
          <w:rFonts w:ascii="Arial" w:cs="Arial" w:eastAsia="Arial" w:hAnsi="Arial"/>
          <w:sz w:val="18"/>
          <w:szCs w:val="18"/>
          <w:color w:val="010000"/>
        </w:rPr>
      </w:pPr>
    </w:p>
    <w:p>
      <w:pPr>
        <w:jc w:val="both"/>
        <w:ind w:firstLine="882"/>
        <w:spacing w:after="0" w:line="249" w:lineRule="auto"/>
        <w:tabs>
          <w:tab w:leader="none" w:pos="1693" w:val="left"/>
        </w:tabs>
        <w:numPr>
          <w:ilvl w:val="0"/>
          <w:numId w:val="89"/>
        </w:numPr>
        <w:rPr>
          <w:rFonts w:ascii="Arial" w:cs="Arial" w:eastAsia="Arial" w:hAnsi="Arial"/>
          <w:sz w:val="20"/>
          <w:szCs w:val="20"/>
          <w:color w:val="010000"/>
        </w:rPr>
      </w:pPr>
      <w:r>
        <w:rPr>
          <w:rFonts w:ascii="Arial" w:cs="Arial" w:eastAsia="Arial" w:hAnsi="Arial"/>
          <w:sz w:val="20"/>
          <w:szCs w:val="20"/>
          <w:color w:val="010000"/>
        </w:rPr>
        <w:t>In consideration of the grant of the PRSUs, no claim or entitlement to compensation or damages shall arise from termination of the PRSUs, or diminution in value of the PRSUs or Shares acquired upon settlement of the PRSUs, resulting from termination of the Participant’s employment (for any reason whatsoever and whether or not in breach of local labor laws) and the Participant irrevocably releases the Company and the Employer (if different) from any such claim that may arise; if, notwithstanding the foregoing, any such claim is found by a court of competent jurisdiction to have arisen, then, by accepting this Award, the Participant will be deemed irrevocably to have waived the Participant’s entitlement to pursue such claim.</w:t>
      </w:r>
    </w:p>
    <w:p>
      <w:pPr>
        <w:spacing w:after="0" w:line="170" w:lineRule="exact"/>
        <w:rPr>
          <w:rFonts w:ascii="Arial" w:cs="Arial" w:eastAsia="Arial" w:hAnsi="Arial"/>
          <w:sz w:val="20"/>
          <w:szCs w:val="20"/>
          <w:color w:val="010000"/>
        </w:rPr>
      </w:pPr>
    </w:p>
    <w:p>
      <w:pPr>
        <w:jc w:val="both"/>
        <w:ind w:firstLine="882"/>
        <w:spacing w:after="0" w:line="247" w:lineRule="auto"/>
        <w:tabs>
          <w:tab w:leader="none" w:pos="1739" w:val="left"/>
        </w:tabs>
        <w:numPr>
          <w:ilvl w:val="0"/>
          <w:numId w:val="89"/>
        </w:numPr>
        <w:rPr>
          <w:rFonts w:ascii="Arial" w:cs="Arial" w:eastAsia="Arial" w:hAnsi="Arial"/>
          <w:sz w:val="20"/>
          <w:szCs w:val="20"/>
          <w:color w:val="010000"/>
        </w:rPr>
      </w:pPr>
      <w:r>
        <w:rPr>
          <w:rFonts w:ascii="Arial" w:cs="Arial" w:eastAsia="Arial" w:hAnsi="Arial"/>
          <w:sz w:val="20"/>
          <w:szCs w:val="20"/>
          <w:color w:val="010000"/>
        </w:rPr>
        <w:t>In the event of involuntary termination of Participant’s employment (whether or not in breach of local labor laws), Participant’s right to receive the PRSUs and vest under the Plan, if any, will terminate effective as of the date that Participant is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Participant’s right to receive Shares pursuant to the PRSUs after termination of employment, if any will be measured by the date of termination of Participant’s active employment and will not be extended by a notice period mandated under local law; the Committee shall have the exclusive discretion to determine when the Participant is no longer actively employed for purposes of the award of the PRSUs.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0" w:name="page101"/>
    <w:bookmarkEnd w:id="100"/>
    <w:p>
      <w:pPr>
        <w:ind w:firstLine="882"/>
        <w:spacing w:after="0" w:line="253" w:lineRule="auto"/>
        <w:tabs>
          <w:tab w:leader="none" w:pos="1693" w:val="left"/>
        </w:tabs>
        <w:numPr>
          <w:ilvl w:val="0"/>
          <w:numId w:val="90"/>
        </w:numPr>
        <w:rPr>
          <w:rFonts w:ascii="Arial" w:cs="Arial" w:eastAsia="Arial" w:hAnsi="Arial"/>
          <w:sz w:val="21"/>
          <w:szCs w:val="21"/>
          <w:color w:val="010000"/>
        </w:rPr>
      </w:pPr>
      <w:r>
        <w:rPr>
          <w:rFonts w:ascii="Arial" w:cs="Arial" w:eastAsia="Arial" w:hAnsi="Arial"/>
          <w:sz w:val="21"/>
          <w:szCs w:val="21"/>
          <w:color w:val="010000"/>
        </w:rPr>
        <w:t>Except as provided in the Plan, the PRSUs and benefits under the Plan, if any, will not automatically transfer to another company in the case of a merger, take-over or transfer of liability.</w:t>
      </w:r>
    </w:p>
    <w:p>
      <w:pPr>
        <w:spacing w:after="0" w:line="157" w:lineRule="exact"/>
        <w:rPr>
          <w:sz w:val="20"/>
          <w:szCs w:val="20"/>
          <w:color w:val="auto"/>
        </w:rPr>
      </w:pPr>
    </w:p>
    <w:p>
      <w:pPr>
        <w:jc w:val="both"/>
        <w:ind w:firstLine="882"/>
        <w:spacing w:after="0" w:line="245" w:lineRule="auto"/>
        <w:tabs>
          <w:tab w:leader="none" w:pos="1757" w:val="left"/>
        </w:tabs>
        <w:numPr>
          <w:ilvl w:val="0"/>
          <w:numId w:val="9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Notices.</w:t>
      </w:r>
      <w:r>
        <w:rPr>
          <w:rFonts w:ascii="Arial" w:cs="Arial" w:eastAsia="Arial" w:hAnsi="Arial"/>
          <w:sz w:val="21"/>
          <w:szCs w:val="21"/>
          <w:b w:val="1"/>
          <w:bCs w:val="1"/>
          <w:color w:val="010000"/>
        </w:rPr>
        <w:t xml:space="preserve"> </w:t>
      </w:r>
      <w:r>
        <w:rPr>
          <w:rFonts w:ascii="Arial" w:cs="Arial" w:eastAsia="Arial" w:hAnsi="Arial"/>
          <w:sz w:val="21"/>
          <w:szCs w:val="21"/>
          <w:color w:val="010000"/>
        </w:rPr>
        <w:t>All notices required or permitted under this Award Agreement shall be in writing and shall be delivered</w:t>
      </w:r>
      <w:r>
        <w:rPr>
          <w:rFonts w:ascii="Arial" w:cs="Arial" w:eastAsia="Arial" w:hAnsi="Arial"/>
          <w:sz w:val="21"/>
          <w:szCs w:val="21"/>
          <w:b w:val="1"/>
          <w:bCs w:val="1"/>
          <w:color w:val="010000"/>
        </w:rPr>
        <w:t xml:space="preserve"> </w:t>
      </w:r>
      <w:r>
        <w:rPr>
          <w:rFonts w:ascii="Arial" w:cs="Arial" w:eastAsia="Arial" w:hAnsi="Arial"/>
          <w:sz w:val="21"/>
          <w:szCs w:val="21"/>
          <w:color w:val="010000"/>
        </w:rPr>
        <w:t>personally or by mailing the same by registered or certified mail postage prepaid, to the other party. Notice given by mail as below set out shall be deemed delivered at the time and on the date the same is postmarked.</w:t>
      </w:r>
    </w:p>
    <w:p>
      <w:pPr>
        <w:spacing w:after="0" w:line="17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Notices to the Company should be addressed to:</w:t>
      </w: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Cameron International Corporation</w:t>
      </w:r>
    </w:p>
    <w:p>
      <w:pPr>
        <w:spacing w:after="0" w:line="17"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1333 West Loop South, Suite 1700</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Houston, Texas 77027</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Attention: Corporate Secretary</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Telephone: 713-513-3322</w:t>
      </w:r>
    </w:p>
    <w:p>
      <w:pPr>
        <w:spacing w:after="0" w:line="181" w:lineRule="exact"/>
        <w:rPr>
          <w:sz w:val="20"/>
          <w:szCs w:val="20"/>
          <w:color w:val="auto"/>
        </w:rPr>
      </w:pPr>
    </w:p>
    <w:p>
      <w:pPr>
        <w:ind w:left="1760" w:hanging="878"/>
        <w:spacing w:after="0"/>
        <w:tabs>
          <w:tab w:leader="none" w:pos="1760" w:val="left"/>
        </w:tabs>
        <w:numPr>
          <w:ilvl w:val="0"/>
          <w:numId w:val="9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Tax and Social Insurance Withholding.</w:t>
      </w:r>
    </w:p>
    <w:p>
      <w:pPr>
        <w:spacing w:after="0" w:line="204" w:lineRule="exact"/>
        <w:rPr>
          <w:sz w:val="20"/>
          <w:szCs w:val="20"/>
          <w:color w:val="auto"/>
        </w:rPr>
      </w:pPr>
    </w:p>
    <w:p>
      <w:pPr>
        <w:jc w:val="both"/>
        <w:ind w:firstLine="882"/>
        <w:spacing w:after="0" w:line="247" w:lineRule="auto"/>
        <w:tabs>
          <w:tab w:leader="none" w:pos="1728" w:val="left"/>
        </w:tabs>
        <w:numPr>
          <w:ilvl w:val="0"/>
          <w:numId w:val="93"/>
        </w:numPr>
        <w:rPr>
          <w:rFonts w:ascii="Arial" w:cs="Arial" w:eastAsia="Arial" w:hAnsi="Arial"/>
          <w:sz w:val="20"/>
          <w:szCs w:val="20"/>
          <w:color w:val="010000"/>
        </w:rPr>
      </w:pPr>
      <w:r>
        <w:rPr>
          <w:rFonts w:ascii="Arial" w:cs="Arial" w:eastAsia="Arial" w:hAnsi="Arial"/>
          <w:sz w:val="20"/>
          <w:szCs w:val="20"/>
          <w:color w:val="010000"/>
        </w:rPr>
        <w:t>Regardless of any action the Company or Employer takes with respect to any or all income tax (including foreign, federal, state and local taxes), social insurance, payroll tax, payment on account or other tax-related items related to Participant’s participation in the Plan and legally applicable to him or her (“Tax-Related Items”), Participant acknowledges that the ultimate liability for all Tax-Related Items legally due by Participant is and remains his or her responsibility and may exceed the amount actually withheld by the Company or Employer. Participant further acknowledges that the Company or Employer (i) make no representations or undertakings regarding the treatment of any Tax-Related Items in connection with any aspect of the PRSUs, including the grant of the PRSUs, the vesting of the PRSUs, the conversion of the PRSUs into Shares or the receipt of any equivalent cash payment, the subsequent sale of any Shares acquired at vesting, and (ii) do not commit to structure the terms of the grant or any aspect of the PRSUs to reduce or eliminate Participant’s liability for the Tax-Related Items.</w:t>
      </w:r>
    </w:p>
    <w:p>
      <w:pPr>
        <w:spacing w:after="0" w:line="169" w:lineRule="exact"/>
        <w:rPr>
          <w:rFonts w:ascii="Arial" w:cs="Arial" w:eastAsia="Arial" w:hAnsi="Arial"/>
          <w:sz w:val="20"/>
          <w:szCs w:val="20"/>
          <w:color w:val="010000"/>
        </w:rPr>
      </w:pPr>
    </w:p>
    <w:p>
      <w:pPr>
        <w:jc w:val="both"/>
        <w:ind w:firstLine="882"/>
        <w:spacing w:after="0" w:line="261" w:lineRule="auto"/>
        <w:tabs>
          <w:tab w:leader="none" w:pos="1739" w:val="left"/>
        </w:tabs>
        <w:numPr>
          <w:ilvl w:val="0"/>
          <w:numId w:val="93"/>
        </w:numPr>
        <w:rPr>
          <w:rFonts w:ascii="Arial" w:cs="Arial" w:eastAsia="Arial" w:hAnsi="Arial"/>
          <w:sz w:val="19"/>
          <w:szCs w:val="19"/>
          <w:color w:val="010000"/>
        </w:rPr>
      </w:pPr>
      <w:r>
        <w:rPr>
          <w:rFonts w:ascii="Arial" w:cs="Arial" w:eastAsia="Arial" w:hAnsi="Arial"/>
          <w:sz w:val="19"/>
          <w:szCs w:val="19"/>
          <w:color w:val="010000"/>
        </w:rPr>
        <w:t>Prior to any relevant taxable or tax withholding event (“Tax Date”), as applicable, Participant will pay or make adequate arrangements satisfactory to the Company to satisfy all Tax-Related Items. In this regard, Participant authorizes the Company, Employer or their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Participant having an aggregate Fair Market Value, determined as of the Tax Date, or withhold an amount of cash from Participant’s wages or other cash compensation which would otherwise be payable to Participant by the Company or from any equivalent cash payment received upon vesting of the PRSUs, equal to the amount necessary to satisfy any such obligation, (iii) withhold from proceeds of the sale of Shares acquired upon issuance of the PRSUs either through a voluntary sale or through a mandatory sale arranged by the Company (on Participant’s behalf pursuant to this authorization), or (iv) a cash payment to the Company by a broker-dealer acceptable to the Company to whom Participant has submitted an irrevocable notice of sale.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1" w:name="page102"/>
    <w:bookmarkEnd w:id="101"/>
    <w:p>
      <w:pPr>
        <w:jc w:val="both"/>
        <w:ind w:firstLine="882"/>
        <w:spacing w:after="0" w:line="247" w:lineRule="auto"/>
        <w:tabs>
          <w:tab w:leader="none" w:pos="1728" w:val="left"/>
        </w:tabs>
        <w:numPr>
          <w:ilvl w:val="0"/>
          <w:numId w:val="94"/>
        </w:numPr>
        <w:rPr>
          <w:rFonts w:ascii="Arial" w:cs="Arial" w:eastAsia="Arial" w:hAnsi="Arial"/>
          <w:sz w:val="20"/>
          <w:szCs w:val="20"/>
          <w:color w:val="010000"/>
        </w:rPr>
      </w:pPr>
      <w:r>
        <w:rPr>
          <w:rFonts w:ascii="Arial" w:cs="Arial" w:eastAsia="Arial" w:hAnsi="Arial"/>
          <w:sz w:val="20"/>
          <w:szCs w:val="20"/>
          <w:color w:val="010000"/>
        </w:rPr>
        <w:t>To avoid negative accounting treatment, the Company may withhold or account for Tax-Related Items by considering applicable minimum statutory withholding rates. If the obligation for Tax-Related Items is satisfied by withholding in Shares, for tax purposes, Participant is deemed to have been issued the full number of Shares due to him or her at vesting, notwithstanding that a number of Shares are held back solely for the purpose of paying the Tax-Related Items due as a result of any aspect of Participant’s participation in the Plan. Finally, Participant shall pay to the Company or the Employer any amount of Tax-Related Items that the Company or the Employer may be required to withhold as a result of Participant’s participation in the Plan that cannot be satisfied by the means previously described. The Company may refuse to issue Shares to the Participant if Participant fails to comply with his or her obligations in connection with the Tax-Related Items as described herein.</w:t>
      </w:r>
    </w:p>
    <w:p>
      <w:pPr>
        <w:spacing w:after="0" w:line="168" w:lineRule="exact"/>
        <w:rPr>
          <w:sz w:val="20"/>
          <w:szCs w:val="20"/>
          <w:color w:val="auto"/>
        </w:rPr>
      </w:pPr>
    </w:p>
    <w:p>
      <w:pPr>
        <w:jc w:val="both"/>
        <w:ind w:firstLine="882"/>
        <w:spacing w:after="0" w:line="277" w:lineRule="auto"/>
        <w:tabs>
          <w:tab w:leader="none" w:pos="1757" w:val="left"/>
        </w:tabs>
        <w:numPr>
          <w:ilvl w:val="0"/>
          <w:numId w:val="9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010000"/>
        </w:rPr>
        <w:t>Repatriation; Compliance with Laws.</w:t>
      </w:r>
      <w:r>
        <w:rPr>
          <w:rFonts w:ascii="Arial" w:cs="Arial" w:eastAsia="Arial" w:hAnsi="Arial"/>
          <w:sz w:val="18"/>
          <w:szCs w:val="18"/>
          <w:b w:val="1"/>
          <w:bCs w:val="1"/>
          <w:color w:val="010000"/>
        </w:rPr>
        <w:t xml:space="preserve"> </w:t>
      </w:r>
      <w:r>
        <w:rPr>
          <w:rFonts w:ascii="Arial" w:cs="Arial" w:eastAsia="Arial" w:hAnsi="Arial"/>
          <w:sz w:val="18"/>
          <w:szCs w:val="18"/>
          <w:color w:val="010000"/>
        </w:rPr>
        <w:t>If the Participant is resident or employed outside of the United States, the</w:t>
      </w:r>
      <w:r>
        <w:rPr>
          <w:rFonts w:ascii="Arial" w:cs="Arial" w:eastAsia="Arial" w:hAnsi="Arial"/>
          <w:sz w:val="18"/>
          <w:szCs w:val="18"/>
          <w:b w:val="1"/>
          <w:bCs w:val="1"/>
          <w:color w:val="010000"/>
        </w:rPr>
        <w:t xml:space="preserve"> </w:t>
      </w:r>
      <w:r>
        <w:rPr>
          <w:rFonts w:ascii="Arial" w:cs="Arial" w:eastAsia="Arial" w:hAnsi="Arial"/>
          <w:sz w:val="18"/>
          <w:szCs w:val="18"/>
          <w:color w:val="010000"/>
        </w:rPr>
        <w:t>Participant may be required to repatriate all payments attributable to the Shares and/or cash acquired under the Plan (including, but not limited to, dividends and any proceeds derived from the sale of the Shares acquired pursuant to the PRSUs) in accordance with local foreign exchange rules and regulations in the Participant’s country of residence (and country of employment, if different). It is the Participant’s responsibility to comply with all foreign exchange rules and all other local compliance requirements that he or she may be subject to with respect to his or her participation in the Plan. In addition, the Participant is required to take any and all actions, and consent to any and all actions taken by the Company and its Subsidiaries, as may be necessary to allow the Company and its Subsidiaries to comply with local laws, rules and regulations in the Participant’s country of residence (and country of employment, if different). The Participant is also required to take any and all actions as may be necessary to comply with the Participant’s personal legal and tax obligations under local laws, rules and regulations in the Participant’s country of residence (and country of employment, if different).</w:t>
      </w:r>
    </w:p>
    <w:p>
      <w:pPr>
        <w:spacing w:after="0" w:line="143" w:lineRule="exact"/>
        <w:rPr>
          <w:rFonts w:ascii="Arial" w:cs="Arial" w:eastAsia="Arial" w:hAnsi="Arial"/>
          <w:sz w:val="18"/>
          <w:szCs w:val="18"/>
          <w:b w:val="1"/>
          <w:bCs w:val="1"/>
          <w:color w:val="010000"/>
        </w:rPr>
      </w:pPr>
    </w:p>
    <w:p>
      <w:pPr>
        <w:jc w:val="both"/>
        <w:ind w:firstLine="882"/>
        <w:spacing w:after="0" w:line="236" w:lineRule="auto"/>
        <w:tabs>
          <w:tab w:leader="none" w:pos="1757" w:val="left"/>
        </w:tabs>
        <w:numPr>
          <w:ilvl w:val="0"/>
          <w:numId w:val="9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Securities Matters.</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shall not be required to deliver any Shares until the requirements of any federal,</w:t>
      </w:r>
      <w:r>
        <w:rPr>
          <w:rFonts w:ascii="Arial" w:cs="Arial" w:eastAsia="Arial" w:hAnsi="Arial"/>
          <w:sz w:val="21"/>
          <w:szCs w:val="21"/>
          <w:b w:val="1"/>
          <w:bCs w:val="1"/>
          <w:color w:val="010000"/>
        </w:rPr>
        <w:t xml:space="preserve"> </w:t>
      </w:r>
      <w:r>
        <w:rPr>
          <w:rFonts w:ascii="Arial" w:cs="Arial" w:eastAsia="Arial" w:hAnsi="Arial"/>
          <w:sz w:val="21"/>
          <w:szCs w:val="21"/>
          <w:color w:val="010000"/>
        </w:rPr>
        <w:t>state or foreign securities or other laws, rules or regulations (including the rules of any securities exchange) as may be determined by the Company to be applicable are satisfied. If the Participant is resident or employed outside of the United States, neither the grant of the PRSUs under the Plan nor the issuance of the underlying Shares upon settlement of the PRSUs is intended to be a public offering of securities in the Participant’s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172" w:lineRule="exact"/>
        <w:rPr>
          <w:rFonts w:ascii="Arial" w:cs="Arial" w:eastAsia="Arial" w:hAnsi="Arial"/>
          <w:sz w:val="21"/>
          <w:szCs w:val="21"/>
          <w:b w:val="1"/>
          <w:bCs w:val="1"/>
          <w:color w:val="010000"/>
        </w:rPr>
      </w:pPr>
    </w:p>
    <w:p>
      <w:pPr>
        <w:jc w:val="both"/>
        <w:ind w:firstLine="882"/>
        <w:spacing w:after="0" w:line="269" w:lineRule="auto"/>
        <w:tabs>
          <w:tab w:leader="none" w:pos="1757" w:val="left"/>
        </w:tabs>
        <w:numPr>
          <w:ilvl w:val="0"/>
          <w:numId w:val="9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Legal Requirements and Risks.</w:t>
      </w:r>
      <w:r>
        <w:rPr>
          <w:rFonts w:ascii="Arial" w:cs="Arial" w:eastAsia="Arial" w:hAnsi="Arial"/>
          <w:sz w:val="19"/>
          <w:szCs w:val="19"/>
          <w:b w:val="1"/>
          <w:bCs w:val="1"/>
          <w:color w:val="010000"/>
        </w:rPr>
        <w:t xml:space="preserve"> </w:t>
      </w:r>
      <w:r>
        <w:rPr>
          <w:rFonts w:ascii="Arial" w:cs="Arial" w:eastAsia="Arial" w:hAnsi="Arial"/>
          <w:sz w:val="19"/>
          <w:szCs w:val="19"/>
          <w:color w:val="010000"/>
        </w:rPr>
        <w:t>No employee of the Company or a Subsidiary is permitted to advise the</w:t>
      </w:r>
      <w:r>
        <w:rPr>
          <w:rFonts w:ascii="Arial" w:cs="Arial" w:eastAsia="Arial" w:hAnsi="Arial"/>
          <w:sz w:val="19"/>
          <w:szCs w:val="19"/>
          <w:b w:val="1"/>
          <w:bCs w:val="1"/>
          <w:color w:val="010000"/>
        </w:rPr>
        <w:t xml:space="preserve"> </w:t>
      </w:r>
      <w:r>
        <w:rPr>
          <w:rFonts w:ascii="Arial" w:cs="Arial" w:eastAsia="Arial" w:hAnsi="Arial"/>
          <w:sz w:val="19"/>
          <w:szCs w:val="19"/>
          <w:color w:val="010000"/>
        </w:rPr>
        <w:t>Participant on whether the Participant should acquire Shares under the Plan. Acquiring Shares involves a degree of risk. Before deciding to acquire Shares pursuant to the PRSUs, the Participant should carefully consider all risk factors relevant to the acquisition of Shares under the Plan and the Participant should carefully review all of the materials related to the PRSUs and the Plan. In addition, the Participant should consult with the Participant’s own financial advisor and legal advisor for professional investment advice.</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2" w:name="page103"/>
    <w:bookmarkEnd w:id="102"/>
    <w:p>
      <w:pPr>
        <w:jc w:val="both"/>
        <w:ind w:left="-882" w:firstLine="882"/>
        <w:spacing w:after="0"/>
        <w:tabs>
          <w:tab w:leader="none" w:pos="875" w:val="left"/>
        </w:tabs>
        <w:numPr>
          <w:ilvl w:val="0"/>
          <w:numId w:val="96"/>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Electronic Delivery/Acceptance.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may, in its sole discretion, decide to deliver any documents related</w:t>
      </w:r>
      <w:r>
        <w:rPr>
          <w:rFonts w:ascii="Arial" w:cs="Arial" w:eastAsia="Arial" w:hAnsi="Arial"/>
          <w:sz w:val="21"/>
          <w:szCs w:val="21"/>
          <w:b w:val="1"/>
          <w:bCs w:val="1"/>
          <w:color w:val="010000"/>
        </w:rPr>
        <w:t xml:space="preserve"> </w:t>
      </w:r>
      <w:r>
        <w:rPr>
          <w:rFonts w:ascii="Arial" w:cs="Arial" w:eastAsia="Arial" w:hAnsi="Arial"/>
          <w:sz w:val="21"/>
          <w:szCs w:val="21"/>
          <w:color w:val="010000"/>
        </w:rPr>
        <w:t>to the PRSUs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010000"/>
        </w:rPr>
      </w:pPr>
    </w:p>
    <w:p>
      <w:pPr>
        <w:ind w:left="878" w:hanging="878"/>
        <w:spacing w:after="0"/>
        <w:tabs>
          <w:tab w:leader="none" w:pos="878" w:val="left"/>
        </w:tabs>
        <w:numPr>
          <w:ilvl w:val="0"/>
          <w:numId w:val="96"/>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Consent to Collection, Processing and Transfer of Personal Data.</w:t>
      </w:r>
    </w:p>
    <w:p>
      <w:pPr>
        <w:spacing w:after="0" w:line="204" w:lineRule="exact"/>
        <w:rPr>
          <w:sz w:val="20"/>
          <w:szCs w:val="20"/>
          <w:color w:val="auto"/>
        </w:rPr>
      </w:pPr>
    </w:p>
    <w:p>
      <w:pPr>
        <w:jc w:val="both"/>
        <w:ind w:left="-882" w:firstLine="882"/>
        <w:spacing w:after="0" w:line="248" w:lineRule="auto"/>
        <w:tabs>
          <w:tab w:leader="none" w:pos="846" w:val="left"/>
        </w:tabs>
        <w:numPr>
          <w:ilvl w:val="0"/>
          <w:numId w:val="97"/>
        </w:numPr>
        <w:rPr>
          <w:rFonts w:ascii="Arial" w:cs="Arial" w:eastAsia="Arial" w:hAnsi="Arial"/>
          <w:sz w:val="20"/>
          <w:szCs w:val="20"/>
          <w:color w:val="010000"/>
        </w:rPr>
      </w:pPr>
      <w:r>
        <w:rPr>
          <w:rFonts w:ascii="Arial" w:cs="Arial" w:eastAsia="Arial" w:hAnsi="Arial"/>
          <w:sz w:val="20"/>
          <w:szCs w:val="20"/>
          <w:color w:val="010000"/>
        </w:rPr>
        <w:t>Pursuant to applicable personal data protection laws, the Company and the Employer (if different) hereby notify the Participant of the following in relation to the Participant’s personal data and the collection, processing and transfer of such data in relation to the Company’s grant of this Award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The Participant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010000"/>
        </w:rPr>
      </w:pPr>
    </w:p>
    <w:p>
      <w:pPr>
        <w:jc w:val="both"/>
        <w:ind w:left="-882" w:firstLine="882"/>
        <w:spacing w:after="0" w:line="260" w:lineRule="auto"/>
        <w:tabs>
          <w:tab w:leader="none" w:pos="858" w:val="left"/>
        </w:tabs>
        <w:numPr>
          <w:ilvl w:val="0"/>
          <w:numId w:val="97"/>
        </w:numPr>
        <w:rPr>
          <w:rFonts w:ascii="Arial" w:cs="Arial" w:eastAsia="Arial" w:hAnsi="Arial"/>
          <w:sz w:val="19"/>
          <w:szCs w:val="19"/>
          <w:color w:val="010000"/>
        </w:rPr>
      </w:pPr>
      <w:r>
        <w:rPr>
          <w:rFonts w:ascii="Arial" w:cs="Arial" w:eastAsia="Arial" w:hAnsi="Arial"/>
          <w:sz w:val="19"/>
          <w:szCs w:val="19"/>
          <w:color w:val="010000"/>
        </w:rPr>
        <w:t>The Company and the Employer (if different)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awards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and Employer (if different)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157" w:lineRule="exact"/>
        <w:rPr>
          <w:rFonts w:ascii="Arial" w:cs="Arial" w:eastAsia="Arial" w:hAnsi="Arial"/>
          <w:sz w:val="19"/>
          <w:szCs w:val="19"/>
          <w:color w:val="010000"/>
        </w:rPr>
      </w:pPr>
    </w:p>
    <w:p>
      <w:pPr>
        <w:jc w:val="both"/>
        <w:ind w:left="-882" w:firstLine="882"/>
        <w:spacing w:after="0" w:line="247" w:lineRule="auto"/>
        <w:tabs>
          <w:tab w:leader="none" w:pos="846" w:val="left"/>
        </w:tabs>
        <w:numPr>
          <w:ilvl w:val="0"/>
          <w:numId w:val="97"/>
        </w:numPr>
        <w:rPr>
          <w:rFonts w:ascii="Arial" w:cs="Arial" w:eastAsia="Arial" w:hAnsi="Arial"/>
          <w:sz w:val="20"/>
          <w:szCs w:val="20"/>
          <w:color w:val="010000"/>
        </w:rPr>
      </w:pPr>
      <w:r>
        <w:rPr>
          <w:rFonts w:ascii="Arial" w:cs="Arial" w:eastAsia="Arial" w:hAnsi="Arial"/>
          <w:sz w:val="20"/>
          <w:szCs w:val="20"/>
          <w:color w:val="010000"/>
        </w:rPr>
        <w:t>The Company and the Employer (if different) will transfer Data amongst themselves as necessary for the purpose of implementation, administration and management of the Participant’s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78" w:lineRule="exact"/>
        <w:rPr>
          <w:sz w:val="20"/>
          <w:szCs w:val="20"/>
          <w:color w:val="auto"/>
        </w:rPr>
      </w:pPr>
    </w:p>
    <w:p>
      <w:pPr>
        <w:ind w:left="10378"/>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89535</wp:posOffset>
            </wp:positionV>
            <wp:extent cx="729424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0538"/>
          </w:cols>
          <w:pgMar w:left="1122" w:top="319" w:right="239" w:bottom="1440" w:gutter="0" w:footer="0" w:header="0"/>
        </w:sectPr>
      </w:pPr>
    </w:p>
    <w:bookmarkStart w:id="103" w:name="page104"/>
    <w:bookmarkEnd w:id="103"/>
    <w:p>
      <w:pPr>
        <w:jc w:val="both"/>
        <w:ind w:firstLine="882"/>
        <w:spacing w:after="0" w:line="249" w:lineRule="auto"/>
        <w:tabs>
          <w:tab w:leader="none" w:pos="1739" w:val="left"/>
        </w:tabs>
        <w:numPr>
          <w:ilvl w:val="0"/>
          <w:numId w:val="98"/>
        </w:numPr>
        <w:rPr>
          <w:rFonts w:ascii="Arial" w:cs="Arial" w:eastAsia="Arial" w:hAnsi="Arial"/>
          <w:sz w:val="20"/>
          <w:szCs w:val="20"/>
          <w:color w:val="010000"/>
        </w:rPr>
      </w:pPr>
      <w:r>
        <w:rPr>
          <w:rFonts w:ascii="Arial" w:cs="Arial" w:eastAsia="Arial" w:hAnsi="Arial"/>
          <w:sz w:val="20"/>
          <w:szCs w:val="20"/>
          <w:color w:val="010000"/>
        </w:rPr>
        <w:t>The Participant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Company’s Corporate Secretary’s Department.</w:t>
      </w:r>
    </w:p>
    <w:p>
      <w:pPr>
        <w:spacing w:after="0" w:line="164" w:lineRule="exact"/>
        <w:rPr>
          <w:sz w:val="20"/>
          <w:szCs w:val="20"/>
          <w:color w:val="auto"/>
        </w:rPr>
      </w:pPr>
    </w:p>
    <w:p>
      <w:pPr>
        <w:jc w:val="both"/>
        <w:ind w:firstLine="882"/>
        <w:spacing w:after="0" w:line="253" w:lineRule="auto"/>
        <w:tabs>
          <w:tab w:leader="none" w:pos="1757" w:val="left"/>
        </w:tabs>
        <w:numPr>
          <w:ilvl w:val="0"/>
          <w:numId w:val="9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English Language</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Participant acknowledges and agrees that it is the Participant’s express intent that the</w:t>
      </w:r>
      <w:r>
        <w:rPr>
          <w:rFonts w:ascii="Arial" w:cs="Arial" w:eastAsia="Arial" w:hAnsi="Arial"/>
          <w:sz w:val="20"/>
          <w:szCs w:val="20"/>
          <w:b w:val="1"/>
          <w:bCs w:val="1"/>
          <w:color w:val="010000"/>
        </w:rPr>
        <w:t xml:space="preserve"> </w:t>
      </w:r>
      <w:r>
        <w:rPr>
          <w:rFonts w:ascii="Arial" w:cs="Arial" w:eastAsia="Arial" w:hAnsi="Arial"/>
          <w:sz w:val="20"/>
          <w:szCs w:val="20"/>
          <w:color w:val="010000"/>
        </w:rPr>
        <w:t>Notice of Grant of Award, the Award Agreement, the Plan and all other documents, notices and legal proceedings entered into, given or instituted pursuant to the PRSUs, be drawn up in English. If the Participant has received the Notice of Grant of Award</w:t>
      </w:r>
      <w:r>
        <w:rPr>
          <w:rFonts w:ascii="Arial" w:cs="Arial" w:eastAsia="Arial" w:hAnsi="Arial"/>
          <w:sz w:val="16"/>
          <w:szCs w:val="16"/>
          <w:color w:val="010000"/>
        </w:rPr>
        <w:t>,</w:t>
      </w:r>
      <w:r>
        <w:rPr>
          <w:rFonts w:ascii="Arial" w:cs="Arial" w:eastAsia="Arial" w:hAnsi="Arial"/>
          <w:sz w:val="20"/>
          <w:szCs w:val="20"/>
          <w:color w:val="010000"/>
        </w:rPr>
        <w:t xml:space="preserve"> Award Agreement, the Plan or any other documents related to the PRSUs translated into a language other than English, and if the meaning of the translated version is different than the English version, the English version will control.</w:t>
      </w:r>
    </w:p>
    <w:p>
      <w:pPr>
        <w:spacing w:after="0" w:line="157" w:lineRule="exact"/>
        <w:rPr>
          <w:rFonts w:ascii="Arial" w:cs="Arial" w:eastAsia="Arial" w:hAnsi="Arial"/>
          <w:sz w:val="20"/>
          <w:szCs w:val="20"/>
          <w:b w:val="1"/>
          <w:bCs w:val="1"/>
          <w:color w:val="010000"/>
        </w:rPr>
      </w:pPr>
    </w:p>
    <w:p>
      <w:pPr>
        <w:jc w:val="both"/>
        <w:ind w:firstLine="882"/>
        <w:spacing w:after="0"/>
        <w:tabs>
          <w:tab w:leader="none" w:pos="1757" w:val="left"/>
        </w:tabs>
        <w:numPr>
          <w:ilvl w:val="0"/>
          <w:numId w:val="99"/>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Governing Law; Venue.</w:t>
      </w:r>
      <w:r>
        <w:rPr>
          <w:rFonts w:ascii="Arial" w:cs="Arial" w:eastAsia="Arial" w:hAnsi="Arial"/>
          <w:sz w:val="21"/>
          <w:szCs w:val="21"/>
          <w:b w:val="1"/>
          <w:bCs w:val="1"/>
          <w:color w:val="010000"/>
        </w:rPr>
        <w:t xml:space="preserve"> </w:t>
      </w:r>
      <w:r>
        <w:rPr>
          <w:rFonts w:ascii="Arial" w:cs="Arial" w:eastAsia="Arial" w:hAnsi="Arial"/>
          <w:sz w:val="21"/>
          <w:szCs w:val="21"/>
          <w:color w:val="010000"/>
        </w:rPr>
        <w:t>All questions concerning the validity, construction and effect of this Award Agreement</w:t>
      </w:r>
      <w:r>
        <w:rPr>
          <w:rFonts w:ascii="Arial" w:cs="Arial" w:eastAsia="Arial" w:hAnsi="Arial"/>
          <w:sz w:val="21"/>
          <w:szCs w:val="21"/>
          <w:b w:val="1"/>
          <w:bCs w:val="1"/>
          <w:color w:val="010000"/>
        </w:rPr>
        <w:t xml:space="preserve"> </w:t>
      </w:r>
      <w:r>
        <w:rPr>
          <w:rFonts w:ascii="Arial" w:cs="Arial" w:eastAsia="Arial" w:hAnsi="Arial"/>
          <w:sz w:val="21"/>
          <w:szCs w:val="21"/>
          <w:color w:val="010000"/>
        </w:rPr>
        <w:t>shall be governed by the laws of the State of Delaware, without reference to principles of conflict of laws. Any dispute concerning this Agreement will be resolved exclusively in the state or federal courts in Harris County, Texas, and the Participant agrees to exclusive venue and jurisdiction in such courts as a condition of receiving this Award.</w:t>
      </w:r>
    </w:p>
    <w:p>
      <w:pPr>
        <w:spacing w:after="0" w:line="171" w:lineRule="exact"/>
        <w:rPr>
          <w:rFonts w:ascii="Arial" w:cs="Arial" w:eastAsia="Arial" w:hAnsi="Arial"/>
          <w:sz w:val="21"/>
          <w:szCs w:val="21"/>
          <w:b w:val="1"/>
          <w:bCs w:val="1"/>
          <w:color w:val="010000"/>
        </w:rPr>
      </w:pPr>
    </w:p>
    <w:p>
      <w:pPr>
        <w:jc w:val="both"/>
        <w:ind w:firstLine="882"/>
        <w:spacing w:after="0" w:line="264" w:lineRule="auto"/>
        <w:tabs>
          <w:tab w:leader="none" w:pos="1757" w:val="left"/>
        </w:tabs>
        <w:numPr>
          <w:ilvl w:val="0"/>
          <w:numId w:val="9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Appendix.</w:t>
      </w:r>
      <w:r>
        <w:rPr>
          <w:rFonts w:ascii="Arial" w:cs="Arial" w:eastAsia="Arial" w:hAnsi="Arial"/>
          <w:sz w:val="19"/>
          <w:szCs w:val="19"/>
          <w:b w:val="1"/>
          <w:bCs w:val="1"/>
          <w:color w:val="010000"/>
        </w:rPr>
        <w:t xml:space="preserve"> </w:t>
      </w:r>
      <w:r>
        <w:rPr>
          <w:rFonts w:ascii="Arial" w:cs="Arial" w:eastAsia="Arial" w:hAnsi="Arial"/>
          <w:sz w:val="19"/>
          <w:szCs w:val="19"/>
          <w:color w:val="010000"/>
        </w:rPr>
        <w:t>Notwithstanding any provisions of this Award Agreement to the contrary, the PRSUs shall be subject to</w:t>
      </w:r>
      <w:r>
        <w:rPr>
          <w:rFonts w:ascii="Arial" w:cs="Arial" w:eastAsia="Arial" w:hAnsi="Arial"/>
          <w:sz w:val="19"/>
          <w:szCs w:val="19"/>
          <w:b w:val="1"/>
          <w:bCs w:val="1"/>
          <w:color w:val="010000"/>
        </w:rPr>
        <w:t xml:space="preserve"> </w:t>
      </w:r>
      <w:r>
        <w:rPr>
          <w:rFonts w:ascii="Arial" w:cs="Arial" w:eastAsia="Arial" w:hAnsi="Arial"/>
          <w:sz w:val="19"/>
          <w:szCs w:val="19"/>
          <w:color w:val="010000"/>
        </w:rPr>
        <w:t>such special terms and conditions for the Participant’s country of residence (and country of employment, if different), as are set forth in the appendix to this Agreement (the “Appendix”). Further, if the Participant transfers residency and/or employment to another country, any special terms and conditions for such country will apply to the PRSUs to the extent the Company determines, in its sole discretion, that the application of such terms and conditions is necessary or advisable in order to comply with local law or to facilitate the operation and administration of the PRSUs and the Plan (or the Company may establish alternative terms and conditions as may be necessary or advisable to accommodate the Participant’s transfer). In all circumstances, the Appendix shall constitute part of this Award Agreement.</w:t>
      </w:r>
    </w:p>
    <w:p>
      <w:pPr>
        <w:spacing w:after="0" w:line="152" w:lineRule="exact"/>
        <w:rPr>
          <w:rFonts w:ascii="Arial" w:cs="Arial" w:eastAsia="Arial" w:hAnsi="Arial"/>
          <w:sz w:val="19"/>
          <w:szCs w:val="19"/>
          <w:b w:val="1"/>
          <w:bCs w:val="1"/>
          <w:color w:val="010000"/>
        </w:rPr>
      </w:pPr>
    </w:p>
    <w:p>
      <w:pPr>
        <w:jc w:val="both"/>
        <w:ind w:firstLine="882"/>
        <w:spacing w:after="0" w:line="253" w:lineRule="auto"/>
        <w:tabs>
          <w:tab w:leader="none" w:pos="1757" w:val="left"/>
        </w:tabs>
        <w:numPr>
          <w:ilvl w:val="0"/>
          <w:numId w:val="9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Additional Requirements</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Company reserves the right to impose other requirements on the PRSUs, any</w:t>
      </w:r>
      <w:r>
        <w:rPr>
          <w:rFonts w:ascii="Arial" w:cs="Arial" w:eastAsia="Arial" w:hAnsi="Arial"/>
          <w:sz w:val="20"/>
          <w:szCs w:val="20"/>
          <w:b w:val="1"/>
          <w:bCs w:val="1"/>
          <w:color w:val="010000"/>
        </w:rPr>
        <w:t xml:space="preserve"> </w:t>
      </w:r>
      <w:r>
        <w:rPr>
          <w:rFonts w:ascii="Arial" w:cs="Arial" w:eastAsia="Arial" w:hAnsi="Arial"/>
          <w:sz w:val="20"/>
          <w:szCs w:val="20"/>
          <w:color w:val="010000"/>
        </w:rPr>
        <w:t>Shares acquired pursuant to the PRSUs, and the Participant’s participation in the Plan, to the extent the Company determines, in its sole discretion, that such other requirements are necessary or advisable in order to comply with local law or to facilitate the operation and administration of the PRSUs and the Plan. Such requirements may include (but are not limited to) requiring the Participant to sign any agreements or undertakings that may be necessary to accomplish the foregoing.</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4" w:name="page105"/>
    <w:bookmarkEnd w:id="104"/>
    <w:p>
      <w:pPr>
        <w:ind w:left="1760" w:hanging="878"/>
        <w:spacing w:after="0"/>
        <w:tabs>
          <w:tab w:leader="none" w:pos="1760" w:val="left"/>
        </w:tabs>
        <w:numPr>
          <w:ilvl w:val="0"/>
          <w:numId w:val="10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Section 409A.</w:t>
      </w:r>
    </w:p>
    <w:p>
      <w:pPr>
        <w:spacing w:after="0" w:line="204" w:lineRule="exact"/>
        <w:rPr>
          <w:sz w:val="20"/>
          <w:szCs w:val="20"/>
          <w:color w:val="auto"/>
        </w:rPr>
      </w:pPr>
    </w:p>
    <w:p>
      <w:pPr>
        <w:jc w:val="both"/>
        <w:ind w:firstLine="882"/>
        <w:spacing w:after="0" w:line="262" w:lineRule="auto"/>
        <w:tabs>
          <w:tab w:leader="none" w:pos="1728" w:val="left"/>
        </w:tabs>
        <w:numPr>
          <w:ilvl w:val="0"/>
          <w:numId w:val="101"/>
        </w:numPr>
        <w:rPr>
          <w:rFonts w:ascii="Arial" w:cs="Arial" w:eastAsia="Arial" w:hAnsi="Arial"/>
          <w:sz w:val="19"/>
          <w:szCs w:val="19"/>
          <w:color w:val="010000"/>
        </w:rPr>
      </w:pPr>
      <w:r>
        <w:rPr>
          <w:rFonts w:ascii="Arial" w:cs="Arial" w:eastAsia="Arial" w:hAnsi="Arial"/>
          <w:sz w:val="19"/>
          <w:szCs w:val="19"/>
          <w:color w:val="010000"/>
        </w:rPr>
        <w:t>This Award is intended to comply with Section 409A of the Code and ambiguous provisions, if any, shall be construed in a manner that is compliant with or exempt from the application of Section 409A, as appropriate. This Award shall not be amended or terminated in a manner that would cause the Award or any amounts payable under the Award to fail to comply with the requirements of Section 409A, to the extent applicable, and, further, the provisions of any purported amendment that may reasonably be expected to result in such non-compliance shall be of no force or effect with respect to the Award. The Company shall neither cause nor permit any payment, benefit or consideration to be substituted for a benefit that is payable under this Award if such action would result in the failure of any amount that is subject to Section 409A to comply with the applicable requirements of Section 409A. For purposes of Section 409A, each payment under this Award shall be deemed to be a separate payment.</w:t>
      </w:r>
    </w:p>
    <w:p>
      <w:pPr>
        <w:spacing w:after="0" w:line="159" w:lineRule="exact"/>
        <w:rPr>
          <w:rFonts w:ascii="Arial" w:cs="Arial" w:eastAsia="Arial" w:hAnsi="Arial"/>
          <w:sz w:val="19"/>
          <w:szCs w:val="19"/>
          <w:color w:val="010000"/>
        </w:rPr>
      </w:pPr>
    </w:p>
    <w:p>
      <w:pPr>
        <w:jc w:val="both"/>
        <w:ind w:firstLine="882"/>
        <w:spacing w:after="0" w:line="263" w:lineRule="auto"/>
        <w:tabs>
          <w:tab w:leader="none" w:pos="1739" w:val="left"/>
        </w:tabs>
        <w:numPr>
          <w:ilvl w:val="0"/>
          <w:numId w:val="101"/>
        </w:numPr>
        <w:rPr>
          <w:rFonts w:ascii="Arial" w:cs="Arial" w:eastAsia="Arial" w:hAnsi="Arial"/>
          <w:sz w:val="19"/>
          <w:szCs w:val="19"/>
          <w:color w:val="010000"/>
        </w:rPr>
      </w:pPr>
      <w:r>
        <w:rPr>
          <w:rFonts w:ascii="Arial" w:cs="Arial" w:eastAsia="Arial" w:hAnsi="Arial"/>
          <w:sz w:val="19"/>
          <w:szCs w:val="19"/>
          <w:color w:val="010000"/>
        </w:rPr>
        <w:t>Notwithstanding any provision of the Award to the contrary, if the Participant is a “specified employee” within the meaning of Section 409A as of the date of the Participant’s termination of employment and the Company determines, in good faith, that immediate payments of any amounts or benefits would cause a violation of Section 409A, then any amounts or benefits which are payable under this Award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53" w:lineRule="exact"/>
        <w:rPr>
          <w:sz w:val="20"/>
          <w:szCs w:val="20"/>
          <w:color w:val="auto"/>
        </w:rPr>
      </w:pPr>
    </w:p>
    <w:p>
      <w:pPr>
        <w:jc w:val="both"/>
        <w:ind w:firstLine="882"/>
        <w:spacing w:after="0"/>
        <w:tabs>
          <w:tab w:leader="none" w:pos="1757" w:val="left"/>
        </w:tabs>
        <w:numPr>
          <w:ilvl w:val="0"/>
          <w:numId w:val="10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Not Providing Advice.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is not providing any tax, legal or financial advice, nor is the Company</w:t>
      </w:r>
      <w:r>
        <w:rPr>
          <w:rFonts w:ascii="Arial" w:cs="Arial" w:eastAsia="Arial" w:hAnsi="Arial"/>
          <w:sz w:val="21"/>
          <w:szCs w:val="21"/>
          <w:b w:val="1"/>
          <w:bCs w:val="1"/>
          <w:color w:val="010000"/>
        </w:rPr>
        <w:t xml:space="preserve"> </w:t>
      </w:r>
      <w:r>
        <w:rPr>
          <w:rFonts w:ascii="Arial" w:cs="Arial" w:eastAsia="Arial" w:hAnsi="Arial"/>
          <w:sz w:val="21"/>
          <w:szCs w:val="21"/>
          <w:color w:val="010000"/>
        </w:rPr>
        <w:t>making any recommendations regarding Participant’s participation in the Plan, or Participant’s acquisition or sale of the Shares underlying the PRSUs. Participant is hereby advised to consult with his or her own personal tax, legal and financial advisors regarding his or her participation in the Plan before taking any action related to the Plan.</w:t>
      </w:r>
    </w:p>
    <w:p>
      <w:pPr>
        <w:spacing w:after="0" w:line="182"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_____________</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319" w:right="239" w:bottom="1440" w:gutter="0" w:footer="0" w:header="0"/>
        </w:sectPr>
      </w:pPr>
    </w:p>
    <w:bookmarkStart w:id="105" w:name="page106"/>
    <w:bookmarkEnd w:id="105"/>
    <w:p>
      <w:pPr>
        <w:jc w:val="right"/>
        <w:ind w:right="40"/>
        <w:spacing w:after="0"/>
        <w:rPr>
          <w:sz w:val="20"/>
          <w:szCs w:val="20"/>
          <w:color w:val="auto"/>
        </w:rPr>
      </w:pPr>
      <w:r>
        <w:rPr>
          <w:rFonts w:ascii="Arial" w:cs="Arial" w:eastAsia="Arial" w:hAnsi="Arial"/>
          <w:sz w:val="21"/>
          <w:szCs w:val="21"/>
          <w:color w:val="auto"/>
        </w:rPr>
        <w:t>Exhibit 10.36</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CAMERON INTERNATIONAL CORPORATION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i w:val="1"/>
          <w:iCs w:val="1"/>
          <w:color w:val="auto"/>
        </w:rPr>
        <w:t>RESTRICTED STOCK UNIT AWARD AGREEMENT</w:t>
      </w:r>
    </w:p>
    <w:p>
      <w:pPr>
        <w:jc w:val="center"/>
        <w:ind w:right="40"/>
        <w:spacing w:after="0"/>
        <w:rPr>
          <w:sz w:val="20"/>
          <w:szCs w:val="20"/>
          <w:color w:val="auto"/>
        </w:rPr>
      </w:pPr>
      <w:r>
        <w:rPr>
          <w:rFonts w:ascii="Arial" w:cs="Arial" w:eastAsia="Arial" w:hAnsi="Arial"/>
          <w:sz w:val="17"/>
          <w:szCs w:val="17"/>
          <w:b w:val="1"/>
          <w:bCs w:val="1"/>
          <w:i w:val="1"/>
          <w:iCs w:val="1"/>
          <w:u w:val="single" w:color="auto"/>
          <w:color w:val="auto"/>
        </w:rPr>
        <w:t>(Including Non-Compete, Non-Solicitation, and Confidentiality Agreements)</w:t>
      </w:r>
    </w:p>
    <w:p>
      <w:pPr>
        <w:spacing w:after="0" w:line="189" w:lineRule="exact"/>
        <w:rPr>
          <w:sz w:val="20"/>
          <w:szCs w:val="20"/>
          <w:color w:val="auto"/>
        </w:rPr>
      </w:pPr>
    </w:p>
    <w:p>
      <w:pPr>
        <w:ind w:left="5860" w:hanging="370"/>
        <w:spacing w:after="0"/>
        <w:tabs>
          <w:tab w:leader="none" w:pos="5860"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w:t>
      </w:r>
    </w:p>
    <w:p>
      <w:pPr>
        <w:spacing w:after="0" w:line="204" w:lineRule="exact"/>
        <w:rPr>
          <w:sz w:val="20"/>
          <w:szCs w:val="20"/>
          <w:color w:val="auto"/>
        </w:rPr>
      </w:pPr>
    </w:p>
    <w:p>
      <w:pPr>
        <w:jc w:val="both"/>
        <w:ind w:right="40"/>
        <w:spacing w:after="0" w:line="251" w:lineRule="auto"/>
        <w:rPr>
          <w:sz w:val="20"/>
          <w:szCs w:val="20"/>
          <w:color w:val="auto"/>
        </w:rPr>
      </w:pPr>
      <w:r>
        <w:rPr>
          <w:rFonts w:ascii="Arial" w:cs="Arial" w:eastAsia="Arial" w:hAnsi="Arial"/>
          <w:sz w:val="20"/>
          <w:szCs w:val="20"/>
          <w:color w:val="auto"/>
        </w:rPr>
        <w:t xml:space="preserve">This RESTRICTED STOCK UNIT AWARD AGREEMENT (the “Award Agreement”) is between the employee named in the Notice of Grant of Award (“Participant”) and Cameron International Corporation (the “Company”), in connection with the Restricted Stock Units (“RSU”) granted to Participant by the Company under the Company’s </w:t>
      </w:r>
      <w:r>
        <w:rPr>
          <w:rFonts w:ascii="Arial" w:cs="Arial" w:eastAsia="Arial" w:hAnsi="Arial"/>
          <w:sz w:val="20"/>
          <w:szCs w:val="20"/>
          <w:b w:val="1"/>
          <w:bCs w:val="1"/>
          <w:color w:val="auto"/>
        </w:rPr>
        <w:t>Equity Incentive Plan</w:t>
      </w:r>
      <w:r>
        <w:rPr>
          <w:rFonts w:ascii="Arial" w:cs="Arial" w:eastAsia="Arial" w:hAnsi="Arial"/>
          <w:sz w:val="20"/>
          <w:szCs w:val="20"/>
          <w:color w:val="auto"/>
        </w:rPr>
        <w:t xml:space="preserve"> (the “Plan”). For purposes of this Award Agreement, “Employer” means the Company or Subsidiary that employs the Participant on the applicable date. All capitalized terms not defined in this Award Agreement shall have the same meaning as set forth in the Plan.</w:t>
      </w:r>
    </w:p>
    <w:p>
      <w:pPr>
        <w:spacing w:after="0" w:line="161" w:lineRule="exact"/>
        <w:rPr>
          <w:sz w:val="20"/>
          <w:szCs w:val="20"/>
          <w:color w:val="auto"/>
        </w:rPr>
      </w:pPr>
    </w:p>
    <w:p>
      <w:pPr>
        <w:ind w:left="1660" w:hanging="778"/>
        <w:spacing w:after="0"/>
        <w:tabs>
          <w:tab w:leader="none" w:pos="1660" w:val="left"/>
        </w:tabs>
        <w:numPr>
          <w:ilvl w:val="0"/>
          <w:numId w:val="104"/>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Effective Date of RSUs.</w:t>
      </w:r>
    </w:p>
    <w:p>
      <w:pPr>
        <w:spacing w:after="0" w:line="204" w:lineRule="exact"/>
        <w:rPr>
          <w:sz w:val="20"/>
          <w:szCs w:val="20"/>
          <w:color w:val="auto"/>
        </w:rPr>
      </w:pPr>
    </w:p>
    <w:p>
      <w:pPr>
        <w:ind w:left="1740" w:hanging="858"/>
        <w:spacing w:after="0"/>
        <w:tabs>
          <w:tab w:leader="none" w:pos="1740" w:val="left"/>
        </w:tabs>
        <w:numPr>
          <w:ilvl w:val="0"/>
          <w:numId w:val="105"/>
        </w:numPr>
        <w:rPr>
          <w:rFonts w:ascii="Arial" w:cs="Arial" w:eastAsia="Arial" w:hAnsi="Arial"/>
          <w:sz w:val="19"/>
          <w:szCs w:val="19"/>
          <w:color w:val="010000"/>
        </w:rPr>
      </w:pPr>
      <w:r>
        <w:rPr>
          <w:rFonts w:ascii="Arial" w:cs="Arial" w:eastAsia="Arial" w:hAnsi="Arial"/>
          <w:sz w:val="19"/>
          <w:szCs w:val="19"/>
          <w:color w:val="010000"/>
        </w:rPr>
        <w:t>The Company hereby grants to the Participant, on the terms and conditions set forth herein, an award of RSUs (the</w:t>
      </w:r>
    </w:p>
    <w:p>
      <w:pPr>
        <w:spacing w:after="0" w:line="32" w:lineRule="exact"/>
        <w:rPr>
          <w:sz w:val="20"/>
          <w:szCs w:val="20"/>
          <w:color w:val="auto"/>
        </w:rPr>
      </w:pPr>
    </w:p>
    <w:p>
      <w:pPr>
        <w:spacing w:after="0"/>
        <w:tabs>
          <w:tab w:leader="none" w:pos="2140" w:val="left"/>
        </w:tabs>
        <w:rPr>
          <w:sz w:val="20"/>
          <w:szCs w:val="20"/>
          <w:color w:val="auto"/>
        </w:rPr>
      </w:pPr>
      <w:r>
        <w:rPr>
          <w:rFonts w:ascii="Arial" w:cs="Arial" w:eastAsia="Arial" w:hAnsi="Arial"/>
          <w:sz w:val="21"/>
          <w:szCs w:val="21"/>
          <w:color w:val="010000"/>
        </w:rPr>
        <w:t xml:space="preserve">“Award”), effective </w:t>
      </w:r>
      <w:r>
        <w:rPr>
          <w:rFonts w:ascii="Arial" w:cs="Arial" w:eastAsia="Arial" w:hAnsi="Arial"/>
          <w:sz w:val="21"/>
          <w:szCs w:val="21"/>
          <w:b w:val="1"/>
          <w:bCs w:val="1"/>
          <w:color w:val="010000"/>
        </w:rPr>
        <w:t>[</w:t>
      </w:r>
      <w:r>
        <w:rPr>
          <w:sz w:val="20"/>
          <w:szCs w:val="20"/>
          <w:color w:val="auto"/>
        </w:rPr>
        <w:tab/>
      </w:r>
      <w:r>
        <w:rPr>
          <w:rFonts w:ascii="Arial" w:cs="Arial" w:eastAsia="Arial" w:hAnsi="Arial"/>
          <w:sz w:val="19"/>
          <w:szCs w:val="19"/>
          <w:b w:val="1"/>
          <w:bCs w:val="1"/>
          <w:color w:val="010000"/>
        </w:rPr>
        <w:t xml:space="preserve">] </w:t>
      </w:r>
      <w:r>
        <w:rPr>
          <w:rFonts w:ascii="Arial" w:cs="Arial" w:eastAsia="Arial" w:hAnsi="Arial"/>
          <w:sz w:val="19"/>
          <w:szCs w:val="19"/>
          <w:color w:val="010000"/>
        </w:rPr>
        <w:t>(“Effective Date”).</w:t>
      </w:r>
    </w:p>
    <w:p>
      <w:pPr>
        <w:spacing w:after="0" w:line="180" w:lineRule="exact"/>
        <w:rPr>
          <w:sz w:val="20"/>
          <w:szCs w:val="20"/>
          <w:color w:val="auto"/>
        </w:rPr>
      </w:pPr>
    </w:p>
    <w:p>
      <w:pPr>
        <w:jc w:val="both"/>
        <w:ind w:right="40" w:firstLine="882"/>
        <w:spacing w:after="0" w:line="260" w:lineRule="auto"/>
        <w:tabs>
          <w:tab w:leader="none" w:pos="1739" w:val="left"/>
        </w:tabs>
        <w:numPr>
          <w:ilvl w:val="0"/>
          <w:numId w:val="106"/>
        </w:numPr>
        <w:rPr>
          <w:rFonts w:ascii="Arial" w:cs="Arial" w:eastAsia="Arial" w:hAnsi="Arial"/>
          <w:sz w:val="20"/>
          <w:szCs w:val="20"/>
          <w:color w:val="010000"/>
        </w:rPr>
      </w:pPr>
      <w:r>
        <w:rPr>
          <w:rFonts w:ascii="Arial" w:cs="Arial" w:eastAsia="Arial" w:hAnsi="Arial"/>
          <w:sz w:val="20"/>
          <w:szCs w:val="20"/>
          <w:color w:val="010000"/>
        </w:rPr>
        <w:t>This Award is a commitment to issue one share of Cameron common stock (“Shares”) for each RSU specified on the Notice of Grant of Award pursuant to the terms of the Award Agreement, subject to the Participant’s acceptance of this Agreement in writing or electronically in the manner prescribed by the Company or its third party administrator.</w:t>
      </w:r>
    </w:p>
    <w:p>
      <w:pPr>
        <w:spacing w:after="0" w:line="156" w:lineRule="exact"/>
        <w:rPr>
          <w:rFonts w:ascii="Arial" w:cs="Arial" w:eastAsia="Arial" w:hAnsi="Arial"/>
          <w:sz w:val="20"/>
          <w:szCs w:val="20"/>
          <w:color w:val="010000"/>
        </w:rPr>
      </w:pPr>
    </w:p>
    <w:p>
      <w:pPr>
        <w:jc w:val="both"/>
        <w:ind w:right="40" w:firstLine="882"/>
        <w:spacing w:after="0" w:line="268" w:lineRule="auto"/>
        <w:tabs>
          <w:tab w:leader="none" w:pos="1728" w:val="left"/>
        </w:tabs>
        <w:numPr>
          <w:ilvl w:val="0"/>
          <w:numId w:val="106"/>
        </w:numPr>
        <w:rPr>
          <w:rFonts w:ascii="Arial" w:cs="Arial" w:eastAsia="Arial" w:hAnsi="Arial"/>
          <w:sz w:val="19"/>
          <w:szCs w:val="19"/>
          <w:color w:val="010000"/>
        </w:rPr>
      </w:pPr>
      <w:r>
        <w:rPr>
          <w:rFonts w:ascii="Arial" w:cs="Arial" w:eastAsia="Arial" w:hAnsi="Arial"/>
          <w:sz w:val="19"/>
          <w:szCs w:val="19"/>
          <w:color w:val="010000"/>
        </w:rPr>
        <w:t>Notwithstanding the foregoing, the Company may, in its sole discretion, settle the RSUs in the form of (i) a cash payment to the extent settlement in Shares (1) is prohibited under local law, (2) would require the Participant or the Company to obtain the approval of any governmental and/or regulatory body in the Participant’s country of residence (and country of employment, if different), or (3) is administratively burdensome; or (ii) Shares, but require the Participant to immediately sell such Shares (in which case, this Award Agreement shall give the Company the authority to issue sales instructions on the Participant’s behalf).</w:t>
      </w:r>
    </w:p>
    <w:p>
      <w:pPr>
        <w:spacing w:after="0" w:line="144" w:lineRule="exact"/>
        <w:rPr>
          <w:sz w:val="20"/>
          <w:szCs w:val="20"/>
          <w:color w:val="auto"/>
        </w:rPr>
      </w:pPr>
    </w:p>
    <w:p>
      <w:pPr>
        <w:jc w:val="both"/>
        <w:ind w:right="40" w:firstLine="882"/>
        <w:spacing w:after="0" w:line="283" w:lineRule="auto"/>
        <w:tabs>
          <w:tab w:leader="none" w:pos="1653" w:val="left"/>
        </w:tabs>
        <w:numPr>
          <w:ilvl w:val="0"/>
          <w:numId w:val="10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Terms Subject to the Plan.</w:t>
      </w:r>
      <w:r>
        <w:rPr>
          <w:rFonts w:ascii="Arial" w:cs="Arial" w:eastAsia="Arial" w:hAnsi="Arial"/>
          <w:sz w:val="19"/>
          <w:szCs w:val="19"/>
          <w:b w:val="1"/>
          <w:bCs w:val="1"/>
          <w:color w:val="010000"/>
        </w:rPr>
        <w:t xml:space="preserve"> </w:t>
      </w:r>
      <w:r>
        <w:rPr>
          <w:rFonts w:ascii="Arial" w:cs="Arial" w:eastAsia="Arial" w:hAnsi="Arial"/>
          <w:sz w:val="19"/>
          <w:szCs w:val="19"/>
          <w:color w:val="010000"/>
        </w:rPr>
        <w:t>This Award Agreement is expressly subject to the terms and provisions of the Plan, as</w:t>
      </w:r>
      <w:r>
        <w:rPr>
          <w:rFonts w:ascii="Arial" w:cs="Arial" w:eastAsia="Arial" w:hAnsi="Arial"/>
          <w:sz w:val="19"/>
          <w:szCs w:val="19"/>
          <w:b w:val="1"/>
          <w:bCs w:val="1"/>
          <w:color w:val="010000"/>
        </w:rPr>
        <w:t xml:space="preserve"> </w:t>
      </w:r>
      <w:r>
        <w:rPr>
          <w:rFonts w:ascii="Arial" w:cs="Arial" w:eastAsia="Arial" w:hAnsi="Arial"/>
          <w:sz w:val="19"/>
          <w:szCs w:val="19"/>
          <w:color w:val="010000"/>
        </w:rPr>
        <w:t>indicated in the Participant’s Notice of Grant of Award. A copy of the Plan is available from the Corporate Secretary upon request. In the event there is a conflict between the terms of the Plan and this Award Agreement, the terms of the Plan shall control.</w:t>
      </w:r>
    </w:p>
    <w:p>
      <w:pPr>
        <w:spacing w:after="0" w:line="132" w:lineRule="exact"/>
        <w:rPr>
          <w:sz w:val="20"/>
          <w:szCs w:val="20"/>
          <w:color w:val="auto"/>
        </w:rPr>
      </w:pPr>
    </w:p>
    <w:p>
      <w:pPr>
        <w:ind w:left="880"/>
        <w:spacing w:after="0"/>
        <w:tabs>
          <w:tab w:leader="none" w:pos="1640" w:val="left"/>
          <w:tab w:leader="none" w:pos="10200" w:val="left"/>
        </w:tabs>
        <w:rPr>
          <w:sz w:val="20"/>
          <w:szCs w:val="20"/>
          <w:color w:val="auto"/>
        </w:rPr>
      </w:pPr>
      <w:r>
        <w:rPr>
          <w:rFonts w:ascii="Arial" w:cs="Arial" w:eastAsia="Arial" w:hAnsi="Arial"/>
          <w:sz w:val="21"/>
          <w:szCs w:val="21"/>
          <w:b w:val="1"/>
          <w:bCs w:val="1"/>
          <w:color w:val="010000"/>
        </w:rPr>
        <w:t>3.</w:t>
      </w:r>
      <w:r>
        <w:rPr>
          <w:sz w:val="20"/>
          <w:szCs w:val="20"/>
          <w:color w:val="auto"/>
        </w:rPr>
        <w:tab/>
      </w:r>
      <w:r>
        <w:rPr>
          <w:rFonts w:ascii="Arial" w:cs="Arial" w:eastAsia="Arial" w:hAnsi="Arial"/>
          <w:sz w:val="21"/>
          <w:szCs w:val="21"/>
          <w:b w:val="1"/>
          <w:bCs w:val="1"/>
          <w:u w:val="single" w:color="auto"/>
          <w:color w:val="010000"/>
        </w:rPr>
        <w:t>Vesting Schedule.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Award shall become vested, in three installments as follows: one-third on</w:t>
      </w:r>
      <w:r>
        <w:rPr>
          <w:rFonts w:ascii="Arial" w:cs="Arial" w:eastAsia="Arial" w:hAnsi="Arial"/>
          <w:sz w:val="21"/>
          <w:szCs w:val="21"/>
          <w:b w:val="1"/>
          <w:bCs w:val="1"/>
          <w:color w:val="010000"/>
        </w:rPr>
        <w:t xml:space="preserve"> [</w:t>
      </w:r>
      <w:r>
        <w:rPr>
          <w:sz w:val="20"/>
          <w:szCs w:val="20"/>
          <w:color w:val="auto"/>
        </w:rPr>
        <w:tab/>
      </w:r>
      <w:r>
        <w:rPr>
          <w:rFonts w:ascii="Arial" w:cs="Arial" w:eastAsia="Arial" w:hAnsi="Arial"/>
          <w:sz w:val="19"/>
          <w:szCs w:val="19"/>
          <w:b w:val="1"/>
          <w:bCs w:val="1"/>
          <w:color w:val="010000"/>
        </w:rPr>
        <w:t>]</w:t>
      </w:r>
      <w:r>
        <w:rPr>
          <w:rFonts w:ascii="Arial" w:cs="Arial" w:eastAsia="Arial" w:hAnsi="Arial"/>
          <w:sz w:val="19"/>
          <w:szCs w:val="19"/>
          <w:color w:val="010000"/>
        </w:rPr>
        <w:t>, one-third on</w:t>
      </w:r>
    </w:p>
    <w:p>
      <w:pPr>
        <w:spacing w:after="0" w:line="15" w:lineRule="exact"/>
        <w:rPr>
          <w:sz w:val="20"/>
          <w:szCs w:val="20"/>
          <w:color w:val="auto"/>
        </w:rPr>
      </w:pPr>
    </w:p>
    <w:p>
      <w:pPr>
        <w:jc w:val="both"/>
        <w:ind w:right="40" w:firstLine="3"/>
        <w:spacing w:after="0" w:line="234" w:lineRule="auto"/>
        <w:tabs>
          <w:tab w:leader="none" w:pos="431" w:val="left"/>
        </w:tabs>
        <w:numPr>
          <w:ilvl w:val="0"/>
          <w:numId w:val="108"/>
        </w:numPr>
        <w:rPr>
          <w:rFonts w:ascii="Arial" w:cs="Arial" w:eastAsia="Arial" w:hAnsi="Arial"/>
          <w:sz w:val="21"/>
          <w:szCs w:val="21"/>
          <w:b w:val="1"/>
          <w:bCs w:val="1"/>
          <w:color w:val="010000"/>
        </w:rPr>
      </w:pPr>
      <w:r>
        <w:rPr>
          <w:rFonts w:ascii="Arial" w:cs="Arial" w:eastAsia="Arial" w:hAnsi="Arial"/>
          <w:sz w:val="21"/>
          <w:szCs w:val="21"/>
          <w:b w:val="1"/>
          <w:bCs w:val="1"/>
          <w:color w:val="010000"/>
        </w:rPr>
        <w:t xml:space="preserve">], </w:t>
      </w:r>
      <w:r>
        <w:rPr>
          <w:rFonts w:ascii="Arial" w:cs="Arial" w:eastAsia="Arial" w:hAnsi="Arial"/>
          <w:sz w:val="21"/>
          <w:szCs w:val="21"/>
          <w:color w:val="010000"/>
        </w:rPr>
        <w:t>and one-third on</w:t>
      </w:r>
      <w:r>
        <w:rPr>
          <w:rFonts w:ascii="Arial" w:cs="Arial" w:eastAsia="Arial" w:hAnsi="Arial"/>
          <w:sz w:val="21"/>
          <w:szCs w:val="21"/>
          <w:b w:val="1"/>
          <w:bCs w:val="1"/>
          <w:color w:val="010000"/>
        </w:rPr>
        <w:t xml:space="preserve"> [ ] </w:t>
      </w:r>
      <w:r>
        <w:rPr>
          <w:rFonts w:ascii="Arial" w:cs="Arial" w:eastAsia="Arial" w:hAnsi="Arial"/>
          <w:sz w:val="21"/>
          <w:szCs w:val="21"/>
          <w:color w:val="010000"/>
        </w:rPr>
        <w:t>(the “Scheduled Vesting Dates”) provided (i) the Company achieves Net Income of $50 Million or more in</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calendar year 2015, and (ii) there has been continuous employment of the Participant by the Company and/or a Subsidiary from the Effective Date to the Scheduled Vesting Dates, subject to Section 4. All RSUs which become vested shall be payable in accordance with Section 5 hereof.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06" w:name="page107"/>
    <w:bookmarkEnd w:id="106"/>
    <w:p>
      <w:pPr>
        <w:ind w:left="1660" w:hanging="778"/>
        <w:spacing w:after="0"/>
        <w:tabs>
          <w:tab w:leader="none" w:pos="1660" w:val="left"/>
        </w:tabs>
        <w:numPr>
          <w:ilvl w:val="0"/>
          <w:numId w:val="109"/>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Termination of Employment</w:t>
      </w:r>
      <w:r>
        <w:rPr>
          <w:rFonts w:ascii="Arial" w:cs="Arial" w:eastAsia="Arial" w:hAnsi="Arial"/>
          <w:sz w:val="21"/>
          <w:szCs w:val="21"/>
          <w:color w:val="010000"/>
        </w:rPr>
        <w:t>. Notwithstanding the foregoing:</w:t>
      </w:r>
    </w:p>
    <w:p>
      <w:pPr>
        <w:spacing w:after="0" w:line="204" w:lineRule="exact"/>
        <w:rPr>
          <w:sz w:val="20"/>
          <w:szCs w:val="20"/>
          <w:color w:val="auto"/>
        </w:rPr>
      </w:pPr>
    </w:p>
    <w:p>
      <w:pPr>
        <w:jc w:val="both"/>
        <w:ind w:right="40" w:firstLine="882"/>
        <w:spacing w:after="0" w:line="274" w:lineRule="auto"/>
        <w:tabs>
          <w:tab w:leader="none" w:pos="1728" w:val="left"/>
        </w:tabs>
        <w:numPr>
          <w:ilvl w:val="0"/>
          <w:numId w:val="110"/>
        </w:numPr>
        <w:rPr>
          <w:rFonts w:ascii="Arial" w:cs="Arial" w:eastAsia="Arial" w:hAnsi="Arial"/>
          <w:sz w:val="18"/>
          <w:szCs w:val="18"/>
          <w:color w:val="010000"/>
        </w:rPr>
      </w:pPr>
      <w:r>
        <w:rPr>
          <w:rFonts w:ascii="Arial" w:cs="Arial" w:eastAsia="Arial" w:hAnsi="Arial"/>
          <w:sz w:val="18"/>
          <w:szCs w:val="18"/>
          <w:color w:val="010000"/>
        </w:rPr>
        <w:t>If the Participant’s employment terminates at age 60 or older for reasons other than “Cause” (</w:t>
      </w:r>
      <w:r>
        <w:rPr>
          <w:rFonts w:ascii="Arial" w:cs="Arial" w:eastAsia="Arial" w:hAnsi="Arial"/>
          <w:sz w:val="18"/>
          <w:szCs w:val="18"/>
          <w:i w:val="1"/>
          <w:iCs w:val="1"/>
          <w:color w:val="010000"/>
        </w:rPr>
        <w:t>as defined below</w:t>
      </w:r>
      <w:r>
        <w:rPr>
          <w:rFonts w:ascii="Arial" w:cs="Arial" w:eastAsia="Arial" w:hAnsi="Arial"/>
          <w:sz w:val="18"/>
          <w:szCs w:val="18"/>
          <w:color w:val="010000"/>
        </w:rPr>
        <w:t xml:space="preserve">), and the Participant has at least ten years of continuous employment with the Company or a Subsidiary, any unvested RSUs shall vest according to the terms of the Award; </w:t>
      </w:r>
      <w:r>
        <w:rPr>
          <w:rFonts w:ascii="Arial" w:cs="Arial" w:eastAsia="Arial" w:hAnsi="Arial"/>
          <w:sz w:val="18"/>
          <w:szCs w:val="18"/>
          <w:u w:val="single" w:color="auto"/>
          <w:color w:val="010000"/>
        </w:rPr>
        <w:t>except that</w:t>
      </w:r>
      <w:r>
        <w:rPr>
          <w:rFonts w:ascii="Arial" w:cs="Arial" w:eastAsia="Arial" w:hAnsi="Arial"/>
          <w:sz w:val="18"/>
          <w:szCs w:val="18"/>
          <w:color w:val="010000"/>
        </w:rPr>
        <w:t>, unless the Participant is an executive officer, categorized as a Tier 1 Executive Officer at the time of grant or the time of termination, age 65 or older and has at least ten years of continuous employment with either or both of the</w:t>
      </w:r>
    </w:p>
    <w:p>
      <w:pPr>
        <w:spacing w:after="0" w:line="3" w:lineRule="exact"/>
        <w:rPr>
          <w:sz w:val="20"/>
          <w:szCs w:val="20"/>
          <w:color w:val="auto"/>
        </w:rPr>
      </w:pPr>
    </w:p>
    <w:p>
      <w:pPr>
        <w:jc w:val="both"/>
        <w:ind w:right="40"/>
        <w:spacing w:after="0" w:line="235" w:lineRule="auto"/>
        <w:rPr>
          <w:sz w:val="20"/>
          <w:szCs w:val="20"/>
          <w:color w:val="auto"/>
        </w:rPr>
      </w:pPr>
      <w:r>
        <w:rPr>
          <w:rFonts w:ascii="Arial" w:cs="Arial" w:eastAsia="Arial" w:hAnsi="Arial"/>
          <w:sz w:val="21"/>
          <w:szCs w:val="21"/>
          <w:color w:val="010000"/>
        </w:rPr>
        <w:t>Company or a Subsidiary at the time of termination, if such termination occurs before [ ], the number of RSUs that will continue to vest shall be reduced to be proportionate to the number of days worked during the first year of the award and 365, with the balance of the Award to be immediately cancelled.</w:t>
      </w:r>
    </w:p>
    <w:p>
      <w:pPr>
        <w:spacing w:after="0" w:line="177" w:lineRule="exact"/>
        <w:rPr>
          <w:sz w:val="20"/>
          <w:szCs w:val="20"/>
          <w:color w:val="auto"/>
        </w:rPr>
      </w:pPr>
    </w:p>
    <w:p>
      <w:pPr>
        <w:jc w:val="both"/>
        <w:ind w:right="40" w:firstLine="882"/>
        <w:spacing w:after="0" w:line="242" w:lineRule="auto"/>
        <w:tabs>
          <w:tab w:leader="none" w:pos="1739" w:val="left"/>
        </w:tabs>
        <w:numPr>
          <w:ilvl w:val="0"/>
          <w:numId w:val="111"/>
        </w:numPr>
        <w:rPr>
          <w:rFonts w:ascii="Arial" w:cs="Arial" w:eastAsia="Arial" w:hAnsi="Arial"/>
          <w:sz w:val="21"/>
          <w:szCs w:val="21"/>
          <w:color w:val="010000"/>
        </w:rPr>
      </w:pPr>
      <w:r>
        <w:rPr>
          <w:rFonts w:ascii="Arial" w:cs="Arial" w:eastAsia="Arial" w:hAnsi="Arial"/>
          <w:sz w:val="21"/>
          <w:szCs w:val="21"/>
          <w:color w:val="010000"/>
        </w:rPr>
        <w:t>If the Participant’s employment terminates by reason of the death or “Long-Term Disability” (</w:t>
      </w:r>
      <w:r>
        <w:rPr>
          <w:rFonts w:ascii="Arial" w:cs="Arial" w:eastAsia="Arial" w:hAnsi="Arial"/>
          <w:sz w:val="21"/>
          <w:szCs w:val="21"/>
          <w:i w:val="1"/>
          <w:iCs w:val="1"/>
          <w:color w:val="010000"/>
        </w:rPr>
        <w:t>as defined below</w:t>
      </w:r>
      <w:r>
        <w:rPr>
          <w:rFonts w:ascii="Arial" w:cs="Arial" w:eastAsia="Arial" w:hAnsi="Arial"/>
          <w:sz w:val="21"/>
          <w:szCs w:val="21"/>
          <w:color w:val="010000"/>
        </w:rPr>
        <w:t>) of the Participant, the Award shall immediately vest in full as of the date of death or the date of such termination and the Shares shall be delivered in accordance with Section 5.</w:t>
      </w:r>
    </w:p>
    <w:p>
      <w:pPr>
        <w:spacing w:after="0" w:line="173" w:lineRule="exact"/>
        <w:rPr>
          <w:rFonts w:ascii="Arial" w:cs="Arial" w:eastAsia="Arial" w:hAnsi="Arial"/>
          <w:sz w:val="21"/>
          <w:szCs w:val="21"/>
          <w:color w:val="010000"/>
        </w:rPr>
      </w:pPr>
    </w:p>
    <w:p>
      <w:pPr>
        <w:jc w:val="both"/>
        <w:ind w:right="40" w:firstLine="882"/>
        <w:spacing w:after="0" w:line="282" w:lineRule="auto"/>
        <w:tabs>
          <w:tab w:leader="none" w:pos="1728" w:val="left"/>
        </w:tabs>
        <w:numPr>
          <w:ilvl w:val="0"/>
          <w:numId w:val="111"/>
        </w:numPr>
        <w:rPr>
          <w:rFonts w:ascii="Arial" w:cs="Arial" w:eastAsia="Arial" w:hAnsi="Arial"/>
          <w:sz w:val="18"/>
          <w:szCs w:val="18"/>
          <w:color w:val="010000"/>
        </w:rPr>
      </w:pPr>
      <w:r>
        <w:rPr>
          <w:rFonts w:ascii="Arial" w:cs="Arial" w:eastAsia="Arial" w:hAnsi="Arial"/>
          <w:sz w:val="18"/>
          <w:szCs w:val="18"/>
          <w:color w:val="010000"/>
        </w:rPr>
        <w:t xml:space="preserve">If the Participant’s employment terminates by reason of a workforce reduction, the Award shall vest according to the terms of the Award and the Shares shall be delivered in accordance with Section 5; </w:t>
      </w:r>
      <w:r>
        <w:rPr>
          <w:rFonts w:ascii="Arial" w:cs="Arial" w:eastAsia="Arial" w:hAnsi="Arial"/>
          <w:sz w:val="18"/>
          <w:szCs w:val="18"/>
          <w:u w:val="single" w:color="auto"/>
          <w:color w:val="010000"/>
        </w:rPr>
        <w:t>except that</w:t>
      </w:r>
      <w:r>
        <w:rPr>
          <w:rFonts w:ascii="Arial" w:cs="Arial" w:eastAsia="Arial" w:hAnsi="Arial"/>
          <w:sz w:val="18"/>
          <w:szCs w:val="18"/>
          <w:color w:val="010000"/>
        </w:rPr>
        <w:t>, unless the Participant is an executive officer, categorized as a Tier 1 Executive Officer at the time of grant or the time of termination, age 65 or older and has at least ten years of continuous employment with either or both of the Company or a Subsidiary at the time of termination, if such termination occurs within one year from the Effective Date, the number of RSUs that will vest in full shall be reduced to be proportionate to the number of days between the Effective Date and the date of termination and 365, with the balance of the Award to be immediately cancelled.</w:t>
      </w:r>
    </w:p>
    <w:p>
      <w:pPr>
        <w:spacing w:after="0" w:line="142" w:lineRule="exact"/>
        <w:rPr>
          <w:rFonts w:ascii="Arial" w:cs="Arial" w:eastAsia="Arial" w:hAnsi="Arial"/>
          <w:sz w:val="18"/>
          <w:szCs w:val="18"/>
          <w:color w:val="010000"/>
        </w:rPr>
      </w:pPr>
    </w:p>
    <w:p>
      <w:pPr>
        <w:jc w:val="both"/>
        <w:ind w:right="40" w:firstLine="882"/>
        <w:spacing w:after="0" w:line="249" w:lineRule="auto"/>
        <w:tabs>
          <w:tab w:leader="none" w:pos="1739" w:val="left"/>
        </w:tabs>
        <w:numPr>
          <w:ilvl w:val="0"/>
          <w:numId w:val="111"/>
        </w:numPr>
        <w:rPr>
          <w:rFonts w:ascii="Arial" w:cs="Arial" w:eastAsia="Arial" w:hAnsi="Arial"/>
          <w:sz w:val="20"/>
          <w:szCs w:val="20"/>
          <w:color w:val="010000"/>
        </w:rPr>
      </w:pPr>
      <w:r>
        <w:rPr>
          <w:rFonts w:ascii="Arial" w:cs="Arial" w:eastAsia="Arial" w:hAnsi="Arial"/>
          <w:sz w:val="20"/>
          <w:szCs w:val="20"/>
          <w:color w:val="010000"/>
        </w:rPr>
        <w:t>Not withstanding any other agreement between the Company (or a Subsidiary) and the Participant, if there is a termination in connection with a “Change in Control” (</w:t>
      </w:r>
      <w:r>
        <w:rPr>
          <w:rFonts w:ascii="Arial" w:cs="Arial" w:eastAsia="Arial" w:hAnsi="Arial"/>
          <w:sz w:val="20"/>
          <w:szCs w:val="20"/>
          <w:i w:val="1"/>
          <w:iCs w:val="1"/>
          <w:color w:val="010000"/>
        </w:rPr>
        <w:t>as defined below</w:t>
      </w:r>
      <w:r>
        <w:rPr>
          <w:rFonts w:ascii="Arial" w:cs="Arial" w:eastAsia="Arial" w:hAnsi="Arial"/>
          <w:sz w:val="20"/>
          <w:szCs w:val="20"/>
          <w:color w:val="010000"/>
        </w:rPr>
        <w:t>), the award shall immediately vest and the Shares shall be delivered in accordance with Section 5. For the purposes of this Award Agreement, a termination in connection with a Change in Control shall mean a Change in Control shall have occurred and there has occurred a termination of the Participant’s employment with the Company or a Subsidiary either by the Company or a Subsidiary without “Cause” (</w:t>
      </w:r>
      <w:r>
        <w:rPr>
          <w:rFonts w:ascii="Arial" w:cs="Arial" w:eastAsia="Arial" w:hAnsi="Arial"/>
          <w:sz w:val="20"/>
          <w:szCs w:val="20"/>
          <w:i w:val="1"/>
          <w:iCs w:val="1"/>
          <w:color w:val="010000"/>
        </w:rPr>
        <w:t>as defined below)</w:t>
      </w:r>
      <w:r>
        <w:rPr>
          <w:rFonts w:ascii="Arial" w:cs="Arial" w:eastAsia="Arial" w:hAnsi="Arial"/>
          <w:sz w:val="20"/>
          <w:szCs w:val="20"/>
          <w:color w:val="010000"/>
        </w:rPr>
        <w:t>, or by the Participant for “Good Reason” (</w:t>
      </w:r>
      <w:r>
        <w:rPr>
          <w:rFonts w:ascii="Arial" w:cs="Arial" w:eastAsia="Arial" w:hAnsi="Arial"/>
          <w:sz w:val="20"/>
          <w:szCs w:val="20"/>
          <w:i w:val="1"/>
          <w:iCs w:val="1"/>
          <w:color w:val="010000"/>
        </w:rPr>
        <w:t>as defined below</w:t>
      </w:r>
      <w:r>
        <w:rPr>
          <w:rFonts w:ascii="Arial" w:cs="Arial" w:eastAsia="Arial" w:hAnsi="Arial"/>
          <w:sz w:val="20"/>
          <w:szCs w:val="20"/>
          <w:color w:val="010000"/>
        </w:rPr>
        <w:t>) during the “Effective Period” (</w:t>
      </w:r>
      <w:r>
        <w:rPr>
          <w:rFonts w:ascii="Arial" w:cs="Arial" w:eastAsia="Arial" w:hAnsi="Arial"/>
          <w:sz w:val="20"/>
          <w:szCs w:val="20"/>
          <w:i w:val="1"/>
          <w:iCs w:val="1"/>
          <w:color w:val="010000"/>
        </w:rPr>
        <w:t>as defined below</w:t>
      </w:r>
      <w:r>
        <w:rPr>
          <w:rFonts w:ascii="Arial" w:cs="Arial" w:eastAsia="Arial" w:hAnsi="Arial"/>
          <w:sz w:val="20"/>
          <w:szCs w:val="20"/>
          <w:color w:val="010000"/>
        </w:rPr>
        <w:t>).</w:t>
      </w:r>
    </w:p>
    <w:p>
      <w:pPr>
        <w:spacing w:after="0" w:line="170" w:lineRule="exact"/>
        <w:rPr>
          <w:rFonts w:ascii="Arial" w:cs="Arial" w:eastAsia="Arial" w:hAnsi="Arial"/>
          <w:sz w:val="20"/>
          <w:szCs w:val="20"/>
          <w:color w:val="010000"/>
        </w:rPr>
      </w:pPr>
    </w:p>
    <w:p>
      <w:pPr>
        <w:ind w:right="40" w:firstLine="882"/>
        <w:spacing w:after="0" w:line="253" w:lineRule="auto"/>
        <w:tabs>
          <w:tab w:leader="none" w:pos="1728" w:val="left"/>
        </w:tabs>
        <w:numPr>
          <w:ilvl w:val="0"/>
          <w:numId w:val="111"/>
        </w:numPr>
        <w:rPr>
          <w:rFonts w:ascii="Arial" w:cs="Arial" w:eastAsia="Arial" w:hAnsi="Arial"/>
          <w:sz w:val="21"/>
          <w:szCs w:val="21"/>
          <w:color w:val="010000"/>
        </w:rPr>
      </w:pPr>
      <w:r>
        <w:rPr>
          <w:rFonts w:ascii="Arial" w:cs="Arial" w:eastAsia="Arial" w:hAnsi="Arial"/>
          <w:sz w:val="21"/>
          <w:szCs w:val="21"/>
          <w:color w:val="010000"/>
        </w:rPr>
        <w:t>If the Participant’s employment terminates for reasons other than for those addressed in Sections 4(a)-(d), all unvested RSUs subject to this Award shall be forfeited upon Participant’s termination of employment.</w:t>
      </w:r>
    </w:p>
    <w:p>
      <w:pPr>
        <w:spacing w:after="0" w:line="162" w:lineRule="exact"/>
        <w:rPr>
          <w:rFonts w:ascii="Arial" w:cs="Arial" w:eastAsia="Arial" w:hAnsi="Arial"/>
          <w:sz w:val="21"/>
          <w:szCs w:val="21"/>
          <w:color w:val="010000"/>
        </w:rPr>
      </w:pPr>
    </w:p>
    <w:p>
      <w:pPr>
        <w:jc w:val="both"/>
        <w:ind w:right="40" w:firstLine="882"/>
        <w:spacing w:after="0" w:line="237" w:lineRule="auto"/>
        <w:tabs>
          <w:tab w:leader="none" w:pos="1705" w:val="left"/>
        </w:tabs>
        <w:numPr>
          <w:ilvl w:val="0"/>
          <w:numId w:val="111"/>
        </w:numPr>
        <w:rPr>
          <w:rFonts w:ascii="Arial" w:cs="Arial" w:eastAsia="Arial" w:hAnsi="Arial"/>
          <w:sz w:val="21"/>
          <w:szCs w:val="21"/>
          <w:color w:val="010000"/>
        </w:rPr>
      </w:pPr>
      <w:r>
        <w:rPr>
          <w:rFonts w:ascii="Arial" w:cs="Arial" w:eastAsia="Arial" w:hAnsi="Arial"/>
          <w:sz w:val="21"/>
          <w:szCs w:val="21"/>
          <w:color w:val="010000"/>
        </w:rPr>
        <w:t>For purposes of clarity and unless otherwise determined by the Committee in its sole discretion, any termination of employment shall be effective as of the date on which the Participant’s active employment ends and will not be extended by any notice period mandated under local law (e.g., active employment will not include a period of “garden leave” or similar period pursuant to local law). The Committee shall have the exclusive discretion to determine when the Participant is no longer actively employed for purposes of the RSUs.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07" w:name="page108"/>
    <w:bookmarkEnd w:id="107"/>
    <w:p>
      <w:pPr>
        <w:jc w:val="both"/>
        <w:ind w:right="40" w:firstLine="882"/>
        <w:spacing w:after="0" w:line="248" w:lineRule="auto"/>
        <w:tabs>
          <w:tab w:leader="none" w:pos="1739" w:val="left"/>
        </w:tabs>
        <w:numPr>
          <w:ilvl w:val="0"/>
          <w:numId w:val="112"/>
        </w:numPr>
        <w:rPr>
          <w:rFonts w:ascii="Arial" w:cs="Arial" w:eastAsia="Arial" w:hAnsi="Arial"/>
          <w:sz w:val="20"/>
          <w:szCs w:val="20"/>
          <w:color w:val="010000"/>
        </w:rPr>
      </w:pPr>
      <w:r>
        <w:rPr>
          <w:rFonts w:ascii="Arial" w:cs="Arial" w:eastAsia="Arial" w:hAnsi="Arial"/>
          <w:sz w:val="20"/>
          <w:szCs w:val="20"/>
          <w:color w:val="010000"/>
        </w:rPr>
        <w:t>“Cause” for the purposes hereof, shall mean the Participant has (1) engaged in gross negligence or willful misconduct in the performance of his or her duties and responsibilities respecting his or her position with the Company or Employer; (2) willfully refused, without proper legal reason, to perform the duties and responsibilities respecting his or her position with the Company or Employer; (3) breached any material policy or code of conduct established by the Company or Employer; (4) engaged in conduct that Participant knows or should know is materially injurious to the Company or Employer; (5) been convicted of a felony or a misdemeanor involving moral turpitude; or (6) engaged in an act of dishonest or impropriety which materially impairs the Participant’s effectiveness in his or her position with the Company or Employer.</w:t>
      </w:r>
    </w:p>
    <w:p>
      <w:pPr>
        <w:spacing w:after="0" w:line="171" w:lineRule="exact"/>
        <w:rPr>
          <w:rFonts w:ascii="Arial" w:cs="Arial" w:eastAsia="Arial" w:hAnsi="Arial"/>
          <w:sz w:val="20"/>
          <w:szCs w:val="20"/>
          <w:color w:val="010000"/>
        </w:rPr>
      </w:pPr>
    </w:p>
    <w:p>
      <w:pPr>
        <w:jc w:val="both"/>
        <w:ind w:right="40" w:firstLine="882"/>
        <w:spacing w:after="0" w:line="242" w:lineRule="auto"/>
        <w:tabs>
          <w:tab w:leader="none" w:pos="1739" w:val="left"/>
        </w:tabs>
        <w:numPr>
          <w:ilvl w:val="0"/>
          <w:numId w:val="112"/>
        </w:numPr>
        <w:rPr>
          <w:rFonts w:ascii="Arial" w:cs="Arial" w:eastAsia="Arial" w:hAnsi="Arial"/>
          <w:sz w:val="21"/>
          <w:szCs w:val="21"/>
          <w:color w:val="010000"/>
        </w:rPr>
      </w:pPr>
      <w:r>
        <w:rPr>
          <w:rFonts w:ascii="Arial" w:cs="Arial" w:eastAsia="Arial" w:hAnsi="Arial"/>
          <w:sz w:val="21"/>
          <w:szCs w:val="21"/>
          <w:color w:val="010000"/>
        </w:rPr>
        <w:t>“Long-Term Disability” for the purposes hereof, shall mean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73" w:lineRule="exact"/>
        <w:rPr>
          <w:rFonts w:ascii="Arial" w:cs="Arial" w:eastAsia="Arial" w:hAnsi="Arial"/>
          <w:sz w:val="21"/>
          <w:szCs w:val="21"/>
          <w:color w:val="010000"/>
        </w:rPr>
      </w:pPr>
    </w:p>
    <w:p>
      <w:pPr>
        <w:ind w:left="1700" w:hanging="818"/>
        <w:spacing w:after="0"/>
        <w:tabs>
          <w:tab w:leader="none" w:pos="1700" w:val="left"/>
        </w:tabs>
        <w:numPr>
          <w:ilvl w:val="0"/>
          <w:numId w:val="112"/>
        </w:numPr>
        <w:rPr>
          <w:rFonts w:ascii="Arial" w:cs="Arial" w:eastAsia="Arial" w:hAnsi="Arial"/>
          <w:sz w:val="21"/>
          <w:szCs w:val="21"/>
          <w:color w:val="010000"/>
        </w:rPr>
      </w:pPr>
      <w:r>
        <w:rPr>
          <w:rFonts w:ascii="Arial" w:cs="Arial" w:eastAsia="Arial" w:hAnsi="Arial"/>
          <w:sz w:val="21"/>
          <w:szCs w:val="21"/>
          <w:color w:val="010000"/>
        </w:rPr>
        <w:t>“Change in Control” for the purposes of this Award, shall mean the earliest date on which:</w:t>
      </w:r>
    </w:p>
    <w:p>
      <w:pPr>
        <w:spacing w:after="0" w:line="197" w:lineRule="exact"/>
        <w:rPr>
          <w:rFonts w:ascii="Arial" w:cs="Arial" w:eastAsia="Arial" w:hAnsi="Arial"/>
          <w:sz w:val="21"/>
          <w:szCs w:val="21"/>
          <w:color w:val="010000"/>
        </w:rPr>
      </w:pPr>
    </w:p>
    <w:p>
      <w:pPr>
        <w:jc w:val="both"/>
        <w:ind w:left="2620" w:right="40" w:hanging="872"/>
        <w:spacing w:after="0" w:line="238" w:lineRule="auto"/>
        <w:tabs>
          <w:tab w:leader="none" w:pos="2620" w:val="left"/>
        </w:tabs>
        <w:numPr>
          <w:ilvl w:val="1"/>
          <w:numId w:val="112"/>
        </w:numPr>
        <w:rPr>
          <w:rFonts w:ascii="Arial" w:cs="Arial" w:eastAsia="Arial" w:hAnsi="Arial"/>
          <w:sz w:val="21"/>
          <w:szCs w:val="21"/>
          <w:color w:val="010000"/>
        </w:rPr>
      </w:pPr>
      <w:r>
        <w:rPr>
          <w:rFonts w:ascii="Arial" w:cs="Arial" w:eastAsia="Arial" w:hAnsi="Arial"/>
          <w:sz w:val="21"/>
          <w:szCs w:val="21"/>
          <w:color w:val="010000"/>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179" w:lineRule="exact"/>
        <w:rPr>
          <w:rFonts w:ascii="Arial" w:cs="Arial" w:eastAsia="Arial" w:hAnsi="Arial"/>
          <w:sz w:val="21"/>
          <w:szCs w:val="21"/>
          <w:color w:val="010000"/>
        </w:rPr>
      </w:pPr>
    </w:p>
    <w:p>
      <w:pPr>
        <w:jc w:val="both"/>
        <w:ind w:left="2620" w:right="40" w:hanging="872"/>
        <w:spacing w:after="0" w:line="268" w:lineRule="auto"/>
        <w:tabs>
          <w:tab w:leader="none" w:pos="2620" w:val="left"/>
        </w:tabs>
        <w:numPr>
          <w:ilvl w:val="1"/>
          <w:numId w:val="112"/>
        </w:numPr>
        <w:rPr>
          <w:rFonts w:ascii="Arial" w:cs="Arial" w:eastAsia="Arial" w:hAnsi="Arial"/>
          <w:sz w:val="19"/>
          <w:szCs w:val="19"/>
          <w:color w:val="010000"/>
        </w:rPr>
      </w:pPr>
      <w:r>
        <w:rPr>
          <w:rFonts w:ascii="Arial" w:cs="Arial" w:eastAsia="Arial" w:hAnsi="Arial"/>
          <w:sz w:val="19"/>
          <w:szCs w:val="19"/>
          <w:color w:val="010000"/>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49" w:lineRule="exact"/>
        <w:rPr>
          <w:rFonts w:ascii="Arial" w:cs="Arial" w:eastAsia="Arial" w:hAnsi="Arial"/>
          <w:sz w:val="19"/>
          <w:szCs w:val="19"/>
          <w:color w:val="010000"/>
        </w:rPr>
      </w:pPr>
    </w:p>
    <w:p>
      <w:pPr>
        <w:jc w:val="both"/>
        <w:ind w:left="2620" w:right="40" w:hanging="872"/>
        <w:spacing w:after="0" w:line="246" w:lineRule="auto"/>
        <w:tabs>
          <w:tab w:leader="none" w:pos="2620" w:val="left"/>
        </w:tabs>
        <w:numPr>
          <w:ilvl w:val="1"/>
          <w:numId w:val="112"/>
        </w:numPr>
        <w:rPr>
          <w:rFonts w:ascii="Arial" w:cs="Arial" w:eastAsia="Arial" w:hAnsi="Arial"/>
          <w:sz w:val="20"/>
          <w:szCs w:val="20"/>
          <w:color w:val="010000"/>
        </w:rPr>
      </w:pPr>
      <w:r>
        <w:rPr>
          <w:rFonts w:ascii="Arial" w:cs="Arial" w:eastAsia="Arial" w:hAnsi="Arial"/>
          <w:sz w:val="20"/>
          <w:szCs w:val="20"/>
          <w:color w:val="010000"/>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50% or more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or more continuity test is met, any ownership of the voting securities of the surviving or resulting corporation or entity that results from a stockholder’s ownership of the stock of, or their ownership interest in, the corporation or other entity with which the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08" w:name="page109"/>
    <w:bookmarkEnd w:id="108"/>
    <w:p>
      <w:pPr>
        <w:ind w:left="2620" w:right="40"/>
        <w:spacing w:after="0" w:line="253" w:lineRule="auto"/>
        <w:rPr>
          <w:sz w:val="20"/>
          <w:szCs w:val="20"/>
          <w:color w:val="auto"/>
        </w:rPr>
      </w:pPr>
      <w:r>
        <w:rPr>
          <w:rFonts w:ascii="Arial" w:cs="Arial" w:eastAsia="Arial" w:hAnsi="Arial"/>
          <w:sz w:val="21"/>
          <w:szCs w:val="21"/>
          <w:color w:val="010000"/>
        </w:rPr>
        <w:t>Company is merged or consolidated as not owned by persons who were beneficial owners of the Company’s outstanding voting securities immediately prior to the transaction); or</w:t>
      </w:r>
    </w:p>
    <w:p>
      <w:pPr>
        <w:spacing w:after="0" w:line="163" w:lineRule="exact"/>
        <w:rPr>
          <w:sz w:val="20"/>
          <w:szCs w:val="20"/>
          <w:color w:val="auto"/>
        </w:rPr>
      </w:pPr>
    </w:p>
    <w:p>
      <w:pPr>
        <w:jc w:val="both"/>
        <w:ind w:left="2620" w:right="40" w:hanging="872"/>
        <w:spacing w:after="0" w:line="238" w:lineRule="auto"/>
        <w:tabs>
          <w:tab w:leader="none" w:pos="2620" w:val="left"/>
        </w:tabs>
        <w:numPr>
          <w:ilvl w:val="0"/>
          <w:numId w:val="113"/>
        </w:numPr>
        <w:rPr>
          <w:rFonts w:ascii="Arial" w:cs="Arial" w:eastAsia="Arial" w:hAnsi="Arial"/>
          <w:sz w:val="21"/>
          <w:szCs w:val="21"/>
          <w:color w:val="010000"/>
        </w:rPr>
      </w:pPr>
      <w:r>
        <w:rPr>
          <w:rFonts w:ascii="Arial" w:cs="Arial" w:eastAsia="Arial" w:hAnsi="Arial"/>
          <w:sz w:val="21"/>
          <w:szCs w:val="21"/>
          <w:color w:val="010000"/>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right="40"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in Control shall be deemed to have occurred by virtue of any transaction which results in the Participant, or a group of Persons which includes the Participant, acquiring 20% or more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7" w:lineRule="exact"/>
        <w:rPr>
          <w:sz w:val="20"/>
          <w:szCs w:val="20"/>
          <w:color w:val="auto"/>
        </w:rPr>
      </w:pPr>
    </w:p>
    <w:p>
      <w:pPr>
        <w:jc w:val="both"/>
        <w:ind w:right="40" w:firstLine="882"/>
        <w:spacing w:after="0" w:line="247" w:lineRule="auto"/>
        <w:tabs>
          <w:tab w:leader="none" w:pos="1693" w:val="left"/>
        </w:tabs>
        <w:numPr>
          <w:ilvl w:val="0"/>
          <w:numId w:val="114"/>
        </w:numPr>
        <w:rPr>
          <w:rFonts w:ascii="Arial" w:cs="Arial" w:eastAsia="Arial" w:hAnsi="Arial"/>
          <w:sz w:val="20"/>
          <w:szCs w:val="20"/>
          <w:color w:val="010000"/>
        </w:rPr>
      </w:pPr>
      <w:r>
        <w:rPr>
          <w:rFonts w:ascii="Arial" w:cs="Arial" w:eastAsia="Arial" w:hAnsi="Arial"/>
          <w:sz w:val="20"/>
          <w:szCs w:val="20"/>
          <w:color w:val="010000"/>
        </w:rPr>
        <w:t>The “Effective Period” shall mean for the purposes of this Award Agreement the period from (A) the earliest date to occur of any of the following: (1) any of the events set forth under the definition of Change in Control shall have occurred; (2) the receipt by the Company of a Schedule 13D stating the intention of any person to take actions which if accomplished, would constitute a Change in Control; (3) the public announcement by any person of its intention to take any such action, in each case without regard for any contingency or condition which has not been satisfied on such date; (4) the agreement by the Company to enter into a transaction which, if consummated, would result in a Change in Control; or (5) consideration by the Board of a transaction which, if consummated, would result in a Change in Control and continues until (B) the Scheduled Vesting Date, provided that the Change in Control is consummated prior to the last Scheduled Vesting Date.</w:t>
      </w:r>
    </w:p>
    <w:p>
      <w:pPr>
        <w:spacing w:after="0" w:line="173" w:lineRule="exact"/>
        <w:rPr>
          <w:rFonts w:ascii="Arial" w:cs="Arial" w:eastAsia="Arial" w:hAnsi="Arial"/>
          <w:sz w:val="20"/>
          <w:szCs w:val="20"/>
          <w:color w:val="010000"/>
        </w:rPr>
      </w:pPr>
    </w:p>
    <w:p>
      <w:pPr>
        <w:jc w:val="both"/>
        <w:ind w:right="40" w:firstLine="882"/>
        <w:spacing w:after="0" w:line="236" w:lineRule="auto"/>
        <w:tabs>
          <w:tab w:leader="none" w:pos="1739" w:val="left"/>
        </w:tabs>
        <w:numPr>
          <w:ilvl w:val="0"/>
          <w:numId w:val="114"/>
        </w:numPr>
        <w:rPr>
          <w:rFonts w:ascii="Arial" w:cs="Arial" w:eastAsia="Arial" w:hAnsi="Arial"/>
          <w:sz w:val="21"/>
          <w:szCs w:val="21"/>
          <w:color w:val="010000"/>
        </w:rPr>
      </w:pPr>
      <w:r>
        <w:rPr>
          <w:rFonts w:ascii="Arial" w:cs="Arial" w:eastAsia="Arial" w:hAnsi="Arial"/>
          <w:sz w:val="21"/>
          <w:szCs w:val="21"/>
          <w:color w:val="010000"/>
        </w:rPr>
        <w:t>If, however, an Effective Period occurs but the proposed transaction to which it relates ceases to be actively considered or pending, the Effective Period will be deemed not to have commenced for purposes of this Agreement. If, however, an Effective Period occurs with respect to a proposed transaction which ceased to be actively considered but for which active consideration is revived, the Effective Period with respect to the Change in Control that ultimately occurs shall begin on the date upon which consideration was revived and continue until the Scheduled Vesting Date, provided that the consummation of the Change in Control occurs prior to the last Scheduled Vesting Date.</w:t>
      </w:r>
    </w:p>
    <w:p>
      <w:pPr>
        <w:spacing w:after="0" w:line="177" w:lineRule="exact"/>
        <w:rPr>
          <w:rFonts w:ascii="Arial" w:cs="Arial" w:eastAsia="Arial" w:hAnsi="Arial"/>
          <w:sz w:val="21"/>
          <w:szCs w:val="21"/>
          <w:color w:val="010000"/>
        </w:rPr>
      </w:pPr>
    </w:p>
    <w:p>
      <w:pPr>
        <w:jc w:val="both"/>
        <w:ind w:right="40" w:firstLine="882"/>
        <w:spacing w:after="0" w:line="248" w:lineRule="auto"/>
        <w:tabs>
          <w:tab w:leader="none" w:pos="1693" w:val="left"/>
        </w:tabs>
        <w:numPr>
          <w:ilvl w:val="0"/>
          <w:numId w:val="114"/>
        </w:numPr>
        <w:rPr>
          <w:rFonts w:ascii="Arial" w:cs="Arial" w:eastAsia="Arial" w:hAnsi="Arial"/>
          <w:sz w:val="20"/>
          <w:szCs w:val="20"/>
          <w:color w:val="010000"/>
        </w:rPr>
      </w:pPr>
      <w:r>
        <w:rPr>
          <w:rFonts w:ascii="Arial" w:cs="Arial" w:eastAsia="Arial" w:hAnsi="Arial"/>
          <w:sz w:val="20"/>
          <w:szCs w:val="20"/>
          <w:color w:val="010000"/>
        </w:rPr>
        <w:t>“Good Reason” for the purposes of the Award Agreement shall mean the occurrence of any of the following without the Participant’s express written consent: (1) a material change in the Participant’s status, title(s) or positions(s) with the Company, including as an officer of the Company, as in effect immediately prior to the Effective Period which in the Participant’s reasonable judgment, does not represent a promotion, with commensurate adjustment of compensation, from the Participant’s status, title(s) and positions(s) immediately prior to the Effective Period; or the assignment to the Participant of any duties or responsibilities which, in the Participant’s reasonable judgment, are materially inconsistent with such status, title(s) or positions(s); or any removal of the Participant from or any failure to reappoint or</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09" w:name="page110"/>
    <w:bookmarkEnd w:id="109"/>
    <w:p>
      <w:pPr>
        <w:jc w:val="both"/>
        <w:ind w:right="40"/>
        <w:spacing w:after="0" w:line="259" w:lineRule="auto"/>
        <w:rPr>
          <w:sz w:val="20"/>
          <w:szCs w:val="20"/>
          <w:color w:val="auto"/>
        </w:rPr>
      </w:pPr>
      <w:r>
        <w:rPr>
          <w:rFonts w:ascii="Arial" w:cs="Arial" w:eastAsia="Arial" w:hAnsi="Arial"/>
          <w:sz w:val="19"/>
          <w:szCs w:val="19"/>
          <w:color w:val="010000"/>
        </w:rPr>
        <w:t>reelect the Participant to such position(s); provided that the circumstances described in this item (1) do not apply if as a result of the Participant’s Death, voluntary termination of employment after age 60, with 10 years of service or Long-Term Disability or following receipt by the Participant of written notice from the Company of the termination of the Participant’s employment for Cause; (2) a reduction by the Company during the Effective Period in the Participant’s then current base salary; (3) the failure by the Company to continue to effect any material Plan in which the Participant was participating immediately prior to the Effective Period other than as a result of the normal expiration or amendment of any such Plan in accordance with its terms; or the taking of any action, or the failure to act, by the Company which would materially adversely affect the Participant’s continued participation in any such Plan on at least as favorable a basis to the Participant’s participation as in effect immediately prior to the Effective Period or which would materially reduce the Participant’s benefits under any such Plan or deprive the Participant of any material benefit enjoyed by Participant immediately prior to the Effective Period; or (4) the relocation of the principal place of Participant’s employment to a location 25 miles further from the Participant’s principal residence. To qualify as Good Reason, a Participant must (i) give written notice of an event constituting Good Reason within 90 days of its initial occurrence, (ii) give the Company 30 days in which to cure such condition, and (iii) actually terminate employment within two years following the initial occurrence of the Good Reason condition and prior to the Scheduled Vesting Date.</w:t>
      </w:r>
    </w:p>
    <w:p>
      <w:pPr>
        <w:spacing w:after="0" w:line="159" w:lineRule="exact"/>
        <w:rPr>
          <w:sz w:val="20"/>
          <w:szCs w:val="20"/>
          <w:color w:val="auto"/>
        </w:rPr>
      </w:pPr>
    </w:p>
    <w:p>
      <w:pPr>
        <w:ind w:left="1660" w:hanging="778"/>
        <w:spacing w:after="0"/>
        <w:tabs>
          <w:tab w:leader="none" w:pos="1660" w:val="left"/>
        </w:tabs>
        <w:numPr>
          <w:ilvl w:val="0"/>
          <w:numId w:val="11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Delivery of Shares.</w:t>
      </w:r>
    </w:p>
    <w:p>
      <w:pPr>
        <w:spacing w:after="0" w:line="204" w:lineRule="exact"/>
        <w:rPr>
          <w:sz w:val="20"/>
          <w:szCs w:val="20"/>
          <w:color w:val="auto"/>
        </w:rPr>
      </w:pPr>
    </w:p>
    <w:p>
      <w:pPr>
        <w:jc w:val="both"/>
        <w:ind w:right="40" w:firstLine="882"/>
        <w:spacing w:after="0" w:line="242" w:lineRule="auto"/>
        <w:tabs>
          <w:tab w:leader="none" w:pos="1728" w:val="left"/>
        </w:tabs>
        <w:numPr>
          <w:ilvl w:val="0"/>
          <w:numId w:val="116"/>
        </w:numPr>
        <w:rPr>
          <w:rFonts w:ascii="Arial" w:cs="Arial" w:eastAsia="Arial" w:hAnsi="Arial"/>
          <w:sz w:val="21"/>
          <w:szCs w:val="21"/>
          <w:color w:val="010000"/>
        </w:rPr>
      </w:pPr>
      <w:r>
        <w:rPr>
          <w:rFonts w:ascii="Arial" w:cs="Arial" w:eastAsia="Arial" w:hAnsi="Arial"/>
          <w:sz w:val="21"/>
          <w:szCs w:val="21"/>
          <w:color w:val="010000"/>
        </w:rPr>
        <w:t>Employed through Scheduled Vesting Date(s). If the Participant is employed with the Company or Subsidiary through the Scheduled Vesting Date the number of Shares equal to the number of RSUs that have vested shall be delivered within 30 days following the Scheduled Vesting Date.</w:t>
      </w:r>
    </w:p>
    <w:p>
      <w:pPr>
        <w:spacing w:after="0" w:line="167" w:lineRule="exact"/>
        <w:rPr>
          <w:rFonts w:ascii="Arial" w:cs="Arial" w:eastAsia="Arial" w:hAnsi="Arial"/>
          <w:sz w:val="21"/>
          <w:szCs w:val="21"/>
          <w:color w:val="010000"/>
        </w:rPr>
      </w:pPr>
    </w:p>
    <w:p>
      <w:pPr>
        <w:ind w:left="1740" w:hanging="858"/>
        <w:spacing w:after="0"/>
        <w:tabs>
          <w:tab w:leader="none" w:pos="1740" w:val="left"/>
        </w:tabs>
        <w:numPr>
          <w:ilvl w:val="0"/>
          <w:numId w:val="116"/>
        </w:numPr>
        <w:rPr>
          <w:rFonts w:ascii="Arial" w:cs="Arial" w:eastAsia="Arial" w:hAnsi="Arial"/>
          <w:sz w:val="21"/>
          <w:szCs w:val="21"/>
          <w:color w:val="010000"/>
        </w:rPr>
      </w:pPr>
      <w:r>
        <w:rPr>
          <w:rFonts w:ascii="Arial" w:cs="Arial" w:eastAsia="Arial" w:hAnsi="Arial"/>
          <w:sz w:val="21"/>
          <w:szCs w:val="21"/>
          <w:color w:val="010000"/>
        </w:rPr>
        <w:t>Employment Terminates Prior to Scheduled Vesting Date</w:t>
      </w:r>
      <w:r>
        <w:rPr>
          <w:rFonts w:ascii="Arial" w:cs="Arial" w:eastAsia="Arial" w:hAnsi="Arial"/>
          <w:sz w:val="21"/>
          <w:szCs w:val="21"/>
          <w:b w:val="1"/>
          <w:bCs w:val="1"/>
          <w:color w:val="010000"/>
        </w:rPr>
        <w:t>.</w:t>
      </w:r>
    </w:p>
    <w:p>
      <w:pPr>
        <w:spacing w:after="0" w:line="203" w:lineRule="exact"/>
        <w:rPr>
          <w:rFonts w:ascii="Arial" w:cs="Arial" w:eastAsia="Arial" w:hAnsi="Arial"/>
          <w:sz w:val="21"/>
          <w:szCs w:val="21"/>
          <w:color w:val="010000"/>
        </w:rPr>
      </w:pPr>
    </w:p>
    <w:p>
      <w:pPr>
        <w:jc w:val="both"/>
        <w:ind w:left="2620" w:right="40" w:hanging="872"/>
        <w:spacing w:after="0" w:line="242" w:lineRule="auto"/>
        <w:tabs>
          <w:tab w:leader="none" w:pos="2620" w:val="left"/>
        </w:tabs>
        <w:numPr>
          <w:ilvl w:val="1"/>
          <w:numId w:val="116"/>
        </w:numPr>
        <w:rPr>
          <w:rFonts w:ascii="Arial" w:cs="Arial" w:eastAsia="Arial" w:hAnsi="Arial"/>
          <w:sz w:val="21"/>
          <w:szCs w:val="21"/>
          <w:color w:val="010000"/>
        </w:rPr>
      </w:pPr>
      <w:r>
        <w:rPr>
          <w:rFonts w:ascii="Arial" w:cs="Arial" w:eastAsia="Arial" w:hAnsi="Arial"/>
          <w:sz w:val="21"/>
          <w:szCs w:val="21"/>
          <w:color w:val="010000"/>
        </w:rPr>
        <w:t>If the Participant terminates employment in accordance with Sections 4(a) or 4(c), the number of Shares equal to the portion of the RSUs that vested shall be delivered within 30 days following the Scheduled Vesting Date.</w:t>
      </w:r>
    </w:p>
    <w:p>
      <w:pPr>
        <w:spacing w:after="0" w:line="173" w:lineRule="exact"/>
        <w:rPr>
          <w:rFonts w:ascii="Arial" w:cs="Arial" w:eastAsia="Arial" w:hAnsi="Arial"/>
          <w:sz w:val="21"/>
          <w:szCs w:val="21"/>
          <w:color w:val="010000"/>
        </w:rPr>
      </w:pPr>
    </w:p>
    <w:p>
      <w:pPr>
        <w:jc w:val="both"/>
        <w:ind w:left="2620" w:right="40" w:hanging="872"/>
        <w:spacing w:after="0" w:line="238" w:lineRule="auto"/>
        <w:tabs>
          <w:tab w:leader="none" w:pos="2620" w:val="left"/>
        </w:tabs>
        <w:numPr>
          <w:ilvl w:val="1"/>
          <w:numId w:val="116"/>
        </w:numPr>
        <w:rPr>
          <w:rFonts w:ascii="Arial" w:cs="Arial" w:eastAsia="Arial" w:hAnsi="Arial"/>
          <w:sz w:val="21"/>
          <w:szCs w:val="21"/>
          <w:color w:val="010000"/>
        </w:rPr>
      </w:pPr>
      <w:r>
        <w:rPr>
          <w:rFonts w:ascii="Arial" w:cs="Arial" w:eastAsia="Arial" w:hAnsi="Arial"/>
          <w:sz w:val="21"/>
          <w:szCs w:val="21"/>
          <w:color w:val="010000"/>
        </w:rPr>
        <w:t>If the Participant’s employment terminates by reason of death or Long-term Disability in accordance with Section 4(b), prior to the Scheduled Vesting Date, the number of Shares equal to the RSUs that were subject to accelerated vesting pursuant to Section 4 hereof, shall be delivered within 30 days of such termination.</w:t>
      </w:r>
    </w:p>
    <w:p>
      <w:pPr>
        <w:spacing w:after="0" w:line="179" w:lineRule="exact"/>
        <w:rPr>
          <w:rFonts w:ascii="Arial" w:cs="Arial" w:eastAsia="Arial" w:hAnsi="Arial"/>
          <w:sz w:val="21"/>
          <w:szCs w:val="21"/>
          <w:color w:val="010000"/>
        </w:rPr>
      </w:pPr>
    </w:p>
    <w:p>
      <w:pPr>
        <w:jc w:val="both"/>
        <w:ind w:left="2620" w:right="40" w:hanging="872"/>
        <w:spacing w:after="0" w:line="249" w:lineRule="auto"/>
        <w:tabs>
          <w:tab w:leader="none" w:pos="2620" w:val="left"/>
        </w:tabs>
        <w:numPr>
          <w:ilvl w:val="1"/>
          <w:numId w:val="116"/>
        </w:numPr>
        <w:rPr>
          <w:rFonts w:ascii="Arial" w:cs="Arial" w:eastAsia="Arial" w:hAnsi="Arial"/>
          <w:sz w:val="20"/>
          <w:szCs w:val="20"/>
          <w:color w:val="010000"/>
        </w:rPr>
      </w:pPr>
      <w:r>
        <w:rPr>
          <w:rFonts w:ascii="Arial" w:cs="Arial" w:eastAsia="Arial" w:hAnsi="Arial"/>
          <w:sz w:val="20"/>
          <w:szCs w:val="20"/>
          <w:color w:val="010000"/>
        </w:rPr>
        <w:t>If the Participant’s employment is terminated in connection with a “Change in Control” as provided for in Section 4(d), and if the “Change in Control” also constitutes a “change in control event” within the meaning of U.S. Department of Treasury Regulation Section 1.409A-3(i)(5) (a “Section 409A CIC”), the number of Shares equal to the Participant’s vested RSUs shall be delivered within 30 days following such Section 409A CIC or date of such termination, whichever is the later to occur. Upon the occurrence of a Change in Control that is not a Section 409A</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0" w:name="page111"/>
    <w:bookmarkEnd w:id="110"/>
    <w:p>
      <w:pPr>
        <w:jc w:val="both"/>
        <w:ind w:left="2620" w:right="40"/>
        <w:spacing w:after="0" w:line="272" w:lineRule="auto"/>
        <w:rPr>
          <w:sz w:val="20"/>
          <w:szCs w:val="20"/>
          <w:color w:val="auto"/>
        </w:rPr>
      </w:pPr>
      <w:r>
        <w:rPr>
          <w:rFonts w:ascii="Arial" w:cs="Arial" w:eastAsia="Arial" w:hAnsi="Arial"/>
          <w:sz w:val="19"/>
          <w:szCs w:val="19"/>
          <w:color w:val="010000"/>
        </w:rPr>
        <w:t>CIC, the Shares underlying the Participant’s vested RSUs shall be delivered within 30 days following the Scheduled Vesting Date or such termination, whichever is the earlier to occur, unless the termination occurs before the Change in Control, in which case the RSUs vested pursuant to Section 4(d) will be paid within 30 days following the Scheduled Vesting Date, but in no event later than the end of 2018.</w:t>
      </w:r>
    </w:p>
    <w:p>
      <w:pPr>
        <w:spacing w:after="0" w:line="146" w:lineRule="exact"/>
        <w:rPr>
          <w:sz w:val="20"/>
          <w:szCs w:val="20"/>
          <w:color w:val="auto"/>
        </w:rPr>
      </w:pPr>
    </w:p>
    <w:p>
      <w:pPr>
        <w:ind w:right="40" w:firstLine="882"/>
        <w:spacing w:after="0" w:line="253" w:lineRule="auto"/>
        <w:tabs>
          <w:tab w:leader="none" w:pos="1728" w:val="left"/>
        </w:tabs>
        <w:numPr>
          <w:ilvl w:val="0"/>
          <w:numId w:val="117"/>
        </w:numPr>
        <w:rPr>
          <w:rFonts w:ascii="Arial" w:cs="Arial" w:eastAsia="Arial" w:hAnsi="Arial"/>
          <w:sz w:val="21"/>
          <w:szCs w:val="21"/>
          <w:color w:val="010000"/>
        </w:rPr>
      </w:pPr>
      <w:r>
        <w:rPr>
          <w:rFonts w:ascii="Arial" w:cs="Arial" w:eastAsia="Arial" w:hAnsi="Arial"/>
          <w:sz w:val="21"/>
          <w:szCs w:val="21"/>
          <w:color w:val="010000"/>
        </w:rPr>
        <w:t>The Shares which the Award entitles the Participant to receive shall be delivered to the Participant, subject to withholding as provided in Section 12 below.</w:t>
      </w:r>
    </w:p>
    <w:p>
      <w:pPr>
        <w:spacing w:after="0" w:line="157" w:lineRule="exact"/>
        <w:rPr>
          <w:sz w:val="20"/>
          <w:szCs w:val="20"/>
          <w:color w:val="auto"/>
        </w:rPr>
      </w:pPr>
    </w:p>
    <w:p>
      <w:pPr>
        <w:jc w:val="both"/>
        <w:ind w:right="40" w:firstLine="882"/>
        <w:spacing w:after="0" w:line="251" w:lineRule="auto"/>
        <w:tabs>
          <w:tab w:leader="none" w:pos="1653" w:val="left"/>
        </w:tabs>
        <w:numPr>
          <w:ilvl w:val="0"/>
          <w:numId w:val="11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Restrictions on Transfer.</w:t>
      </w:r>
      <w:r>
        <w:rPr>
          <w:rFonts w:ascii="Arial" w:cs="Arial" w:eastAsia="Arial" w:hAnsi="Arial"/>
          <w:sz w:val="20"/>
          <w:szCs w:val="20"/>
          <w:b w:val="1"/>
          <w:bCs w:val="1"/>
          <w:color w:val="010000"/>
        </w:rPr>
        <w:t xml:space="preserve"> </w:t>
      </w:r>
      <w:r>
        <w:rPr>
          <w:rFonts w:ascii="Arial" w:cs="Arial" w:eastAsia="Arial" w:hAnsi="Arial"/>
          <w:sz w:val="20"/>
          <w:szCs w:val="20"/>
          <w:color w:val="010000"/>
        </w:rPr>
        <w:t>In no event shall an Award granted hereunder be voluntarily or involuntarily sold,</w:t>
      </w:r>
      <w:r>
        <w:rPr>
          <w:rFonts w:ascii="Arial" w:cs="Arial" w:eastAsia="Arial" w:hAnsi="Arial"/>
          <w:sz w:val="20"/>
          <w:szCs w:val="20"/>
          <w:b w:val="1"/>
          <w:bCs w:val="1"/>
          <w:color w:val="010000"/>
        </w:rPr>
        <w:t xml:space="preserve"> </w:t>
      </w:r>
      <w:r>
        <w:rPr>
          <w:rFonts w:ascii="Arial" w:cs="Arial" w:eastAsia="Arial" w:hAnsi="Arial"/>
          <w:sz w:val="20"/>
          <w:szCs w:val="20"/>
          <w:color w:val="010000"/>
        </w:rPr>
        <w:t>pledged, assigned or transferred by the Participant other than: (i) by will or the laws of descent and distribution; or (ii) pursuant to the qualified domestic relations order (as defined by the Internal Revenue Code); or (iii) by transfer by a Participant to a member of the Participant’s Immediate Family, or to a partnership or limited liability company whose only partners or shareholders are the Participant and members of his Immediate Family. However, any grant transferred shall continue to be subject to all terms and conditions contained in the Agreement. “Immediate Family” mean the spouse, children or grandchildren of the Participant.</w:t>
      </w:r>
    </w:p>
    <w:p>
      <w:pPr>
        <w:spacing w:after="0" w:line="158" w:lineRule="exact"/>
        <w:rPr>
          <w:rFonts w:ascii="Arial" w:cs="Arial" w:eastAsia="Arial" w:hAnsi="Arial"/>
          <w:sz w:val="20"/>
          <w:szCs w:val="20"/>
          <w:b w:val="1"/>
          <w:bCs w:val="1"/>
          <w:color w:val="010000"/>
        </w:rPr>
      </w:pPr>
    </w:p>
    <w:p>
      <w:pPr>
        <w:ind w:right="40" w:firstLine="882"/>
        <w:spacing w:after="0" w:line="259" w:lineRule="auto"/>
        <w:tabs>
          <w:tab w:leader="none" w:pos="1653" w:val="left"/>
        </w:tabs>
        <w:numPr>
          <w:ilvl w:val="0"/>
          <w:numId w:val="11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 Voting Rights.</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RSUs granted pursuant to this Award, whether or not vested, will not confer any voting</w:t>
      </w:r>
      <w:r>
        <w:rPr>
          <w:rFonts w:ascii="Arial" w:cs="Arial" w:eastAsia="Arial" w:hAnsi="Arial"/>
          <w:sz w:val="21"/>
          <w:szCs w:val="21"/>
          <w:b w:val="1"/>
          <w:bCs w:val="1"/>
          <w:color w:val="010000"/>
        </w:rPr>
        <w:t xml:space="preserve"> </w:t>
      </w:r>
      <w:r>
        <w:rPr>
          <w:rFonts w:ascii="Arial" w:cs="Arial" w:eastAsia="Arial" w:hAnsi="Arial"/>
          <w:sz w:val="21"/>
          <w:szCs w:val="21"/>
          <w:color w:val="010000"/>
        </w:rPr>
        <w:t>rights upon the Participant, unless and until the Award is paid in Shares.</w:t>
      </w:r>
    </w:p>
    <w:p>
      <w:pPr>
        <w:spacing w:after="0" w:line="150" w:lineRule="exact"/>
        <w:rPr>
          <w:rFonts w:ascii="Arial" w:cs="Arial" w:eastAsia="Arial" w:hAnsi="Arial"/>
          <w:sz w:val="21"/>
          <w:szCs w:val="21"/>
          <w:b w:val="1"/>
          <w:bCs w:val="1"/>
          <w:color w:val="010000"/>
        </w:rPr>
      </w:pPr>
    </w:p>
    <w:p>
      <w:pPr>
        <w:ind w:right="40" w:firstLine="882"/>
        <w:spacing w:after="0" w:line="259" w:lineRule="auto"/>
        <w:tabs>
          <w:tab w:leader="none" w:pos="1653" w:val="left"/>
        </w:tabs>
        <w:numPr>
          <w:ilvl w:val="0"/>
          <w:numId w:val="11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Changes in Capitalization.</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RSUs granted under this Award shall be subject to the provisions of Section 12.2</w:t>
      </w:r>
      <w:r>
        <w:rPr>
          <w:rFonts w:ascii="Arial" w:cs="Arial" w:eastAsia="Arial" w:hAnsi="Arial"/>
          <w:sz w:val="21"/>
          <w:szCs w:val="21"/>
          <w:b w:val="1"/>
          <w:bCs w:val="1"/>
          <w:color w:val="010000"/>
        </w:rPr>
        <w:t xml:space="preserve"> </w:t>
      </w:r>
      <w:r>
        <w:rPr>
          <w:rFonts w:ascii="Arial" w:cs="Arial" w:eastAsia="Arial" w:hAnsi="Arial"/>
          <w:sz w:val="21"/>
          <w:szCs w:val="21"/>
          <w:color w:val="010000"/>
        </w:rPr>
        <w:t>of the Plan relating to adjustments to corporate capitalization.</w:t>
      </w:r>
    </w:p>
    <w:p>
      <w:pPr>
        <w:spacing w:after="0" w:line="150" w:lineRule="exact"/>
        <w:rPr>
          <w:rFonts w:ascii="Arial" w:cs="Arial" w:eastAsia="Arial" w:hAnsi="Arial"/>
          <w:sz w:val="21"/>
          <w:szCs w:val="21"/>
          <w:b w:val="1"/>
          <w:bCs w:val="1"/>
          <w:color w:val="010000"/>
        </w:rPr>
      </w:pPr>
    </w:p>
    <w:p>
      <w:pPr>
        <w:ind w:left="1660" w:hanging="778"/>
        <w:spacing w:after="0"/>
        <w:tabs>
          <w:tab w:leader="none" w:pos="1660" w:val="left"/>
        </w:tabs>
        <w:numPr>
          <w:ilvl w:val="0"/>
          <w:numId w:val="11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Covenant Not To Compete, Solicit or Disclose Confidential Information.</w:t>
      </w:r>
    </w:p>
    <w:p>
      <w:pPr>
        <w:spacing w:after="0" w:line="204" w:lineRule="exact"/>
        <w:rPr>
          <w:sz w:val="20"/>
          <w:szCs w:val="20"/>
          <w:color w:val="auto"/>
        </w:rPr>
      </w:pPr>
    </w:p>
    <w:p>
      <w:pPr>
        <w:jc w:val="both"/>
        <w:ind w:right="40" w:firstLine="882"/>
        <w:spacing w:after="0" w:line="274" w:lineRule="auto"/>
        <w:tabs>
          <w:tab w:leader="none" w:pos="1728" w:val="left"/>
        </w:tabs>
        <w:numPr>
          <w:ilvl w:val="0"/>
          <w:numId w:val="119"/>
        </w:numPr>
        <w:rPr>
          <w:rFonts w:ascii="Arial" w:cs="Arial" w:eastAsia="Arial" w:hAnsi="Arial"/>
          <w:sz w:val="18"/>
          <w:szCs w:val="18"/>
          <w:color w:val="010000"/>
        </w:rPr>
      </w:pPr>
      <w:r>
        <w:rPr>
          <w:rFonts w:ascii="Arial" w:cs="Arial" w:eastAsia="Arial" w:hAnsi="Arial"/>
          <w:sz w:val="18"/>
          <w:szCs w:val="18"/>
          <w:color w:val="010000"/>
        </w:rPr>
        <w:t xml:space="preserve">The Participant acknowledges that the Participant is in possession of and has access to confidential information, including material relating to the business, products and/or services of the Company or Employer and that he or she will continue to have such possession and access during employment by the Company or Employer. The Participant also acknowledges that the Company’s or Employer’s business, products and services are highly specialized and that it is essential that they be protected, and, accordingly, </w:t>
      </w:r>
      <w:r>
        <w:rPr>
          <w:rFonts w:ascii="Arial" w:cs="Arial" w:eastAsia="Arial" w:hAnsi="Arial"/>
          <w:sz w:val="18"/>
          <w:szCs w:val="18"/>
          <w:b w:val="1"/>
          <w:bCs w:val="1"/>
          <w:color w:val="010000"/>
        </w:rPr>
        <w:t>the</w:t>
      </w:r>
    </w:p>
    <w:p>
      <w:pPr>
        <w:spacing w:after="0" w:line="3" w:lineRule="exact"/>
        <w:rPr>
          <w:rFonts w:ascii="Arial" w:cs="Arial" w:eastAsia="Arial" w:hAnsi="Arial"/>
          <w:sz w:val="18"/>
          <w:szCs w:val="18"/>
          <w:color w:val="010000"/>
        </w:rPr>
      </w:pPr>
    </w:p>
    <w:p>
      <w:pPr>
        <w:jc w:val="both"/>
        <w:ind w:right="40"/>
        <w:spacing w:after="0" w:line="245" w:lineRule="auto"/>
        <w:rPr>
          <w:rFonts w:ascii="Arial" w:cs="Arial" w:eastAsia="Arial" w:hAnsi="Arial"/>
          <w:sz w:val="18"/>
          <w:szCs w:val="18"/>
          <w:color w:val="010000"/>
        </w:rPr>
      </w:pPr>
      <w:r>
        <w:rPr>
          <w:rFonts w:ascii="Arial" w:cs="Arial" w:eastAsia="Arial" w:hAnsi="Arial"/>
          <w:sz w:val="20"/>
          <w:szCs w:val="20"/>
          <w:b w:val="1"/>
          <w:bCs w:val="1"/>
          <w:color w:val="010000"/>
        </w:rPr>
        <w:t>Participant agrees that as partial consideration for the Award granted herein that should the Participant engage in any “Detrimental Activity,” as defined below, at any time during his or her employment or during a period of one year following his or her termination the Company or Employer shall be entitled to: (i) recover from the Participant the value of any portion of the Award that has been paid; (ii) seek injunctive relief against the Participant pursuant to the provisions of subsection (c) below; (iii) recover all damages, court costs, and attorneys’ fees incurred by the Company or Employer in enforcing the provisions of this Award, and (iv) set-off any such sums to which the Company or Employer is entitled hereunder against any sum which may be owed the Participant by the Company or Employer.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1" w:name="page112"/>
    <w:bookmarkEnd w:id="111"/>
    <w:p>
      <w:pPr>
        <w:jc w:val="both"/>
        <w:ind w:right="40" w:firstLine="882"/>
        <w:spacing w:after="0" w:line="271" w:lineRule="auto"/>
        <w:tabs>
          <w:tab w:leader="none" w:pos="1739" w:val="left"/>
        </w:tabs>
        <w:numPr>
          <w:ilvl w:val="1"/>
          <w:numId w:val="120"/>
        </w:numPr>
        <w:rPr>
          <w:rFonts w:ascii="Arial" w:cs="Arial" w:eastAsia="Arial" w:hAnsi="Arial"/>
          <w:sz w:val="18"/>
          <w:szCs w:val="18"/>
          <w:color w:val="010000"/>
        </w:rPr>
      </w:pPr>
      <w:r>
        <w:rPr>
          <w:rFonts w:ascii="Arial" w:cs="Arial" w:eastAsia="Arial" w:hAnsi="Arial"/>
          <w:sz w:val="18"/>
          <w:szCs w:val="18"/>
          <w:color w:val="010000"/>
        </w:rPr>
        <w:t>“Detrimental Activity” for the purposes hereof, other than with respect to involuntary termination without Cause, termination in connection with or as a result of a “Change in Control” (as defined in Section 5 hereof), or termination following a reduction in job responsibilities, shall include: (i) rendering of services for any person or organization, or engaging directly or indirectly in any business, which is or becomes competitive with the Company or any Subsidiary; (ii) disclosing to anyone outside the Company or any Subsidiary, or using in other than the Company’s or any Subsidiary’s business, without prior written authorization from the Company or any Subsidiary, any confidential information including material relating to the business, products or services of the Company or any Subsidiary acquired by the Participant during employment with the Company or any Subsidiary; (iii) soliciting, interfering, inducing, or attempting to cause any employee of the Company or any Subsidiary to leave his or her employment, whether done on Participant’s own account or on account of any person, organization or business which is or becomes competitive with the Company or any Subsidiary, or</w:t>
      </w:r>
    </w:p>
    <w:p>
      <w:pPr>
        <w:spacing w:after="0" w:line="7" w:lineRule="exact"/>
        <w:rPr>
          <w:rFonts w:ascii="Arial" w:cs="Arial" w:eastAsia="Arial" w:hAnsi="Arial"/>
          <w:sz w:val="18"/>
          <w:szCs w:val="18"/>
          <w:color w:val="010000"/>
        </w:rPr>
      </w:pPr>
    </w:p>
    <w:p>
      <w:pPr>
        <w:jc w:val="both"/>
        <w:ind w:right="40" w:firstLine="3"/>
        <w:spacing w:after="0" w:line="270" w:lineRule="auto"/>
        <w:tabs>
          <w:tab w:leader="none" w:pos="359" w:val="left"/>
        </w:tabs>
        <w:numPr>
          <w:ilvl w:val="0"/>
          <w:numId w:val="121"/>
        </w:numPr>
        <w:rPr>
          <w:rFonts w:ascii="Arial" w:cs="Arial" w:eastAsia="Arial" w:hAnsi="Arial"/>
          <w:sz w:val="19"/>
          <w:szCs w:val="19"/>
          <w:color w:val="010000"/>
        </w:rPr>
      </w:pPr>
      <w:r>
        <w:rPr>
          <w:rFonts w:ascii="Arial" w:cs="Arial" w:eastAsia="Arial" w:hAnsi="Arial"/>
          <w:sz w:val="19"/>
          <w:szCs w:val="19"/>
          <w:color w:val="010000"/>
        </w:rPr>
        <w:t>directly or indirectly soliciting the trade or business of any customer of the Company or any Subsidiary. “Detrimental Activity” for the purposes hereof with respect to involuntary termination without Cause, termination in connection with or as a result of a “Change in Control”, or termination following a reduction in job responsibilities, shall include only part (ii) of the preceding sentence.</w:t>
      </w:r>
    </w:p>
    <w:p>
      <w:pPr>
        <w:spacing w:after="0" w:line="149" w:lineRule="exact"/>
        <w:rPr>
          <w:rFonts w:ascii="Arial" w:cs="Arial" w:eastAsia="Arial" w:hAnsi="Arial"/>
          <w:sz w:val="19"/>
          <w:szCs w:val="19"/>
          <w:color w:val="010000"/>
        </w:rPr>
      </w:pPr>
    </w:p>
    <w:p>
      <w:pPr>
        <w:jc w:val="both"/>
        <w:ind w:right="40" w:firstLine="882"/>
        <w:spacing w:after="0" w:line="249" w:lineRule="auto"/>
        <w:tabs>
          <w:tab w:leader="none" w:pos="1728" w:val="left"/>
        </w:tabs>
        <w:numPr>
          <w:ilvl w:val="1"/>
          <w:numId w:val="121"/>
        </w:numPr>
        <w:rPr>
          <w:rFonts w:ascii="Arial" w:cs="Arial" w:eastAsia="Arial" w:hAnsi="Arial"/>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Employer for which it would have no other adequate remedy, the Participant agrees that the foregoing covenants may be enforced by the Company or Employer in the event of breach by him/her by injunction relief and restraining order, without the necessity of posting a bond, and that such enforcement shall not be the Company's or Employer’s exclusive remedy for a breach but instead shall be in addition to all other rights and remedies available to the Company or Employer.</w:t>
      </w:r>
    </w:p>
    <w:p>
      <w:pPr>
        <w:spacing w:after="0" w:line="196" w:lineRule="exact"/>
        <w:rPr>
          <w:rFonts w:ascii="Arial" w:cs="Arial" w:eastAsia="Arial" w:hAnsi="Arial"/>
          <w:sz w:val="20"/>
          <w:szCs w:val="20"/>
          <w:color w:val="auto"/>
        </w:rPr>
      </w:pPr>
    </w:p>
    <w:p>
      <w:pPr>
        <w:jc w:val="both"/>
        <w:ind w:right="40" w:firstLine="882"/>
        <w:spacing w:after="0" w:line="237" w:lineRule="auto"/>
        <w:tabs>
          <w:tab w:leader="none" w:pos="1739" w:val="left"/>
        </w:tabs>
        <w:numPr>
          <w:ilvl w:val="1"/>
          <w:numId w:val="121"/>
        </w:numPr>
        <w:rPr>
          <w:rFonts w:ascii="Arial" w:cs="Arial" w:eastAsia="Arial" w:hAnsi="Arial"/>
          <w:sz w:val="21"/>
          <w:szCs w:val="21"/>
          <w:color w:val="auto"/>
        </w:rPr>
      </w:pPr>
      <w:r>
        <w:rPr>
          <w:rFonts w:ascii="Arial" w:cs="Arial" w:eastAsia="Arial" w:hAnsi="Arial"/>
          <w:sz w:val="21"/>
          <w:szCs w:val="21"/>
          <w:color w:val="auto"/>
        </w:rPr>
        <w:t>The covenants and the provisions of this Section 9 are severable and separate, and the unenforceability of any specific covenant or provision shall not affect the enforceability of any other covenant or provision. Moreover, in the event any arbitrator or court of competent jurisdiction shall determine that the scope or time set forth are unreasonable, then it is the intention of the parties that such restrictions be enforced to the fullest extent which the panel or court deems reasonable, and this Agreement shall thereby be reformed.</w:t>
      </w:r>
    </w:p>
    <w:p>
      <w:pPr>
        <w:spacing w:after="0" w:line="203" w:lineRule="exact"/>
        <w:rPr>
          <w:rFonts w:ascii="Arial" w:cs="Arial" w:eastAsia="Arial" w:hAnsi="Arial"/>
          <w:sz w:val="21"/>
          <w:szCs w:val="21"/>
          <w:color w:val="auto"/>
        </w:rPr>
      </w:pPr>
    </w:p>
    <w:p>
      <w:pPr>
        <w:jc w:val="both"/>
        <w:ind w:right="40" w:firstLine="882"/>
        <w:spacing w:after="0" w:line="238" w:lineRule="auto"/>
        <w:tabs>
          <w:tab w:leader="none" w:pos="1728" w:val="left"/>
        </w:tabs>
        <w:numPr>
          <w:ilvl w:val="1"/>
          <w:numId w:val="121"/>
        </w:numPr>
        <w:rPr>
          <w:rFonts w:ascii="Arial" w:cs="Arial" w:eastAsia="Arial" w:hAnsi="Arial"/>
          <w:sz w:val="21"/>
          <w:szCs w:val="21"/>
          <w:color w:val="auto"/>
        </w:rPr>
      </w:pPr>
      <w:r>
        <w:rPr>
          <w:rFonts w:ascii="Arial" w:cs="Arial" w:eastAsia="Arial" w:hAnsi="Arial"/>
          <w:sz w:val="21"/>
          <w:szCs w:val="21"/>
          <w:color w:val="auto"/>
        </w:rPr>
        <w:t>Each of the covenants in this Section 9 shall be construed as an agreement independent of any other provision in this Agreement, and the existence of any claim or cause of action of the Participant against the Company or Employer, whether predicated on this Agreement or otherwise, shall not constitute a defense to the enforcement by the Company or Employer of such covenants or provisions.</w:t>
      </w:r>
    </w:p>
    <w:p>
      <w:pPr>
        <w:spacing w:after="0" w:line="199" w:lineRule="exact"/>
        <w:rPr>
          <w:sz w:val="20"/>
          <w:szCs w:val="20"/>
          <w:color w:val="auto"/>
        </w:rPr>
      </w:pPr>
    </w:p>
    <w:p>
      <w:pPr>
        <w:ind w:left="1760" w:hanging="878"/>
        <w:spacing w:after="0"/>
        <w:tabs>
          <w:tab w:leader="none" w:pos="1760" w:val="left"/>
        </w:tabs>
        <w:numPr>
          <w:ilvl w:val="0"/>
          <w:numId w:val="12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Nature of Grant</w:t>
      </w:r>
      <w:r>
        <w:rPr>
          <w:rFonts w:ascii="Arial" w:cs="Arial" w:eastAsia="Arial" w:hAnsi="Arial"/>
          <w:sz w:val="21"/>
          <w:szCs w:val="21"/>
          <w:u w:val="single" w:color="auto"/>
          <w:color w:val="010000"/>
        </w:rPr>
        <w:t>.</w:t>
      </w:r>
      <w:r>
        <w:rPr>
          <w:rFonts w:ascii="Arial" w:cs="Arial" w:eastAsia="Arial" w:hAnsi="Arial"/>
          <w:sz w:val="21"/>
          <w:szCs w:val="21"/>
          <w:b w:val="1"/>
          <w:bCs w:val="1"/>
          <w:color w:val="010000"/>
        </w:rPr>
        <w:t xml:space="preserve"> </w:t>
      </w:r>
      <w:r>
        <w:rPr>
          <w:rFonts w:ascii="Arial" w:cs="Arial" w:eastAsia="Arial" w:hAnsi="Arial"/>
          <w:sz w:val="21"/>
          <w:szCs w:val="21"/>
          <w:color w:val="010000"/>
        </w:rPr>
        <w:t>In accepting the Award of RSUs, Participant acknowledges that:</w:t>
      </w:r>
    </w:p>
    <w:p>
      <w:pPr>
        <w:spacing w:after="0" w:line="204" w:lineRule="exact"/>
        <w:rPr>
          <w:sz w:val="20"/>
          <w:szCs w:val="20"/>
          <w:color w:val="auto"/>
        </w:rPr>
      </w:pPr>
    </w:p>
    <w:p>
      <w:pPr>
        <w:ind w:right="40" w:firstLine="882"/>
        <w:spacing w:after="0" w:line="305" w:lineRule="auto"/>
        <w:tabs>
          <w:tab w:leader="none" w:pos="1728" w:val="left"/>
        </w:tabs>
        <w:numPr>
          <w:ilvl w:val="0"/>
          <w:numId w:val="123"/>
        </w:numPr>
        <w:rPr>
          <w:rFonts w:ascii="Arial" w:cs="Arial" w:eastAsia="Arial" w:hAnsi="Arial"/>
          <w:sz w:val="19"/>
          <w:szCs w:val="19"/>
          <w:color w:val="010000"/>
        </w:rPr>
      </w:pPr>
      <w:r>
        <w:rPr>
          <w:rFonts w:ascii="Arial" w:cs="Arial" w:eastAsia="Arial" w:hAnsi="Arial"/>
          <w:sz w:val="19"/>
          <w:szCs w:val="19"/>
          <w:color w:val="010000"/>
        </w:rPr>
        <w:t>The Plan is established voluntarily by the Company, it is discretionary in nature and it may be modified, amended, suspended or terminated by the Company at any time, unless otherwise provided in the Plan and this Award Agreement.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2" w:name="page113"/>
    <w:bookmarkEnd w:id="112"/>
    <w:p>
      <w:pPr>
        <w:ind w:right="40" w:firstLine="882"/>
        <w:spacing w:after="0" w:line="253" w:lineRule="auto"/>
        <w:tabs>
          <w:tab w:leader="none" w:pos="1739"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The grant of RSUs is a one-time benefit and does not create any contractual or other right to receive an award or benefits in lieu of an award in the future; future awards, if any, will be at the sole discretion of the Company.</w:t>
      </w:r>
    </w:p>
    <w:p>
      <w:pPr>
        <w:spacing w:after="0" w:line="162" w:lineRule="exact"/>
        <w:rPr>
          <w:rFonts w:ascii="Arial" w:cs="Arial" w:eastAsia="Arial" w:hAnsi="Arial"/>
          <w:sz w:val="21"/>
          <w:szCs w:val="21"/>
          <w:color w:val="010000"/>
        </w:rPr>
      </w:pPr>
    </w:p>
    <w:p>
      <w:pPr>
        <w:ind w:left="1740" w:hanging="858"/>
        <w:spacing w:after="0"/>
        <w:tabs>
          <w:tab w:leader="none" w:pos="1740"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The Participant is voluntarily participating in the Plan.</w:t>
      </w:r>
    </w:p>
    <w:p>
      <w:pPr>
        <w:spacing w:after="0" w:line="197" w:lineRule="exact"/>
        <w:rPr>
          <w:rFonts w:ascii="Arial" w:cs="Arial" w:eastAsia="Arial" w:hAnsi="Arial"/>
          <w:sz w:val="21"/>
          <w:szCs w:val="21"/>
          <w:color w:val="010000"/>
        </w:rPr>
      </w:pPr>
    </w:p>
    <w:p>
      <w:pPr>
        <w:ind w:right="40" w:firstLine="882"/>
        <w:spacing w:after="0" w:line="253" w:lineRule="auto"/>
        <w:tabs>
          <w:tab w:leader="none" w:pos="1739"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An RSU is an extraordinary item that does not constitute compensation of any kind for services of any kind rendered to the Employer, and which is outside the scope of the Participant’s employment contract, if any.</w:t>
      </w:r>
    </w:p>
    <w:p>
      <w:pPr>
        <w:spacing w:after="0" w:line="162" w:lineRule="exact"/>
        <w:rPr>
          <w:rFonts w:ascii="Arial" w:cs="Arial" w:eastAsia="Arial" w:hAnsi="Arial"/>
          <w:sz w:val="21"/>
          <w:szCs w:val="21"/>
          <w:color w:val="010000"/>
        </w:rPr>
      </w:pPr>
    </w:p>
    <w:p>
      <w:pPr>
        <w:jc w:val="both"/>
        <w:ind w:right="40" w:firstLine="882"/>
        <w:spacing w:after="0" w:line="238" w:lineRule="auto"/>
        <w:tabs>
          <w:tab w:leader="none" w:pos="1728"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The RSUs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179" w:lineRule="exact"/>
        <w:rPr>
          <w:rFonts w:ascii="Arial" w:cs="Arial" w:eastAsia="Arial" w:hAnsi="Arial"/>
          <w:sz w:val="21"/>
          <w:szCs w:val="21"/>
          <w:color w:val="010000"/>
        </w:rPr>
      </w:pPr>
    </w:p>
    <w:p>
      <w:pPr>
        <w:ind w:right="40" w:firstLine="882"/>
        <w:spacing w:after="0" w:line="253" w:lineRule="auto"/>
        <w:tabs>
          <w:tab w:leader="none" w:pos="1705"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The RSUs will not be interpreted to form an employment contract or relationship with the Company; and furthermore, the RSUs will not be interpreted to form an employment contract with any Subsidiary.</w:t>
      </w:r>
    </w:p>
    <w:p>
      <w:pPr>
        <w:spacing w:after="0" w:line="162" w:lineRule="exact"/>
        <w:rPr>
          <w:rFonts w:ascii="Arial" w:cs="Arial" w:eastAsia="Arial" w:hAnsi="Arial"/>
          <w:sz w:val="21"/>
          <w:szCs w:val="21"/>
          <w:color w:val="010000"/>
        </w:rPr>
      </w:pPr>
    </w:p>
    <w:p>
      <w:pPr>
        <w:jc w:val="both"/>
        <w:ind w:right="40" w:firstLine="882"/>
        <w:spacing w:after="0" w:line="242" w:lineRule="auto"/>
        <w:tabs>
          <w:tab w:leader="none" w:pos="1739"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This Agreement shall not confer upon the Participant any right to continuation of employment by the Employer, nor shall this Agreement interfere in any way with the Employer’s right to terminate the Participant’s employment at any time, as may be permitted under local law.</w:t>
      </w:r>
    </w:p>
    <w:p>
      <w:pPr>
        <w:spacing w:after="0" w:line="173" w:lineRule="exact"/>
        <w:rPr>
          <w:rFonts w:ascii="Arial" w:cs="Arial" w:eastAsia="Arial" w:hAnsi="Arial"/>
          <w:sz w:val="21"/>
          <w:szCs w:val="21"/>
          <w:color w:val="010000"/>
        </w:rPr>
      </w:pPr>
    </w:p>
    <w:p>
      <w:pPr>
        <w:ind w:left="1740" w:hanging="858"/>
        <w:spacing w:after="0"/>
        <w:tabs>
          <w:tab w:leader="none" w:pos="1740" w:val="left"/>
        </w:tabs>
        <w:numPr>
          <w:ilvl w:val="0"/>
          <w:numId w:val="124"/>
        </w:numPr>
        <w:rPr>
          <w:rFonts w:ascii="Arial" w:cs="Arial" w:eastAsia="Arial" w:hAnsi="Arial"/>
          <w:sz w:val="21"/>
          <w:szCs w:val="21"/>
          <w:color w:val="010000"/>
        </w:rPr>
      </w:pPr>
      <w:r>
        <w:rPr>
          <w:rFonts w:ascii="Arial" w:cs="Arial" w:eastAsia="Arial" w:hAnsi="Arial"/>
          <w:sz w:val="21"/>
          <w:szCs w:val="21"/>
          <w:color w:val="010000"/>
        </w:rPr>
        <w:t>The future value of the underlying Shares is unknown and cannot be predicted with certainty.</w:t>
      </w:r>
    </w:p>
    <w:p>
      <w:pPr>
        <w:spacing w:after="0" w:line="197" w:lineRule="exact"/>
        <w:rPr>
          <w:rFonts w:ascii="Arial" w:cs="Arial" w:eastAsia="Arial" w:hAnsi="Arial"/>
          <w:sz w:val="21"/>
          <w:szCs w:val="21"/>
          <w:color w:val="010000"/>
        </w:rPr>
      </w:pPr>
    </w:p>
    <w:p>
      <w:pPr>
        <w:ind w:left="1700" w:hanging="818"/>
        <w:spacing w:after="0"/>
        <w:tabs>
          <w:tab w:leader="none" w:pos="1700" w:val="left"/>
        </w:tabs>
        <w:numPr>
          <w:ilvl w:val="0"/>
          <w:numId w:val="124"/>
        </w:numPr>
        <w:rPr>
          <w:rFonts w:ascii="Arial" w:cs="Arial" w:eastAsia="Arial" w:hAnsi="Arial"/>
          <w:sz w:val="18"/>
          <w:szCs w:val="18"/>
          <w:color w:val="010000"/>
        </w:rPr>
      </w:pPr>
      <w:r>
        <w:rPr>
          <w:rFonts w:ascii="Arial" w:cs="Arial" w:eastAsia="Arial" w:hAnsi="Arial"/>
          <w:sz w:val="18"/>
          <w:szCs w:val="18"/>
          <w:color w:val="010000"/>
        </w:rPr>
        <w:t>If the RSUs vest and the Participant obtains Shares, the value of those Shares acquired may increase or decrease in</w:t>
      </w:r>
    </w:p>
    <w:p>
      <w:pPr>
        <w:spacing w:after="0" w:line="4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1"/>
          <w:szCs w:val="21"/>
          <w:color w:val="010000"/>
        </w:rPr>
        <w:t>value.</w:t>
      </w:r>
    </w:p>
    <w:p>
      <w:pPr>
        <w:spacing w:after="0" w:line="179" w:lineRule="exact"/>
        <w:rPr>
          <w:rFonts w:ascii="Arial" w:cs="Arial" w:eastAsia="Arial" w:hAnsi="Arial"/>
          <w:sz w:val="18"/>
          <w:szCs w:val="18"/>
          <w:color w:val="010000"/>
        </w:rPr>
      </w:pPr>
    </w:p>
    <w:p>
      <w:pPr>
        <w:jc w:val="both"/>
        <w:ind w:right="40" w:firstLine="882"/>
        <w:spacing w:after="0" w:line="249" w:lineRule="auto"/>
        <w:tabs>
          <w:tab w:leader="none" w:pos="1693" w:val="left"/>
        </w:tabs>
        <w:numPr>
          <w:ilvl w:val="0"/>
          <w:numId w:val="124"/>
        </w:numPr>
        <w:rPr>
          <w:rFonts w:ascii="Arial" w:cs="Arial" w:eastAsia="Arial" w:hAnsi="Arial"/>
          <w:sz w:val="20"/>
          <w:szCs w:val="20"/>
          <w:color w:val="010000"/>
        </w:rPr>
      </w:pPr>
      <w:r>
        <w:rPr>
          <w:rFonts w:ascii="Arial" w:cs="Arial" w:eastAsia="Arial" w:hAnsi="Arial"/>
          <w:sz w:val="20"/>
          <w:szCs w:val="20"/>
          <w:color w:val="010000"/>
        </w:rPr>
        <w:t>In consideration of the grant of the RSUs, no claim or entitlement to compensation or damages shall arise from termination of the RSUs or diminution in value of the RSUs or Shares acquired upon settlement of the RSUs resulting from termination of the Participant’s employment (for any reason whatsoever and whether or not in breach of local labor laws) and the Participant irrevocably releases the Company and the Employer (if different) from any such claim that may arise; if, notwithstanding the foregoing, any such claim is found by a court of competent jurisdiction to have arisen, then, by accepting this Award, the Participant will be deemed irrevocably to have waived the Participant’s entitlement to pursue such claim.</w:t>
      </w:r>
    </w:p>
    <w:p>
      <w:pPr>
        <w:spacing w:after="0" w:line="170" w:lineRule="exact"/>
        <w:rPr>
          <w:rFonts w:ascii="Arial" w:cs="Arial" w:eastAsia="Arial" w:hAnsi="Arial"/>
          <w:sz w:val="20"/>
          <w:szCs w:val="20"/>
          <w:color w:val="010000"/>
        </w:rPr>
      </w:pPr>
    </w:p>
    <w:p>
      <w:pPr>
        <w:jc w:val="both"/>
        <w:ind w:right="40" w:firstLine="882"/>
        <w:spacing w:after="0" w:line="247" w:lineRule="auto"/>
        <w:tabs>
          <w:tab w:leader="none" w:pos="1739" w:val="left"/>
        </w:tabs>
        <w:numPr>
          <w:ilvl w:val="0"/>
          <w:numId w:val="124"/>
        </w:numPr>
        <w:rPr>
          <w:rFonts w:ascii="Arial" w:cs="Arial" w:eastAsia="Arial" w:hAnsi="Arial"/>
          <w:sz w:val="20"/>
          <w:szCs w:val="20"/>
          <w:color w:val="010000"/>
        </w:rPr>
      </w:pPr>
      <w:r>
        <w:rPr>
          <w:rFonts w:ascii="Arial" w:cs="Arial" w:eastAsia="Arial" w:hAnsi="Arial"/>
          <w:sz w:val="20"/>
          <w:szCs w:val="20"/>
          <w:color w:val="010000"/>
        </w:rPr>
        <w:t>In the event of involuntary termination of Participant’s employment (whether or not in breach of local labor laws), Participant’s right to receive the RSUs and vest under the Plan, if any, will terminate effective as of the date that Participant is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Participant’s right to receive Shares pursuant to the RSUs after termination of employment, if any will be measured by the date of termination of Participant’s active employment and will not be extended by a notice period mandated under local law; the Committee shall have the exclusive discretion to determine when the Participant is no longer actively employed for purposes of the award of the RSUs.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3" w:name="page114"/>
    <w:bookmarkEnd w:id="113"/>
    <w:p>
      <w:pPr>
        <w:ind w:right="40" w:firstLine="882"/>
        <w:spacing w:after="0" w:line="253" w:lineRule="auto"/>
        <w:tabs>
          <w:tab w:leader="none" w:pos="1693" w:val="left"/>
        </w:tabs>
        <w:numPr>
          <w:ilvl w:val="0"/>
          <w:numId w:val="125"/>
        </w:numPr>
        <w:rPr>
          <w:rFonts w:ascii="Arial" w:cs="Arial" w:eastAsia="Arial" w:hAnsi="Arial"/>
          <w:sz w:val="21"/>
          <w:szCs w:val="21"/>
          <w:color w:val="010000"/>
        </w:rPr>
      </w:pPr>
      <w:r>
        <w:rPr>
          <w:rFonts w:ascii="Arial" w:cs="Arial" w:eastAsia="Arial" w:hAnsi="Arial"/>
          <w:sz w:val="21"/>
          <w:szCs w:val="21"/>
          <w:color w:val="010000"/>
        </w:rPr>
        <w:t>Except as provided in the Plan, the RSUs and benefits under the Plan, if any, will not automatically transfer to another company in the case of a merger, take-over or transfer of liability</w:t>
      </w:r>
    </w:p>
    <w:p>
      <w:pPr>
        <w:spacing w:after="0" w:line="157" w:lineRule="exact"/>
        <w:rPr>
          <w:sz w:val="20"/>
          <w:szCs w:val="20"/>
          <w:color w:val="auto"/>
        </w:rPr>
      </w:pPr>
    </w:p>
    <w:p>
      <w:pPr>
        <w:jc w:val="both"/>
        <w:ind w:right="40" w:firstLine="882"/>
        <w:spacing w:after="0" w:line="245" w:lineRule="auto"/>
        <w:tabs>
          <w:tab w:leader="none" w:pos="1745" w:val="left"/>
        </w:tabs>
        <w:numPr>
          <w:ilvl w:val="0"/>
          <w:numId w:val="126"/>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Notices.</w:t>
      </w:r>
      <w:r>
        <w:rPr>
          <w:rFonts w:ascii="Arial" w:cs="Arial" w:eastAsia="Arial" w:hAnsi="Arial"/>
          <w:sz w:val="21"/>
          <w:szCs w:val="21"/>
          <w:b w:val="1"/>
          <w:bCs w:val="1"/>
          <w:color w:val="010000"/>
        </w:rPr>
        <w:t xml:space="preserve"> </w:t>
      </w:r>
      <w:r>
        <w:rPr>
          <w:rFonts w:ascii="Arial" w:cs="Arial" w:eastAsia="Arial" w:hAnsi="Arial"/>
          <w:sz w:val="21"/>
          <w:szCs w:val="21"/>
          <w:color w:val="010000"/>
        </w:rPr>
        <w:t>All notices required or permitted under this Award Agreement shall be in writing and shall be delivered</w:t>
      </w:r>
      <w:r>
        <w:rPr>
          <w:rFonts w:ascii="Arial" w:cs="Arial" w:eastAsia="Arial" w:hAnsi="Arial"/>
          <w:sz w:val="21"/>
          <w:szCs w:val="21"/>
          <w:b w:val="1"/>
          <w:bCs w:val="1"/>
          <w:color w:val="010000"/>
        </w:rPr>
        <w:t xml:space="preserve"> </w:t>
      </w:r>
      <w:r>
        <w:rPr>
          <w:rFonts w:ascii="Arial" w:cs="Arial" w:eastAsia="Arial" w:hAnsi="Arial"/>
          <w:sz w:val="21"/>
          <w:szCs w:val="21"/>
          <w:color w:val="010000"/>
        </w:rPr>
        <w:t>personally or by mailing the same by registered or certified mail postage prepaid, to the other party. Notice given by mail as below set out shall be deemed delivered at the time and on the date the same is postmarked.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6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60" w:hanging="878"/>
        <w:spacing w:after="0"/>
        <w:tabs>
          <w:tab w:leader="none" w:pos="1760" w:val="left"/>
        </w:tabs>
        <w:numPr>
          <w:ilvl w:val="0"/>
          <w:numId w:val="12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Tax and Social Insurance Withholding.</w:t>
      </w:r>
    </w:p>
    <w:p>
      <w:pPr>
        <w:spacing w:after="0" w:line="204" w:lineRule="exact"/>
        <w:rPr>
          <w:sz w:val="20"/>
          <w:szCs w:val="20"/>
          <w:color w:val="auto"/>
        </w:rPr>
      </w:pPr>
    </w:p>
    <w:p>
      <w:pPr>
        <w:jc w:val="both"/>
        <w:ind w:right="40" w:firstLine="882"/>
        <w:spacing w:after="0" w:line="247" w:lineRule="auto"/>
        <w:tabs>
          <w:tab w:leader="none" w:pos="1728" w:val="left"/>
        </w:tabs>
        <w:numPr>
          <w:ilvl w:val="0"/>
          <w:numId w:val="128"/>
        </w:numPr>
        <w:rPr>
          <w:rFonts w:ascii="Arial" w:cs="Arial" w:eastAsia="Arial" w:hAnsi="Arial"/>
          <w:sz w:val="20"/>
          <w:szCs w:val="20"/>
          <w:color w:val="010000"/>
        </w:rPr>
      </w:pPr>
      <w:r>
        <w:rPr>
          <w:rFonts w:ascii="Arial" w:cs="Arial" w:eastAsia="Arial" w:hAnsi="Arial"/>
          <w:sz w:val="20"/>
          <w:szCs w:val="20"/>
          <w:color w:val="010000"/>
        </w:rPr>
        <w:t>Regardless of any action the Company or Employer takes with respect to any or all income tax (including foreign, federal, state and local taxes), social insurance, payroll tax, payment on account or other tax-related items related to Participant’s participation in the Plan and legally applicable to him or her (“Tax-Related Items”), Participant acknowledges that the ultimate liability for all Tax-Related Items legally due by Participant is and remains his or her responsibility and may exceed the amount actually withheld by the Company or Employer. Participant further acknowledges that the Company or Employer (i) make no representations or undertakings regarding the treatment of any Tax-Related Items in connection with any aspect of the RSUs, including the grant of the RSUs, the vesting of the RSUs, the conversion of the RSUs into Shares or the receipt of any equivalent cash payment, the subsequent sale of any Shares acquired at vesting, and (ii) do not commit to structure the terms of the grant or any aspect of the RSUs to reduce or eliminate Participant’s liability for the Tax-Related Items.</w:t>
      </w:r>
    </w:p>
    <w:p>
      <w:pPr>
        <w:spacing w:after="0" w:line="169" w:lineRule="exact"/>
        <w:rPr>
          <w:rFonts w:ascii="Arial" w:cs="Arial" w:eastAsia="Arial" w:hAnsi="Arial"/>
          <w:sz w:val="20"/>
          <w:szCs w:val="20"/>
          <w:color w:val="010000"/>
        </w:rPr>
      </w:pPr>
    </w:p>
    <w:p>
      <w:pPr>
        <w:jc w:val="both"/>
        <w:ind w:right="40" w:firstLine="882"/>
        <w:spacing w:after="0" w:line="261" w:lineRule="auto"/>
        <w:tabs>
          <w:tab w:leader="none" w:pos="1739" w:val="left"/>
        </w:tabs>
        <w:numPr>
          <w:ilvl w:val="0"/>
          <w:numId w:val="128"/>
        </w:numPr>
        <w:rPr>
          <w:rFonts w:ascii="Arial" w:cs="Arial" w:eastAsia="Arial" w:hAnsi="Arial"/>
          <w:sz w:val="19"/>
          <w:szCs w:val="19"/>
          <w:color w:val="010000"/>
        </w:rPr>
      </w:pPr>
      <w:r>
        <w:rPr>
          <w:rFonts w:ascii="Arial" w:cs="Arial" w:eastAsia="Arial" w:hAnsi="Arial"/>
          <w:sz w:val="19"/>
          <w:szCs w:val="19"/>
          <w:color w:val="010000"/>
        </w:rPr>
        <w:t>Prior to any relevant taxable or tax withholding event (“Tax Date”), as applicable, Participant will pay or make adequate arrangements satisfactory to the Company to satisfy all Tax-Related Items. In this regard, Participant authorizes the Company, Employer or their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Participant having an aggregate Fair Market Value, determined as of the Tax Date, or withhold an amount of cash from Participant’s wages or other cash compensation which would otherwise be payable to Participant by the Company or from any equivalent cash payment received upon vesting of the RSUs, equal to the amount necessary to satisfy any such obligation, (iii) withhold from proceeds of the sale of Shares acquired upon issuance of the RSUs either through a voluntary sale or through a mandatory sale arranged by the Company (on Participant’s behalf pursuant to this authorization), or (iv) a cash payment to the Company by a broker-dealer acceptable to the Company to whom Participant has submitted an irrevocable notice of sale.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34"/>
        </w:trPr>
        <w:tc>
          <w:tcPr>
            <w:tcW w:w="7020" w:type="dxa"/>
            <w:vAlign w:val="bottom"/>
            <w:tcBorders>
              <w:bottom w:val="single" w:sz="8" w:color="9A9A9A"/>
            </w:tcBorders>
          </w:tcPr>
          <w:p>
            <w:pPr>
              <w:spacing w:after="0"/>
              <w:rPr>
                <w:sz w:val="11"/>
                <w:szCs w:val="11"/>
                <w:color w:val="auto"/>
              </w:rPr>
            </w:pPr>
          </w:p>
        </w:tc>
        <w:tc>
          <w:tcPr>
            <w:tcW w:w="4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4" w:name="page115"/>
    <w:bookmarkEnd w:id="114"/>
    <w:p>
      <w:pPr>
        <w:jc w:val="both"/>
        <w:ind w:right="40" w:firstLine="882"/>
        <w:spacing w:after="0" w:line="247" w:lineRule="auto"/>
        <w:tabs>
          <w:tab w:leader="none" w:pos="1728" w:val="left"/>
        </w:tabs>
        <w:numPr>
          <w:ilvl w:val="0"/>
          <w:numId w:val="129"/>
        </w:numPr>
        <w:rPr>
          <w:rFonts w:ascii="Arial" w:cs="Arial" w:eastAsia="Arial" w:hAnsi="Arial"/>
          <w:sz w:val="20"/>
          <w:szCs w:val="20"/>
          <w:color w:val="010000"/>
        </w:rPr>
      </w:pPr>
      <w:r>
        <w:rPr>
          <w:rFonts w:ascii="Arial" w:cs="Arial" w:eastAsia="Arial" w:hAnsi="Arial"/>
          <w:sz w:val="20"/>
          <w:szCs w:val="20"/>
          <w:color w:val="010000"/>
        </w:rPr>
        <w:t>To avoid negative accounting treatment, the Company may withhold or account for Tax-Related Items by considering applicable minimum statutory withholding rates. If the obligation for Tax-Related Items is satisfied by withholding in Shares, for tax purposes, Participant is deemed to have been issued the full number of Shares due to him or her at vesting, notwithstanding that a number of Shares are held back solely for the purpose of paying the Tax-Related Items due as a result of any aspect of Participant’s participation in the Plan. Finally, Participant shall pay to the Company or the Employer any amount of Tax-Related Items that the Company or the Employer may be required to withhold as a result of Participant’s participation in the Plan that cannot be satisfied by the means previously described. The Company may refuse to issue Shares to the Participant if Participant fails to comply with his or her obligations in connection with the Tax-Related Items as described herein.</w:t>
      </w:r>
    </w:p>
    <w:p>
      <w:pPr>
        <w:spacing w:after="0" w:line="168" w:lineRule="exact"/>
        <w:rPr>
          <w:sz w:val="20"/>
          <w:szCs w:val="20"/>
          <w:color w:val="auto"/>
        </w:rPr>
      </w:pPr>
    </w:p>
    <w:p>
      <w:pPr>
        <w:jc w:val="both"/>
        <w:ind w:right="40" w:firstLine="882"/>
        <w:spacing w:after="0" w:line="277" w:lineRule="auto"/>
        <w:tabs>
          <w:tab w:leader="none" w:pos="1757" w:val="left"/>
        </w:tabs>
        <w:numPr>
          <w:ilvl w:val="0"/>
          <w:numId w:val="13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010000"/>
        </w:rPr>
        <w:t>Repatriation; Compliance with Laws</w:t>
      </w:r>
      <w:r>
        <w:rPr>
          <w:rFonts w:ascii="Arial" w:cs="Arial" w:eastAsia="Arial" w:hAnsi="Arial"/>
          <w:sz w:val="18"/>
          <w:szCs w:val="18"/>
          <w:b w:val="1"/>
          <w:bCs w:val="1"/>
          <w:color w:val="010000"/>
        </w:rPr>
        <w:t xml:space="preserve">. </w:t>
      </w:r>
      <w:r>
        <w:rPr>
          <w:rFonts w:ascii="Arial" w:cs="Arial" w:eastAsia="Arial" w:hAnsi="Arial"/>
          <w:sz w:val="18"/>
          <w:szCs w:val="18"/>
          <w:color w:val="010000"/>
        </w:rPr>
        <w:t>If the Participant is resident or employed outside of the United States, the</w:t>
      </w:r>
      <w:r>
        <w:rPr>
          <w:rFonts w:ascii="Arial" w:cs="Arial" w:eastAsia="Arial" w:hAnsi="Arial"/>
          <w:sz w:val="18"/>
          <w:szCs w:val="18"/>
          <w:b w:val="1"/>
          <w:bCs w:val="1"/>
          <w:color w:val="010000"/>
        </w:rPr>
        <w:t xml:space="preserve"> </w:t>
      </w:r>
      <w:r>
        <w:rPr>
          <w:rFonts w:ascii="Arial" w:cs="Arial" w:eastAsia="Arial" w:hAnsi="Arial"/>
          <w:sz w:val="18"/>
          <w:szCs w:val="18"/>
          <w:color w:val="010000"/>
        </w:rPr>
        <w:t>Participant may be required to repatriate all payments attributable to the Shares and/or cash acquired under the Plan (including, but not limited to, dividends and any proceeds derived from the sale of the Shares acquired pursuant to the RSUs) in accordance with local foreign exchange rules and regulations in the Participant’s country of residence (and country of employment, if different). It is the Participant’s responsibility to comply with all foreign exchange rules and all other local compliance requirements that he or she may be subject to with respect to his or her participation in the Plan. In addition, the Participant is required to take any and all actions, and consent to any and all actions taken by the Company and its Subsidiaries, as may be necessary to allow the Company and its Subsidiaries to comply with local laws, rules and regulations in the Participant’s country of residence (and country of employment, if different). The Participant is also required to take any and all actions as may be necessary to comply with the Participant’s personal legal, and tax obligations under local laws, rules and regulations in the Participant’s country of residence (and country of employment, if different).</w:t>
      </w:r>
    </w:p>
    <w:p>
      <w:pPr>
        <w:spacing w:after="0" w:line="143" w:lineRule="exact"/>
        <w:rPr>
          <w:rFonts w:ascii="Arial" w:cs="Arial" w:eastAsia="Arial" w:hAnsi="Arial"/>
          <w:sz w:val="18"/>
          <w:szCs w:val="18"/>
          <w:b w:val="1"/>
          <w:bCs w:val="1"/>
          <w:color w:val="010000"/>
        </w:rPr>
      </w:pPr>
    </w:p>
    <w:p>
      <w:pPr>
        <w:jc w:val="both"/>
        <w:ind w:right="40" w:firstLine="882"/>
        <w:spacing w:after="0" w:line="236" w:lineRule="auto"/>
        <w:tabs>
          <w:tab w:leader="none" w:pos="1757" w:val="left"/>
        </w:tabs>
        <w:numPr>
          <w:ilvl w:val="0"/>
          <w:numId w:val="13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Securities Matters</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shall not be required to deliver any Shares until the requirements of any federal,</w:t>
      </w:r>
      <w:r>
        <w:rPr>
          <w:rFonts w:ascii="Arial" w:cs="Arial" w:eastAsia="Arial" w:hAnsi="Arial"/>
          <w:sz w:val="21"/>
          <w:szCs w:val="21"/>
          <w:b w:val="1"/>
          <w:bCs w:val="1"/>
          <w:color w:val="010000"/>
        </w:rPr>
        <w:t xml:space="preserve"> </w:t>
      </w:r>
      <w:r>
        <w:rPr>
          <w:rFonts w:ascii="Arial" w:cs="Arial" w:eastAsia="Arial" w:hAnsi="Arial"/>
          <w:sz w:val="21"/>
          <w:szCs w:val="21"/>
          <w:color w:val="010000"/>
        </w:rPr>
        <w:t>state or foreign securities or other laws, rules or regulations (including the rules of any securities exchange) as may be determined by the Company to be applicable are satisfied. If the Participant is resident or employed outside of the United States, neither the grant of the RSUs under the Plan nor the issuance of the underlying Shares upon settlement of the RSUs is intended to be a public offering of securities in the Participant’s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172" w:lineRule="exact"/>
        <w:rPr>
          <w:rFonts w:ascii="Arial" w:cs="Arial" w:eastAsia="Arial" w:hAnsi="Arial"/>
          <w:sz w:val="21"/>
          <w:szCs w:val="21"/>
          <w:b w:val="1"/>
          <w:bCs w:val="1"/>
          <w:color w:val="010000"/>
        </w:rPr>
      </w:pPr>
    </w:p>
    <w:p>
      <w:pPr>
        <w:jc w:val="both"/>
        <w:ind w:right="40" w:firstLine="882"/>
        <w:spacing w:after="0" w:line="269" w:lineRule="auto"/>
        <w:tabs>
          <w:tab w:leader="none" w:pos="1757" w:val="left"/>
        </w:tabs>
        <w:numPr>
          <w:ilvl w:val="0"/>
          <w:numId w:val="1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Legal Requirements and Risks</w:t>
      </w:r>
      <w:r>
        <w:rPr>
          <w:rFonts w:ascii="Arial" w:cs="Arial" w:eastAsia="Arial" w:hAnsi="Arial"/>
          <w:sz w:val="19"/>
          <w:szCs w:val="19"/>
          <w:b w:val="1"/>
          <w:bCs w:val="1"/>
          <w:color w:val="010000"/>
        </w:rPr>
        <w:t xml:space="preserve">. </w:t>
      </w:r>
      <w:r>
        <w:rPr>
          <w:rFonts w:ascii="Arial" w:cs="Arial" w:eastAsia="Arial" w:hAnsi="Arial"/>
          <w:sz w:val="19"/>
          <w:szCs w:val="19"/>
          <w:color w:val="010000"/>
        </w:rPr>
        <w:t>No employee of the Company or a Subsidiary is permitted to advise the</w:t>
      </w:r>
      <w:r>
        <w:rPr>
          <w:rFonts w:ascii="Arial" w:cs="Arial" w:eastAsia="Arial" w:hAnsi="Arial"/>
          <w:sz w:val="19"/>
          <w:szCs w:val="19"/>
          <w:b w:val="1"/>
          <w:bCs w:val="1"/>
          <w:color w:val="010000"/>
        </w:rPr>
        <w:t xml:space="preserve"> </w:t>
      </w:r>
      <w:r>
        <w:rPr>
          <w:rFonts w:ascii="Arial" w:cs="Arial" w:eastAsia="Arial" w:hAnsi="Arial"/>
          <w:sz w:val="19"/>
          <w:szCs w:val="19"/>
          <w:color w:val="010000"/>
        </w:rPr>
        <w:t>Participant on whether the Participant should acquire Shares under the Plan. Acquiring Shares involves a degree of risk. Before deciding to acquire Shares pursuant to the RSUs, the Participant should carefully consider all risk factors relevant to the acquisition of Shares under the Plan and the Participant should carefully review all of the materials related to the RSUs and the Plan. In addition, the Participant should consult with the Participant’s own financial advisor and legal advisor for professional investment advice.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34"/>
        </w:trPr>
        <w:tc>
          <w:tcPr>
            <w:tcW w:w="6980" w:type="dxa"/>
            <w:vAlign w:val="bottom"/>
            <w:tcBorders>
              <w:bottom w:val="single" w:sz="8" w:color="9A9A9A"/>
            </w:tcBorders>
          </w:tcPr>
          <w:p>
            <w:pPr>
              <w:spacing w:after="0"/>
              <w:rPr>
                <w:sz w:val="11"/>
                <w:szCs w:val="11"/>
                <w:color w:val="auto"/>
              </w:rPr>
            </w:pPr>
          </w:p>
        </w:tc>
        <w:tc>
          <w:tcPr>
            <w:tcW w:w="44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5" w:name="page116"/>
    <w:bookmarkEnd w:id="115"/>
    <w:p>
      <w:pPr>
        <w:jc w:val="both"/>
        <w:ind w:right="40" w:firstLine="882"/>
        <w:spacing w:after="0"/>
        <w:tabs>
          <w:tab w:leader="none" w:pos="1757" w:val="left"/>
        </w:tabs>
        <w:numPr>
          <w:ilvl w:val="0"/>
          <w:numId w:val="13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Electronic Delivery/Acceptance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may, in its sole discretion, decide to deliver any documents related</w:t>
      </w:r>
      <w:r>
        <w:rPr>
          <w:rFonts w:ascii="Arial" w:cs="Arial" w:eastAsia="Arial" w:hAnsi="Arial"/>
          <w:sz w:val="21"/>
          <w:szCs w:val="21"/>
          <w:b w:val="1"/>
          <w:bCs w:val="1"/>
          <w:color w:val="010000"/>
        </w:rPr>
        <w:t xml:space="preserve"> </w:t>
      </w:r>
      <w:r>
        <w:rPr>
          <w:rFonts w:ascii="Arial" w:cs="Arial" w:eastAsia="Arial" w:hAnsi="Arial"/>
          <w:sz w:val="21"/>
          <w:szCs w:val="21"/>
          <w:color w:val="010000"/>
        </w:rPr>
        <w:t>to the RSUs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010000"/>
        </w:rPr>
      </w:pPr>
    </w:p>
    <w:p>
      <w:pPr>
        <w:ind w:left="1760" w:hanging="878"/>
        <w:spacing w:after="0"/>
        <w:tabs>
          <w:tab w:leader="none" w:pos="1760" w:val="left"/>
        </w:tabs>
        <w:numPr>
          <w:ilvl w:val="0"/>
          <w:numId w:val="13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Consent to Collection, Processing and Transfer of Personal Data.</w:t>
      </w:r>
    </w:p>
    <w:p>
      <w:pPr>
        <w:spacing w:after="0" w:line="204" w:lineRule="exact"/>
        <w:rPr>
          <w:sz w:val="20"/>
          <w:szCs w:val="20"/>
          <w:color w:val="auto"/>
        </w:rPr>
      </w:pPr>
    </w:p>
    <w:p>
      <w:pPr>
        <w:jc w:val="both"/>
        <w:ind w:right="40" w:firstLine="882"/>
        <w:spacing w:after="0" w:line="248" w:lineRule="auto"/>
        <w:tabs>
          <w:tab w:leader="none" w:pos="1728" w:val="left"/>
        </w:tabs>
        <w:numPr>
          <w:ilvl w:val="0"/>
          <w:numId w:val="132"/>
        </w:numPr>
        <w:rPr>
          <w:rFonts w:ascii="Arial" w:cs="Arial" w:eastAsia="Arial" w:hAnsi="Arial"/>
          <w:sz w:val="20"/>
          <w:szCs w:val="20"/>
          <w:color w:val="010000"/>
        </w:rPr>
      </w:pPr>
      <w:r>
        <w:rPr>
          <w:rFonts w:ascii="Arial" w:cs="Arial" w:eastAsia="Arial" w:hAnsi="Arial"/>
          <w:sz w:val="20"/>
          <w:szCs w:val="20"/>
          <w:color w:val="010000"/>
        </w:rPr>
        <w:t>Pursuant to applicable personal data protection laws, the Company and the Employer (if different) hereby notify the Participant of the following in relation to the Participant’s personal data and the collection, processing and transfer of such data in relation to the Company’s grant of this Award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The Participant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010000"/>
        </w:rPr>
      </w:pPr>
    </w:p>
    <w:p>
      <w:pPr>
        <w:jc w:val="both"/>
        <w:ind w:right="40" w:firstLine="882"/>
        <w:spacing w:after="0" w:line="260" w:lineRule="auto"/>
        <w:tabs>
          <w:tab w:leader="none" w:pos="1739" w:val="left"/>
        </w:tabs>
        <w:numPr>
          <w:ilvl w:val="0"/>
          <w:numId w:val="132"/>
        </w:numPr>
        <w:rPr>
          <w:rFonts w:ascii="Arial" w:cs="Arial" w:eastAsia="Arial" w:hAnsi="Arial"/>
          <w:sz w:val="19"/>
          <w:szCs w:val="19"/>
          <w:color w:val="010000"/>
        </w:rPr>
      </w:pPr>
      <w:r>
        <w:rPr>
          <w:rFonts w:ascii="Arial" w:cs="Arial" w:eastAsia="Arial" w:hAnsi="Arial"/>
          <w:sz w:val="19"/>
          <w:szCs w:val="19"/>
          <w:color w:val="010000"/>
        </w:rPr>
        <w:t>The Company and the Employer (if different)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awards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and Employer (if different)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157" w:lineRule="exact"/>
        <w:rPr>
          <w:rFonts w:ascii="Arial" w:cs="Arial" w:eastAsia="Arial" w:hAnsi="Arial"/>
          <w:sz w:val="19"/>
          <w:szCs w:val="19"/>
          <w:color w:val="010000"/>
        </w:rPr>
      </w:pPr>
    </w:p>
    <w:p>
      <w:pPr>
        <w:jc w:val="both"/>
        <w:ind w:right="40" w:firstLine="882"/>
        <w:spacing w:after="0" w:line="247" w:lineRule="auto"/>
        <w:tabs>
          <w:tab w:leader="none" w:pos="1728" w:val="left"/>
        </w:tabs>
        <w:numPr>
          <w:ilvl w:val="0"/>
          <w:numId w:val="132"/>
        </w:numPr>
        <w:rPr>
          <w:rFonts w:ascii="Arial" w:cs="Arial" w:eastAsia="Arial" w:hAnsi="Arial"/>
          <w:sz w:val="20"/>
          <w:szCs w:val="20"/>
          <w:color w:val="010000"/>
        </w:rPr>
      </w:pPr>
      <w:r>
        <w:rPr>
          <w:rFonts w:ascii="Arial" w:cs="Arial" w:eastAsia="Arial" w:hAnsi="Arial"/>
          <w:sz w:val="20"/>
          <w:szCs w:val="20"/>
          <w:color w:val="010000"/>
        </w:rPr>
        <w:t>The Company and the Employer (if different) will transfer Data amongst themselves as necessary for the purpose of implementation, administration and management of the Participant’s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34"/>
        </w:trPr>
        <w:tc>
          <w:tcPr>
            <w:tcW w:w="7000" w:type="dxa"/>
            <w:vAlign w:val="bottom"/>
            <w:tcBorders>
              <w:bottom w:val="single" w:sz="8" w:color="9A9A9A"/>
            </w:tcBorders>
          </w:tcPr>
          <w:p>
            <w:pPr>
              <w:spacing w:after="0"/>
              <w:rPr>
                <w:sz w:val="11"/>
                <w:szCs w:val="11"/>
                <w:color w:val="auto"/>
              </w:rPr>
            </w:pPr>
          </w:p>
        </w:tc>
        <w:tc>
          <w:tcPr>
            <w:tcW w:w="44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16" w:name="page117"/>
    <w:bookmarkEnd w:id="116"/>
    <w:p>
      <w:pPr>
        <w:jc w:val="both"/>
        <w:ind w:right="40" w:firstLine="882"/>
        <w:spacing w:after="0" w:line="249" w:lineRule="auto"/>
        <w:tabs>
          <w:tab w:leader="none" w:pos="1739" w:val="left"/>
        </w:tabs>
        <w:numPr>
          <w:ilvl w:val="0"/>
          <w:numId w:val="133"/>
        </w:numPr>
        <w:rPr>
          <w:rFonts w:ascii="Arial" w:cs="Arial" w:eastAsia="Arial" w:hAnsi="Arial"/>
          <w:sz w:val="20"/>
          <w:szCs w:val="20"/>
          <w:color w:val="010000"/>
        </w:rPr>
      </w:pPr>
      <w:r>
        <w:rPr>
          <w:rFonts w:ascii="Arial" w:cs="Arial" w:eastAsia="Arial" w:hAnsi="Arial"/>
          <w:sz w:val="20"/>
          <w:szCs w:val="20"/>
          <w:color w:val="010000"/>
        </w:rPr>
        <w:t>The Participant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Company’s Corporate Secretary’s Department.</w:t>
      </w:r>
    </w:p>
    <w:p>
      <w:pPr>
        <w:spacing w:after="0" w:line="164" w:lineRule="exact"/>
        <w:rPr>
          <w:sz w:val="20"/>
          <w:szCs w:val="20"/>
          <w:color w:val="auto"/>
        </w:rPr>
      </w:pPr>
    </w:p>
    <w:p>
      <w:pPr>
        <w:jc w:val="both"/>
        <w:ind w:right="40" w:firstLine="882"/>
        <w:spacing w:after="0" w:line="253" w:lineRule="auto"/>
        <w:tabs>
          <w:tab w:leader="none" w:pos="1757" w:val="left"/>
        </w:tabs>
        <w:numPr>
          <w:ilvl w:val="0"/>
          <w:numId w:val="13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English Language</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Participant acknowledges and agrees that it is the Participant’s express intent that the</w:t>
      </w:r>
      <w:r>
        <w:rPr>
          <w:rFonts w:ascii="Arial" w:cs="Arial" w:eastAsia="Arial" w:hAnsi="Arial"/>
          <w:sz w:val="20"/>
          <w:szCs w:val="20"/>
          <w:b w:val="1"/>
          <w:bCs w:val="1"/>
          <w:color w:val="010000"/>
        </w:rPr>
        <w:t xml:space="preserve"> </w:t>
      </w:r>
      <w:r>
        <w:rPr>
          <w:rFonts w:ascii="Arial" w:cs="Arial" w:eastAsia="Arial" w:hAnsi="Arial"/>
          <w:sz w:val="20"/>
          <w:szCs w:val="20"/>
          <w:color w:val="010000"/>
        </w:rPr>
        <w:t>Notice of Grant of Award, the Award Agreement, the Plan and all other documents, notices and legal proceedings entered into, given or instituted pursuant to the RSUs, be drawn up in English. If the Participant has received the Notice of Grant of Award</w:t>
      </w:r>
      <w:r>
        <w:rPr>
          <w:rFonts w:ascii="Arial" w:cs="Arial" w:eastAsia="Arial" w:hAnsi="Arial"/>
          <w:sz w:val="16"/>
          <w:szCs w:val="16"/>
          <w:color w:val="010000"/>
        </w:rPr>
        <w:t>,</w:t>
      </w:r>
      <w:r>
        <w:rPr>
          <w:rFonts w:ascii="Arial" w:cs="Arial" w:eastAsia="Arial" w:hAnsi="Arial"/>
          <w:sz w:val="20"/>
          <w:szCs w:val="20"/>
          <w:color w:val="010000"/>
        </w:rPr>
        <w:t xml:space="preserve"> Award Agreement, the Plan or any other documents related to the RSUs translated into a language other than English, and if the meaning of the translated version is different than the English version, the English version will control.</w:t>
      </w:r>
    </w:p>
    <w:p>
      <w:pPr>
        <w:spacing w:after="0" w:line="157" w:lineRule="exact"/>
        <w:rPr>
          <w:rFonts w:ascii="Arial" w:cs="Arial" w:eastAsia="Arial" w:hAnsi="Arial"/>
          <w:sz w:val="20"/>
          <w:szCs w:val="20"/>
          <w:b w:val="1"/>
          <w:bCs w:val="1"/>
          <w:color w:val="010000"/>
        </w:rPr>
      </w:pPr>
    </w:p>
    <w:p>
      <w:pPr>
        <w:jc w:val="both"/>
        <w:ind w:right="40" w:firstLine="882"/>
        <w:spacing w:after="0"/>
        <w:tabs>
          <w:tab w:leader="none" w:pos="1757" w:val="left"/>
        </w:tabs>
        <w:numPr>
          <w:ilvl w:val="0"/>
          <w:numId w:val="134"/>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Governing Law; Venue</w:t>
      </w:r>
      <w:r>
        <w:rPr>
          <w:rFonts w:ascii="Arial" w:cs="Arial" w:eastAsia="Arial" w:hAnsi="Arial"/>
          <w:sz w:val="21"/>
          <w:szCs w:val="21"/>
          <w:b w:val="1"/>
          <w:bCs w:val="1"/>
          <w:color w:val="010000"/>
        </w:rPr>
        <w:t xml:space="preserve">. </w:t>
      </w:r>
      <w:r>
        <w:rPr>
          <w:rFonts w:ascii="Arial" w:cs="Arial" w:eastAsia="Arial" w:hAnsi="Arial"/>
          <w:sz w:val="21"/>
          <w:szCs w:val="21"/>
          <w:color w:val="010000"/>
        </w:rPr>
        <w:t>All questions concerning the validity, construction and effect of this Award Agreement</w:t>
      </w:r>
      <w:r>
        <w:rPr>
          <w:rFonts w:ascii="Arial" w:cs="Arial" w:eastAsia="Arial" w:hAnsi="Arial"/>
          <w:sz w:val="21"/>
          <w:szCs w:val="21"/>
          <w:b w:val="1"/>
          <w:bCs w:val="1"/>
          <w:color w:val="010000"/>
        </w:rPr>
        <w:t xml:space="preserve"> </w:t>
      </w:r>
      <w:r>
        <w:rPr>
          <w:rFonts w:ascii="Arial" w:cs="Arial" w:eastAsia="Arial" w:hAnsi="Arial"/>
          <w:sz w:val="21"/>
          <w:szCs w:val="21"/>
          <w:color w:val="010000"/>
        </w:rPr>
        <w:t>shall be governed by the laws of the State of Delaware, without reference to principles of conflict of laws. Any dispute concerning this Agreement will be resolved exclusively in the state or federal courts in Harris County, Texas, and the Participant agrees to exclusive venue and jurisdiction in such courts as a condition of receiving this Award.</w:t>
      </w:r>
    </w:p>
    <w:p>
      <w:pPr>
        <w:spacing w:after="0" w:line="171" w:lineRule="exact"/>
        <w:rPr>
          <w:rFonts w:ascii="Arial" w:cs="Arial" w:eastAsia="Arial" w:hAnsi="Arial"/>
          <w:sz w:val="21"/>
          <w:szCs w:val="21"/>
          <w:b w:val="1"/>
          <w:bCs w:val="1"/>
          <w:color w:val="010000"/>
        </w:rPr>
      </w:pPr>
    </w:p>
    <w:p>
      <w:pPr>
        <w:jc w:val="both"/>
        <w:ind w:right="40" w:firstLine="882"/>
        <w:spacing w:after="0" w:line="264" w:lineRule="auto"/>
        <w:tabs>
          <w:tab w:leader="none" w:pos="1757" w:val="left"/>
        </w:tabs>
        <w:numPr>
          <w:ilvl w:val="0"/>
          <w:numId w:val="134"/>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Appendix</w:t>
      </w:r>
      <w:r>
        <w:rPr>
          <w:rFonts w:ascii="Arial" w:cs="Arial" w:eastAsia="Arial" w:hAnsi="Arial"/>
          <w:sz w:val="19"/>
          <w:szCs w:val="19"/>
          <w:b w:val="1"/>
          <w:bCs w:val="1"/>
          <w:color w:val="010000"/>
        </w:rPr>
        <w:t xml:space="preserve">. </w:t>
      </w:r>
      <w:r>
        <w:rPr>
          <w:rFonts w:ascii="Arial" w:cs="Arial" w:eastAsia="Arial" w:hAnsi="Arial"/>
          <w:sz w:val="19"/>
          <w:szCs w:val="19"/>
          <w:color w:val="010000"/>
        </w:rPr>
        <w:t>Notwithstanding any provisions of this Award Agreement to the contrary, the RSUs shall be subject to</w:t>
      </w:r>
      <w:r>
        <w:rPr>
          <w:rFonts w:ascii="Arial" w:cs="Arial" w:eastAsia="Arial" w:hAnsi="Arial"/>
          <w:sz w:val="19"/>
          <w:szCs w:val="19"/>
          <w:b w:val="1"/>
          <w:bCs w:val="1"/>
          <w:color w:val="010000"/>
        </w:rPr>
        <w:t xml:space="preserve"> </w:t>
      </w:r>
      <w:r>
        <w:rPr>
          <w:rFonts w:ascii="Arial" w:cs="Arial" w:eastAsia="Arial" w:hAnsi="Arial"/>
          <w:sz w:val="19"/>
          <w:szCs w:val="19"/>
          <w:color w:val="010000"/>
        </w:rPr>
        <w:t>such special terms and conditions for the Participant’s country of residence (and country of employment, if different), as are set forth in the appendix to this Agreement (the “Appendix”). Further, if the Participant transfers residency and/or employment to another country, any special terms and conditions for such country will apply to the RSUs to the extent the Company determines, in its sole discretion, that the application of such terms and conditions is necessary or advisable in order to comply with local law or to facilitate the operation and administration of the RSUs and the Plan (or the Company may establish alternative terms and conditions as may be necessary or advisable to accommodate the Participant’s transfer). In all circumstances, the Appendix shall constitute part of this Award Agreement.</w:t>
      </w:r>
    </w:p>
    <w:p>
      <w:pPr>
        <w:spacing w:after="0" w:line="152" w:lineRule="exact"/>
        <w:rPr>
          <w:rFonts w:ascii="Arial" w:cs="Arial" w:eastAsia="Arial" w:hAnsi="Arial"/>
          <w:sz w:val="19"/>
          <w:szCs w:val="19"/>
          <w:b w:val="1"/>
          <w:bCs w:val="1"/>
          <w:color w:val="010000"/>
        </w:rPr>
      </w:pPr>
    </w:p>
    <w:p>
      <w:pPr>
        <w:jc w:val="both"/>
        <w:ind w:right="40" w:firstLine="882"/>
        <w:spacing w:after="0" w:line="253" w:lineRule="auto"/>
        <w:tabs>
          <w:tab w:leader="none" w:pos="1757" w:val="left"/>
        </w:tabs>
        <w:numPr>
          <w:ilvl w:val="0"/>
          <w:numId w:val="13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Additional Requirements</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Company reserves the right to impose other requirements on the RSUs, any Shares</w:t>
      </w:r>
      <w:r>
        <w:rPr>
          <w:rFonts w:ascii="Arial" w:cs="Arial" w:eastAsia="Arial" w:hAnsi="Arial"/>
          <w:sz w:val="20"/>
          <w:szCs w:val="20"/>
          <w:b w:val="1"/>
          <w:bCs w:val="1"/>
          <w:color w:val="010000"/>
        </w:rPr>
        <w:t xml:space="preserve"> </w:t>
      </w:r>
      <w:r>
        <w:rPr>
          <w:rFonts w:ascii="Arial" w:cs="Arial" w:eastAsia="Arial" w:hAnsi="Arial"/>
          <w:sz w:val="20"/>
          <w:szCs w:val="20"/>
          <w:color w:val="010000"/>
        </w:rPr>
        <w:t>acquired pursuant to the RSUs, and the Participant’s participation in the Plan, to the extent the Company determines, in its sole discretion, that such other requirements are necessary or advisable in order to comply with local law or to facilitate the operation and administration of the RSUs and the Plan. Such requirements may include (but are not limited to) requiring the Participant to sign any agreements or undertakings that may be necessary to accomplish the foregoing.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20"/>
                <w:szCs w:val="20"/>
                <w:color w:val="auto"/>
              </w:rPr>
            </w:pPr>
            <w:r>
              <w:rPr>
                <w:rFonts w:ascii="Arial" w:cs="Arial" w:eastAsia="Arial" w:hAnsi="Arial"/>
                <w:sz w:val="14"/>
                <w:szCs w:val="14"/>
                <w:color w:val="auto"/>
              </w:rPr>
              <w:t>RSU Award Agreement with Net Income Hurdle</w:t>
            </w:r>
          </w:p>
        </w:tc>
        <w:tc>
          <w:tcPr>
            <w:tcW w:w="44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34"/>
        </w:trPr>
        <w:tc>
          <w:tcPr>
            <w:tcW w:w="6980" w:type="dxa"/>
            <w:vAlign w:val="bottom"/>
            <w:tcBorders>
              <w:bottom w:val="single" w:sz="8" w:color="9A9A9A"/>
            </w:tcBorders>
          </w:tcPr>
          <w:p>
            <w:pPr>
              <w:spacing w:after="0"/>
              <w:rPr>
                <w:sz w:val="11"/>
                <w:szCs w:val="11"/>
                <w:color w:val="auto"/>
              </w:rPr>
            </w:pPr>
          </w:p>
        </w:tc>
        <w:tc>
          <w:tcPr>
            <w:tcW w:w="44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7" w:name="page118"/>
    <w:bookmarkEnd w:id="117"/>
    <w:p>
      <w:pPr>
        <w:ind w:left="1760" w:hanging="878"/>
        <w:spacing w:after="0"/>
        <w:tabs>
          <w:tab w:leader="none" w:pos="1760" w:val="left"/>
        </w:tabs>
        <w:numPr>
          <w:ilvl w:val="0"/>
          <w:numId w:val="13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Section 409A.</w:t>
      </w:r>
    </w:p>
    <w:p>
      <w:pPr>
        <w:spacing w:after="0" w:line="204" w:lineRule="exact"/>
        <w:rPr>
          <w:sz w:val="20"/>
          <w:szCs w:val="20"/>
          <w:color w:val="auto"/>
        </w:rPr>
      </w:pPr>
    </w:p>
    <w:p>
      <w:pPr>
        <w:jc w:val="both"/>
        <w:ind w:firstLine="882"/>
        <w:spacing w:after="0" w:line="262" w:lineRule="auto"/>
        <w:tabs>
          <w:tab w:leader="none" w:pos="1728" w:val="left"/>
        </w:tabs>
        <w:numPr>
          <w:ilvl w:val="0"/>
          <w:numId w:val="136"/>
        </w:numPr>
        <w:rPr>
          <w:rFonts w:ascii="Arial" w:cs="Arial" w:eastAsia="Arial" w:hAnsi="Arial"/>
          <w:sz w:val="19"/>
          <w:szCs w:val="19"/>
          <w:color w:val="010000"/>
        </w:rPr>
      </w:pPr>
      <w:r>
        <w:rPr>
          <w:rFonts w:ascii="Arial" w:cs="Arial" w:eastAsia="Arial" w:hAnsi="Arial"/>
          <w:sz w:val="19"/>
          <w:szCs w:val="19"/>
          <w:color w:val="010000"/>
        </w:rPr>
        <w:t>This Award is intended to comply with Section 409A of the Code and ambiguous provisions, if any, shall be construed in a manner that is compliant with or exempt from the application of Section 409A, as appropriate. This Award shall not be amended or terminated in a manner that would cause the Award or any amounts payable under the Award to fail to comply with the requirements of Section 409A, to the extent applicable, and, further, the provisions of any purported amendment that may reasonably be expected to result in such non-compliance shall be of no force or effect with respect to the Award. The Company shall neither cause nor permit any payment, benefit or consideration to be substituted for a benefit that is payable under this Award if such action would result in the failure of any amount that is subject to Section 409A to comply with the applicable requirements of Section 409A. For purposes of Section 409A, each payment under this Award shall be deemed to be a separate payment.</w:t>
      </w:r>
    </w:p>
    <w:p>
      <w:pPr>
        <w:spacing w:after="0" w:line="159" w:lineRule="exact"/>
        <w:rPr>
          <w:rFonts w:ascii="Arial" w:cs="Arial" w:eastAsia="Arial" w:hAnsi="Arial"/>
          <w:sz w:val="19"/>
          <w:szCs w:val="19"/>
          <w:color w:val="010000"/>
        </w:rPr>
      </w:pPr>
    </w:p>
    <w:p>
      <w:pPr>
        <w:jc w:val="both"/>
        <w:ind w:firstLine="882"/>
        <w:spacing w:after="0" w:line="263" w:lineRule="auto"/>
        <w:tabs>
          <w:tab w:leader="none" w:pos="1739" w:val="left"/>
        </w:tabs>
        <w:numPr>
          <w:ilvl w:val="0"/>
          <w:numId w:val="136"/>
        </w:numPr>
        <w:rPr>
          <w:rFonts w:ascii="Arial" w:cs="Arial" w:eastAsia="Arial" w:hAnsi="Arial"/>
          <w:sz w:val="19"/>
          <w:szCs w:val="19"/>
          <w:color w:val="010000"/>
        </w:rPr>
      </w:pPr>
      <w:r>
        <w:rPr>
          <w:rFonts w:ascii="Arial" w:cs="Arial" w:eastAsia="Arial" w:hAnsi="Arial"/>
          <w:sz w:val="19"/>
          <w:szCs w:val="19"/>
          <w:color w:val="010000"/>
        </w:rPr>
        <w:t>Notwithstanding any provision of the Award to the contrary, if the Participant is a “specified employee” within the meaning of Section 409A as of the date of the Participant’s termination of employment and the Company determines, in good faith, that immediate payments of any amounts or benefits would cause a violation of Section 409A, then any amounts or benefits which are payable under this Award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53" w:lineRule="exact"/>
        <w:rPr>
          <w:sz w:val="20"/>
          <w:szCs w:val="20"/>
          <w:color w:val="auto"/>
        </w:rPr>
      </w:pPr>
    </w:p>
    <w:p>
      <w:pPr>
        <w:jc w:val="both"/>
        <w:ind w:firstLine="882"/>
        <w:spacing w:after="0"/>
        <w:tabs>
          <w:tab w:leader="none" w:pos="1757" w:val="left"/>
        </w:tabs>
        <w:numPr>
          <w:ilvl w:val="0"/>
          <w:numId w:val="13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Not Providing Advice.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is not providing any tax, legal or financial advice, nor is the Company</w:t>
      </w:r>
      <w:r>
        <w:rPr>
          <w:rFonts w:ascii="Arial" w:cs="Arial" w:eastAsia="Arial" w:hAnsi="Arial"/>
          <w:sz w:val="21"/>
          <w:szCs w:val="21"/>
          <w:b w:val="1"/>
          <w:bCs w:val="1"/>
          <w:color w:val="010000"/>
        </w:rPr>
        <w:t xml:space="preserve"> </w:t>
      </w:r>
      <w:r>
        <w:rPr>
          <w:rFonts w:ascii="Arial" w:cs="Arial" w:eastAsia="Arial" w:hAnsi="Arial"/>
          <w:sz w:val="21"/>
          <w:szCs w:val="21"/>
          <w:color w:val="010000"/>
        </w:rPr>
        <w:t>making any recommendations regarding Participant’s participation in the Plan, or Participant’s acquisition or sale of the Shares underlying the RSUs. Participant is hereby advised to consult with his or her own personal tax, legal and financial advisors regarding his or her participation in the Plan before taking any action related to the Plan.</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______________________________________</w:t>
      </w:r>
    </w:p>
    <w:p>
      <w:pPr>
        <w:sectPr>
          <w:pgSz w:w="11900" w:h="16838" w:orient="portrait"/>
          <w:cols w:equalWidth="0" w:num="1">
            <w:col w:w="11420"/>
          </w:cols>
          <w:pgMar w:left="240" w:top="319"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RSU Award Agreement with Net Income Hurdle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1"/>
          <w:szCs w:val="11"/>
          <w:color w:val="auto"/>
        </w:rPr>
        <w:t>13</w:t>
      </w:r>
    </w:p>
    <w:p>
      <w:pPr>
        <w:sectPr>
          <w:pgSz w:w="11900" w:h="16838" w:orient="portrait"/>
          <w:cols w:equalWidth="0" w:num="2">
            <w:col w:w="10560" w:space="720"/>
            <w:col w:w="140"/>
          </w:cols>
          <w:pgMar w:left="240" w:top="319" w:right="239" w:bottom="1440" w:gutter="0" w:footer="0" w:header="0"/>
          <w:type w:val="continuous"/>
        </w:sectPr>
      </w:pPr>
    </w:p>
    <w:bookmarkStart w:id="118" w:name="page119"/>
    <w:bookmarkEnd w:id="118"/>
    <w:p>
      <w:pPr>
        <w:jc w:val="right"/>
        <w:ind w:right="40"/>
        <w:spacing w:after="0"/>
        <w:rPr>
          <w:sz w:val="20"/>
          <w:szCs w:val="20"/>
          <w:color w:val="auto"/>
        </w:rPr>
      </w:pPr>
      <w:r>
        <w:rPr>
          <w:rFonts w:ascii="Arial" w:cs="Arial" w:eastAsia="Arial" w:hAnsi="Arial"/>
          <w:sz w:val="21"/>
          <w:szCs w:val="21"/>
          <w:color w:val="auto"/>
        </w:rPr>
        <w:t>Exhibit 10.37</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i w:val="1"/>
          <w:iCs w:val="1"/>
          <w:color w:val="auto"/>
        </w:rPr>
        <w:t>RESTRICTED STOCK UNIT AWARD AGREEMENT</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(October 14, 2015)</w:t>
      </w:r>
    </w:p>
    <w:p>
      <w:pPr>
        <w:spacing w:after="0" w:line="204" w:lineRule="exact"/>
        <w:rPr>
          <w:sz w:val="20"/>
          <w:szCs w:val="20"/>
          <w:color w:val="auto"/>
        </w:rPr>
      </w:pPr>
    </w:p>
    <w:p>
      <w:pPr>
        <w:jc w:val="both"/>
        <w:ind w:right="40"/>
        <w:spacing w:after="0" w:line="268" w:lineRule="auto"/>
        <w:rPr>
          <w:sz w:val="20"/>
          <w:szCs w:val="20"/>
          <w:color w:val="auto"/>
        </w:rPr>
      </w:pPr>
      <w:r>
        <w:rPr>
          <w:rFonts w:ascii="Arial" w:cs="Arial" w:eastAsia="Arial" w:hAnsi="Arial"/>
          <w:sz w:val="19"/>
          <w:szCs w:val="19"/>
          <w:color w:val="auto"/>
        </w:rPr>
        <w:t xml:space="preserve">This RESTRICTED STOCK UNIT AWARD AGREEMENT (the “Award Agreement”) is between the employee named in the Notice of Grant of Award (“Participant”) and Cameron International Corporation (the “Company”), in connection with the Restricted Stock Units (“RSU”) granted to Participant by the Company under the Company’s </w:t>
      </w:r>
      <w:r>
        <w:rPr>
          <w:rFonts w:ascii="Arial" w:cs="Arial" w:eastAsia="Arial" w:hAnsi="Arial"/>
          <w:sz w:val="19"/>
          <w:szCs w:val="19"/>
          <w:b w:val="1"/>
          <w:bCs w:val="1"/>
          <w:color w:val="auto"/>
        </w:rPr>
        <w:t>Equity Incentive Plan</w:t>
      </w:r>
      <w:r>
        <w:rPr>
          <w:rFonts w:ascii="Arial" w:cs="Arial" w:eastAsia="Arial" w:hAnsi="Arial"/>
          <w:sz w:val="19"/>
          <w:szCs w:val="19"/>
          <w:color w:val="auto"/>
        </w:rPr>
        <w:t xml:space="preserve"> (the “Plan”). For purposes of this Award Agreement, “Employer” means the Company or any successor of the Company or any affiliate of either that employs the Participant on the applicable date. All capitalized terms not defined in this Award Agreement shall have the same meaning as set forth in the Plan.</w:t>
      </w:r>
    </w:p>
    <w:p>
      <w:pPr>
        <w:spacing w:after="0" w:line="144" w:lineRule="exact"/>
        <w:rPr>
          <w:sz w:val="20"/>
          <w:szCs w:val="20"/>
          <w:color w:val="auto"/>
        </w:rPr>
      </w:pPr>
    </w:p>
    <w:p>
      <w:pPr>
        <w:ind w:left="1660" w:hanging="778"/>
        <w:spacing w:after="0"/>
        <w:tabs>
          <w:tab w:leader="none" w:pos="1660" w:val="left"/>
        </w:tabs>
        <w:numPr>
          <w:ilvl w:val="0"/>
          <w:numId w:val="13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Effective Date of RSUs.</w:t>
      </w:r>
    </w:p>
    <w:p>
      <w:pPr>
        <w:spacing w:after="0" w:line="204" w:lineRule="exact"/>
        <w:rPr>
          <w:sz w:val="20"/>
          <w:szCs w:val="20"/>
          <w:color w:val="auto"/>
        </w:rPr>
      </w:pPr>
    </w:p>
    <w:p>
      <w:pPr>
        <w:ind w:right="40" w:firstLine="882"/>
        <w:spacing w:after="0" w:line="253" w:lineRule="auto"/>
        <w:tabs>
          <w:tab w:leader="none" w:pos="1728" w:val="left"/>
        </w:tabs>
        <w:numPr>
          <w:ilvl w:val="0"/>
          <w:numId w:val="139"/>
        </w:numPr>
        <w:rPr>
          <w:rFonts w:ascii="Arial" w:cs="Arial" w:eastAsia="Arial" w:hAnsi="Arial"/>
          <w:sz w:val="21"/>
          <w:szCs w:val="21"/>
          <w:color w:val="010000"/>
        </w:rPr>
      </w:pPr>
      <w:r>
        <w:rPr>
          <w:rFonts w:ascii="Arial" w:cs="Arial" w:eastAsia="Arial" w:hAnsi="Arial"/>
          <w:sz w:val="21"/>
          <w:szCs w:val="21"/>
          <w:color w:val="010000"/>
        </w:rPr>
        <w:t xml:space="preserve">The Company hereby grants to the Participant, on the terms and conditions set forth herein, an award of RSUs (the “Award”), effective </w:t>
      </w:r>
      <w:r>
        <w:rPr>
          <w:rFonts w:ascii="Arial" w:cs="Arial" w:eastAsia="Arial" w:hAnsi="Arial"/>
          <w:sz w:val="21"/>
          <w:szCs w:val="21"/>
          <w:b w:val="1"/>
          <w:bCs w:val="1"/>
          <w:color w:val="010000"/>
        </w:rPr>
        <w:t>October 14, 2015</w:t>
      </w:r>
      <w:r>
        <w:rPr>
          <w:rFonts w:ascii="Arial" w:cs="Arial" w:eastAsia="Arial" w:hAnsi="Arial"/>
          <w:sz w:val="21"/>
          <w:szCs w:val="21"/>
          <w:color w:val="010000"/>
        </w:rPr>
        <w:t xml:space="preserve"> (“Effective Date”).</w:t>
      </w:r>
    </w:p>
    <w:p>
      <w:pPr>
        <w:spacing w:after="0" w:line="162" w:lineRule="exact"/>
        <w:rPr>
          <w:rFonts w:ascii="Arial" w:cs="Arial" w:eastAsia="Arial" w:hAnsi="Arial"/>
          <w:sz w:val="21"/>
          <w:szCs w:val="21"/>
          <w:color w:val="010000"/>
        </w:rPr>
      </w:pPr>
    </w:p>
    <w:p>
      <w:pPr>
        <w:jc w:val="both"/>
        <w:ind w:right="40" w:firstLine="882"/>
        <w:spacing w:after="0" w:line="260" w:lineRule="auto"/>
        <w:tabs>
          <w:tab w:leader="none" w:pos="1739" w:val="left"/>
        </w:tabs>
        <w:numPr>
          <w:ilvl w:val="0"/>
          <w:numId w:val="139"/>
        </w:numPr>
        <w:rPr>
          <w:rFonts w:ascii="Arial" w:cs="Arial" w:eastAsia="Arial" w:hAnsi="Arial"/>
          <w:sz w:val="20"/>
          <w:szCs w:val="20"/>
          <w:color w:val="010000"/>
        </w:rPr>
      </w:pPr>
      <w:r>
        <w:rPr>
          <w:rFonts w:ascii="Arial" w:cs="Arial" w:eastAsia="Arial" w:hAnsi="Arial"/>
          <w:sz w:val="20"/>
          <w:szCs w:val="20"/>
          <w:color w:val="010000"/>
        </w:rPr>
        <w:t>This Award is a commitment to issue one share of Cameron common stock (“Shares”) for each RSU specified on the Notice of Grant of Award pursuant to the terms of the Award Agreement, subject to the Participant’s acceptance of this Award Agreement in writing or electronically in the manner prescribed by the Company or its third party administrator.</w:t>
      </w:r>
    </w:p>
    <w:p>
      <w:pPr>
        <w:spacing w:after="0" w:line="156" w:lineRule="exact"/>
        <w:rPr>
          <w:rFonts w:ascii="Arial" w:cs="Arial" w:eastAsia="Arial" w:hAnsi="Arial"/>
          <w:sz w:val="20"/>
          <w:szCs w:val="20"/>
          <w:color w:val="010000"/>
        </w:rPr>
      </w:pPr>
    </w:p>
    <w:p>
      <w:pPr>
        <w:jc w:val="both"/>
        <w:ind w:right="40" w:firstLine="882"/>
        <w:spacing w:after="0" w:line="268" w:lineRule="auto"/>
        <w:tabs>
          <w:tab w:leader="none" w:pos="1728" w:val="left"/>
        </w:tabs>
        <w:numPr>
          <w:ilvl w:val="0"/>
          <w:numId w:val="139"/>
        </w:numPr>
        <w:rPr>
          <w:rFonts w:ascii="Arial" w:cs="Arial" w:eastAsia="Arial" w:hAnsi="Arial"/>
          <w:sz w:val="19"/>
          <w:szCs w:val="19"/>
          <w:color w:val="010000"/>
        </w:rPr>
      </w:pPr>
      <w:r>
        <w:rPr>
          <w:rFonts w:ascii="Arial" w:cs="Arial" w:eastAsia="Arial" w:hAnsi="Arial"/>
          <w:sz w:val="19"/>
          <w:szCs w:val="19"/>
          <w:color w:val="010000"/>
        </w:rPr>
        <w:t>Notwithstanding the foregoing, the Company may, in its sole discretion, settle the RSUs in the form of (i) a cash payment to the extent settlement in Shares (1) is prohibited under local law, (2) would require the Participant or the Company to obtain the approval of any governmental and/or regulatory body in the Participant’s country of residence (and country of employment, if different), or (3) is administratively burdensome; or (ii) Shares, but require the Participant to immediately sell such Shares (in which case, this Award Agreement shall give the Company the authority to issue sales instructions on the Participant’s behalf).</w:t>
      </w:r>
    </w:p>
    <w:p>
      <w:pPr>
        <w:spacing w:after="0" w:line="144" w:lineRule="exact"/>
        <w:rPr>
          <w:sz w:val="20"/>
          <w:szCs w:val="20"/>
          <w:color w:val="auto"/>
        </w:rPr>
      </w:pPr>
    </w:p>
    <w:p>
      <w:pPr>
        <w:jc w:val="both"/>
        <w:ind w:right="40" w:firstLine="882"/>
        <w:spacing w:after="0" w:line="283" w:lineRule="auto"/>
        <w:tabs>
          <w:tab w:leader="none" w:pos="1653" w:val="left"/>
        </w:tabs>
        <w:numPr>
          <w:ilvl w:val="0"/>
          <w:numId w:val="1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Terms Subject to the Plan.</w:t>
      </w:r>
      <w:r>
        <w:rPr>
          <w:rFonts w:ascii="Arial" w:cs="Arial" w:eastAsia="Arial" w:hAnsi="Arial"/>
          <w:sz w:val="19"/>
          <w:szCs w:val="19"/>
          <w:b w:val="1"/>
          <w:bCs w:val="1"/>
          <w:color w:val="010000"/>
        </w:rPr>
        <w:t xml:space="preserve"> </w:t>
      </w:r>
      <w:r>
        <w:rPr>
          <w:rFonts w:ascii="Arial" w:cs="Arial" w:eastAsia="Arial" w:hAnsi="Arial"/>
          <w:sz w:val="19"/>
          <w:szCs w:val="19"/>
          <w:color w:val="010000"/>
        </w:rPr>
        <w:t>This Award Agreement is expressly subject to the terms and provisions of the Plan, as</w:t>
      </w:r>
      <w:r>
        <w:rPr>
          <w:rFonts w:ascii="Arial" w:cs="Arial" w:eastAsia="Arial" w:hAnsi="Arial"/>
          <w:sz w:val="19"/>
          <w:szCs w:val="19"/>
          <w:b w:val="1"/>
          <w:bCs w:val="1"/>
          <w:color w:val="010000"/>
        </w:rPr>
        <w:t xml:space="preserve"> </w:t>
      </w:r>
      <w:r>
        <w:rPr>
          <w:rFonts w:ascii="Arial" w:cs="Arial" w:eastAsia="Arial" w:hAnsi="Arial"/>
          <w:sz w:val="19"/>
          <w:szCs w:val="19"/>
          <w:color w:val="010000"/>
        </w:rPr>
        <w:t>indicated in the Participant’s Notice of Grant of Award. A copy of the Plan is available from the Corporate Secretary upon request. In the event there is a conflict between the terms of the Plan and this Award Agreement, the terms of the Plan shall control.</w:t>
      </w:r>
    </w:p>
    <w:p>
      <w:pPr>
        <w:spacing w:after="0" w:line="131" w:lineRule="exact"/>
        <w:rPr>
          <w:rFonts w:ascii="Arial" w:cs="Arial" w:eastAsia="Arial" w:hAnsi="Arial"/>
          <w:sz w:val="19"/>
          <w:szCs w:val="19"/>
          <w:b w:val="1"/>
          <w:bCs w:val="1"/>
          <w:color w:val="010000"/>
        </w:rPr>
      </w:pPr>
    </w:p>
    <w:p>
      <w:pPr>
        <w:ind w:left="1660" w:hanging="778"/>
        <w:spacing w:after="0"/>
        <w:tabs>
          <w:tab w:leader="none" w:pos="1660" w:val="left"/>
        </w:tabs>
        <w:numPr>
          <w:ilvl w:val="0"/>
          <w:numId w:val="14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Vesting Schedule.</w:t>
      </w:r>
    </w:p>
    <w:p>
      <w:pPr>
        <w:spacing w:after="0" w:line="204" w:lineRule="exact"/>
        <w:rPr>
          <w:sz w:val="20"/>
          <w:szCs w:val="20"/>
          <w:color w:val="auto"/>
        </w:rPr>
      </w:pPr>
    </w:p>
    <w:p>
      <w:pPr>
        <w:jc w:val="both"/>
        <w:ind w:right="40" w:firstLine="882"/>
        <w:spacing w:after="0" w:line="237" w:lineRule="auto"/>
        <w:tabs>
          <w:tab w:leader="none" w:pos="172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Award shall vest on the earliest of (i) the “normal vesting schedule”, (ii) the date following the closing of the proposed Cameron/Schlumberger merger pursuant to the Merger Agreement between Cameron and Schlumberger Holdings Corporation, et.al. dated as of August 25, 2015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on which the Participant is no longer employed by the Company or Employer for any reason, or (iii) the Participant’s death or termination due to “Long-Term Disability </w:t>
      </w:r>
      <w:r>
        <w:rPr>
          <w:rFonts w:ascii="Arial" w:cs="Arial" w:eastAsia="Arial" w:hAnsi="Arial"/>
          <w:sz w:val="21"/>
          <w:szCs w:val="21"/>
          <w:i w:val="1"/>
          <w:iCs w:val="1"/>
          <w:color w:val="auto"/>
        </w:rPr>
        <w:t>(as defined below)</w:t>
      </w:r>
      <w:r>
        <w:rPr>
          <w:rFonts w:ascii="Arial" w:cs="Arial" w:eastAsia="Arial" w:hAnsi="Arial"/>
          <w:sz w:val="21"/>
          <w:szCs w:val="21"/>
          <w:color w:val="auto"/>
        </w:rPr>
        <w:t>. The “normal vesting schedule” is three installments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20"/>
                <w:szCs w:val="20"/>
                <w:color w:val="auto"/>
              </w:rPr>
            </w:pPr>
            <w:r>
              <w:rPr>
                <w:rFonts w:ascii="Arial" w:cs="Arial" w:eastAsia="Arial" w:hAnsi="Arial"/>
                <w:sz w:val="14"/>
                <w:szCs w:val="14"/>
                <w:color w:val="auto"/>
              </w:rPr>
              <w:t>Chief Executive Officer RSU Award Agreement October 14, 2015</w:t>
            </w:r>
          </w:p>
        </w:tc>
        <w:tc>
          <w:tcPr>
            <w:tcW w:w="3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34"/>
        </w:trPr>
        <w:tc>
          <w:tcPr>
            <w:tcW w:w="7500" w:type="dxa"/>
            <w:vAlign w:val="bottom"/>
            <w:tcBorders>
              <w:bottom w:val="single" w:sz="8" w:color="9A9A9A"/>
            </w:tcBorders>
          </w:tcPr>
          <w:p>
            <w:pPr>
              <w:spacing w:after="0"/>
              <w:rPr>
                <w:sz w:val="11"/>
                <w:szCs w:val="11"/>
                <w:color w:val="auto"/>
              </w:rPr>
            </w:pPr>
          </w:p>
        </w:tc>
        <w:tc>
          <w:tcPr>
            <w:tcW w:w="39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19" w:name="page120"/>
    <w:bookmarkEnd w:id="119"/>
    <w:p>
      <w:pPr>
        <w:jc w:val="both"/>
        <w:ind w:right="40"/>
        <w:spacing w:after="0" w:line="245" w:lineRule="auto"/>
        <w:rPr>
          <w:sz w:val="20"/>
          <w:szCs w:val="20"/>
          <w:color w:val="auto"/>
        </w:rPr>
      </w:pPr>
      <w:r>
        <w:rPr>
          <w:rFonts w:ascii="Arial" w:cs="Arial" w:eastAsia="Arial" w:hAnsi="Arial"/>
          <w:sz w:val="21"/>
          <w:szCs w:val="21"/>
          <w:color w:val="auto"/>
        </w:rPr>
        <w:t xml:space="preserve">as follows: one-third on </w:t>
      </w:r>
      <w:r>
        <w:rPr>
          <w:rFonts w:ascii="Arial" w:cs="Arial" w:eastAsia="Arial" w:hAnsi="Arial"/>
          <w:sz w:val="21"/>
          <w:szCs w:val="21"/>
          <w:b w:val="1"/>
          <w:bCs w:val="1"/>
          <w:color w:val="auto"/>
        </w:rPr>
        <w:t>October 14, 2016</w:t>
      </w:r>
      <w:r>
        <w:rPr>
          <w:rFonts w:ascii="Arial" w:cs="Arial" w:eastAsia="Arial" w:hAnsi="Arial"/>
          <w:sz w:val="21"/>
          <w:szCs w:val="21"/>
          <w:color w:val="auto"/>
        </w:rPr>
        <w:t xml:space="preserve">, one-third on </w:t>
      </w:r>
      <w:r>
        <w:rPr>
          <w:rFonts w:ascii="Arial" w:cs="Arial" w:eastAsia="Arial" w:hAnsi="Arial"/>
          <w:sz w:val="21"/>
          <w:szCs w:val="21"/>
          <w:b w:val="1"/>
          <w:bCs w:val="1"/>
          <w:color w:val="auto"/>
        </w:rPr>
        <w:t>October 14, 2017,</w:t>
      </w:r>
      <w:r>
        <w:rPr>
          <w:rFonts w:ascii="Arial" w:cs="Arial" w:eastAsia="Arial" w:hAnsi="Arial"/>
          <w:sz w:val="21"/>
          <w:szCs w:val="21"/>
          <w:color w:val="auto"/>
        </w:rPr>
        <w:t xml:space="preserve"> and one-third on </w:t>
      </w:r>
      <w:r>
        <w:rPr>
          <w:rFonts w:ascii="Arial" w:cs="Arial" w:eastAsia="Arial" w:hAnsi="Arial"/>
          <w:sz w:val="21"/>
          <w:szCs w:val="21"/>
          <w:b w:val="1"/>
          <w:bCs w:val="1"/>
          <w:color w:val="auto"/>
        </w:rPr>
        <w:t>October 14, 2018</w:t>
      </w:r>
      <w:r>
        <w:rPr>
          <w:rFonts w:ascii="Arial" w:cs="Arial" w:eastAsia="Arial" w:hAnsi="Arial"/>
          <w:sz w:val="21"/>
          <w:szCs w:val="21"/>
          <w:color w:val="auto"/>
        </w:rPr>
        <w:t>, provided the Participant remains employed as of such date (each a “Scheduled Vesting Date”). All RSUs which become vested shall be payable in accordance with Section 4 hereof.</w:t>
      </w:r>
    </w:p>
    <w:p>
      <w:pPr>
        <w:spacing w:after="0" w:line="171" w:lineRule="exact"/>
        <w:rPr>
          <w:sz w:val="20"/>
          <w:szCs w:val="20"/>
          <w:color w:val="auto"/>
        </w:rPr>
      </w:pPr>
    </w:p>
    <w:p>
      <w:pPr>
        <w:jc w:val="both"/>
        <w:ind w:right="40" w:firstLine="882"/>
        <w:spacing w:after="0" w:line="274" w:lineRule="auto"/>
        <w:tabs>
          <w:tab w:leader="none" w:pos="1739"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“Cause”, for the purposes hereof, shall mean the Participant has (i) engaged in gross negligence or willful misconduct in the performance of his or her duties and responsibilities respecting his or her position with the Company or Employer; (ii) willfully refused, without proper legal reason, to perform the duties and responsibilities respecting his or her position with the Company or Employer; (iii) breached any material policy or code of conduct established by the Company or Employer and affecting the Participant;</w:t>
      </w:r>
    </w:p>
    <w:p>
      <w:pPr>
        <w:spacing w:after="0" w:line="3" w:lineRule="exact"/>
        <w:rPr>
          <w:rFonts w:ascii="Arial" w:cs="Arial" w:eastAsia="Arial" w:hAnsi="Arial"/>
          <w:sz w:val="18"/>
          <w:szCs w:val="18"/>
          <w:color w:val="auto"/>
        </w:rPr>
      </w:pPr>
    </w:p>
    <w:p>
      <w:pPr>
        <w:jc w:val="both"/>
        <w:ind w:right="40" w:firstLine="3"/>
        <w:spacing w:after="0" w:line="235" w:lineRule="auto"/>
        <w:tabs>
          <w:tab w:leader="none" w:pos="351" w:val="left"/>
        </w:tabs>
        <w:numPr>
          <w:ilvl w:val="0"/>
          <w:numId w:val="143"/>
        </w:numPr>
        <w:rPr>
          <w:rFonts w:ascii="Arial" w:cs="Arial" w:eastAsia="Arial" w:hAnsi="Arial"/>
          <w:sz w:val="21"/>
          <w:szCs w:val="21"/>
          <w:color w:val="auto"/>
        </w:rPr>
      </w:pPr>
      <w:r>
        <w:rPr>
          <w:rFonts w:ascii="Arial" w:cs="Arial" w:eastAsia="Arial" w:hAnsi="Arial"/>
          <w:sz w:val="21"/>
          <w:szCs w:val="21"/>
          <w:color w:val="auto"/>
        </w:rPr>
        <w:t>engaged in conduct that Participant knows or should know is materially injurious to the Company or Employer; (v) been convicted of a felony or a misdemeanor involving moral turpitude; or (vi) engaged in an act of dishonest or impropriety which materially impairs the Participant’s effectiveness in his or her position with the Company or Employer.</w:t>
      </w:r>
    </w:p>
    <w:p>
      <w:pPr>
        <w:spacing w:after="0" w:line="177" w:lineRule="exact"/>
        <w:rPr>
          <w:rFonts w:ascii="Arial" w:cs="Arial" w:eastAsia="Arial" w:hAnsi="Arial"/>
          <w:sz w:val="21"/>
          <w:szCs w:val="21"/>
          <w:color w:val="auto"/>
        </w:rPr>
      </w:pPr>
    </w:p>
    <w:p>
      <w:pPr>
        <w:jc w:val="both"/>
        <w:ind w:right="40" w:firstLine="882"/>
        <w:spacing w:after="0" w:line="242" w:lineRule="auto"/>
        <w:tabs>
          <w:tab w:leader="none" w:pos="1728" w:val="left"/>
        </w:tabs>
        <w:numPr>
          <w:ilvl w:val="1"/>
          <w:numId w:val="143"/>
        </w:numPr>
        <w:rPr>
          <w:rFonts w:ascii="Arial" w:cs="Arial" w:eastAsia="Arial" w:hAnsi="Arial"/>
          <w:sz w:val="21"/>
          <w:szCs w:val="21"/>
          <w:color w:val="auto"/>
        </w:rPr>
      </w:pPr>
      <w:r>
        <w:rPr>
          <w:rFonts w:ascii="Arial" w:cs="Arial" w:eastAsia="Arial" w:hAnsi="Arial"/>
          <w:sz w:val="21"/>
          <w:szCs w:val="21"/>
          <w:color w:val="auto"/>
        </w:rPr>
        <w:t>“Long-Term Disability”, for the purposes hereof, shall mean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68" w:lineRule="exact"/>
        <w:rPr>
          <w:sz w:val="20"/>
          <w:szCs w:val="20"/>
          <w:color w:val="auto"/>
        </w:rPr>
      </w:pPr>
    </w:p>
    <w:p>
      <w:pPr>
        <w:ind w:left="1660" w:hanging="778"/>
        <w:spacing w:after="0"/>
        <w:tabs>
          <w:tab w:leader="none" w:pos="1660" w:val="left"/>
        </w:tabs>
        <w:numPr>
          <w:ilvl w:val="0"/>
          <w:numId w:val="144"/>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Delivery of Shares.</w:t>
      </w:r>
    </w:p>
    <w:p>
      <w:pPr>
        <w:spacing w:after="0" w:line="204" w:lineRule="exact"/>
        <w:rPr>
          <w:sz w:val="20"/>
          <w:szCs w:val="20"/>
          <w:color w:val="auto"/>
        </w:rPr>
      </w:pPr>
    </w:p>
    <w:p>
      <w:pPr>
        <w:jc w:val="both"/>
        <w:ind w:right="40" w:firstLine="882"/>
        <w:spacing w:after="0" w:line="242" w:lineRule="auto"/>
        <w:tabs>
          <w:tab w:leader="none" w:pos="1728" w:val="left"/>
        </w:tabs>
        <w:numPr>
          <w:ilvl w:val="0"/>
          <w:numId w:val="145"/>
        </w:numPr>
        <w:rPr>
          <w:rFonts w:ascii="Arial" w:cs="Arial" w:eastAsia="Arial" w:hAnsi="Arial"/>
          <w:sz w:val="21"/>
          <w:szCs w:val="21"/>
          <w:color w:val="010000"/>
        </w:rPr>
      </w:pPr>
      <w:r>
        <w:rPr>
          <w:rFonts w:ascii="Arial" w:cs="Arial" w:eastAsia="Arial" w:hAnsi="Arial"/>
          <w:sz w:val="21"/>
          <w:szCs w:val="21"/>
          <w:color w:val="010000"/>
        </w:rPr>
        <w:t>Employed through Scheduled Vesting Date(s). If the Participant is employed with the Company or Employer through the Scheduled Vesting Date the number of Shares equal to the number of RSUs that have vested shall be delivered within 30 days following the Scheduled Vesting Date.</w:t>
      </w:r>
    </w:p>
    <w:p>
      <w:pPr>
        <w:spacing w:after="0" w:line="173" w:lineRule="exact"/>
        <w:rPr>
          <w:rFonts w:ascii="Arial" w:cs="Arial" w:eastAsia="Arial" w:hAnsi="Arial"/>
          <w:sz w:val="21"/>
          <w:szCs w:val="21"/>
          <w:color w:val="010000"/>
        </w:rPr>
      </w:pPr>
    </w:p>
    <w:p>
      <w:pPr>
        <w:jc w:val="both"/>
        <w:ind w:right="40" w:firstLine="882"/>
        <w:spacing w:after="0" w:line="242" w:lineRule="auto"/>
        <w:tabs>
          <w:tab w:leader="none" w:pos="1739" w:val="left"/>
        </w:tabs>
        <w:numPr>
          <w:ilvl w:val="0"/>
          <w:numId w:val="145"/>
        </w:numPr>
        <w:rPr>
          <w:rFonts w:ascii="Arial" w:cs="Arial" w:eastAsia="Arial" w:hAnsi="Arial"/>
          <w:sz w:val="21"/>
          <w:szCs w:val="21"/>
          <w:color w:val="010000"/>
        </w:rPr>
      </w:pPr>
      <w:r>
        <w:rPr>
          <w:rFonts w:ascii="Arial" w:cs="Arial" w:eastAsia="Arial" w:hAnsi="Arial"/>
          <w:sz w:val="21"/>
          <w:szCs w:val="21"/>
          <w:color w:val="010000"/>
        </w:rPr>
        <w:t>Employment Terminates Prior to Scheduled Vesting Date</w:t>
      </w:r>
      <w:r>
        <w:rPr>
          <w:rFonts w:ascii="Arial" w:cs="Arial" w:eastAsia="Arial" w:hAnsi="Arial"/>
          <w:sz w:val="21"/>
          <w:szCs w:val="21"/>
          <w:color w:val="000000"/>
        </w:rPr>
        <w:t>.</w:t>
      </w:r>
      <w:r>
        <w:rPr>
          <w:rFonts w:ascii="Arial" w:cs="Arial" w:eastAsia="Arial" w:hAnsi="Arial"/>
          <w:sz w:val="21"/>
          <w:szCs w:val="21"/>
          <w:color w:val="010000"/>
        </w:rPr>
        <w:t xml:space="preserve"> If the Participant’s employment is terminated under the circumstances set out in subsection 3(a)(ii), 3(a)(iii) or 3(a)(iv) hereof, for any reason the number of Shares equal to the portion of the RSUs that remain unvested shall be delivered within 30 days following the termination date.</w:t>
      </w:r>
    </w:p>
    <w:p>
      <w:pPr>
        <w:spacing w:after="0" w:line="173" w:lineRule="exact"/>
        <w:rPr>
          <w:rFonts w:ascii="Arial" w:cs="Arial" w:eastAsia="Arial" w:hAnsi="Arial"/>
          <w:sz w:val="21"/>
          <w:szCs w:val="21"/>
          <w:color w:val="010000"/>
        </w:rPr>
      </w:pPr>
    </w:p>
    <w:p>
      <w:pPr>
        <w:ind w:right="40" w:firstLine="882"/>
        <w:spacing w:after="0" w:line="253" w:lineRule="auto"/>
        <w:tabs>
          <w:tab w:leader="none" w:pos="1728" w:val="left"/>
        </w:tabs>
        <w:numPr>
          <w:ilvl w:val="0"/>
          <w:numId w:val="145"/>
        </w:numPr>
        <w:rPr>
          <w:rFonts w:ascii="Arial" w:cs="Arial" w:eastAsia="Arial" w:hAnsi="Arial"/>
          <w:sz w:val="21"/>
          <w:szCs w:val="21"/>
          <w:color w:val="010000"/>
        </w:rPr>
      </w:pPr>
      <w:r>
        <w:rPr>
          <w:rFonts w:ascii="Arial" w:cs="Arial" w:eastAsia="Arial" w:hAnsi="Arial"/>
          <w:sz w:val="21"/>
          <w:szCs w:val="21"/>
          <w:color w:val="010000"/>
        </w:rPr>
        <w:t>The Shares which the Award entitles the Participant to receive shall be delivered to the Participant, subject to withholding as provided in Section 10 below.</w:t>
      </w:r>
    </w:p>
    <w:p>
      <w:pPr>
        <w:spacing w:after="0" w:line="157" w:lineRule="exact"/>
        <w:rPr>
          <w:sz w:val="20"/>
          <w:szCs w:val="20"/>
          <w:color w:val="auto"/>
        </w:rPr>
      </w:pPr>
    </w:p>
    <w:p>
      <w:pPr>
        <w:jc w:val="both"/>
        <w:ind w:right="40" w:firstLine="882"/>
        <w:spacing w:after="0" w:line="251" w:lineRule="auto"/>
        <w:tabs>
          <w:tab w:leader="none" w:pos="1653" w:val="left"/>
        </w:tabs>
        <w:numPr>
          <w:ilvl w:val="0"/>
          <w:numId w:val="14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Restrictions on Transfer.</w:t>
      </w:r>
      <w:r>
        <w:rPr>
          <w:rFonts w:ascii="Arial" w:cs="Arial" w:eastAsia="Arial" w:hAnsi="Arial"/>
          <w:sz w:val="20"/>
          <w:szCs w:val="20"/>
          <w:b w:val="1"/>
          <w:bCs w:val="1"/>
          <w:color w:val="010000"/>
        </w:rPr>
        <w:t xml:space="preserve"> </w:t>
      </w:r>
      <w:r>
        <w:rPr>
          <w:rFonts w:ascii="Arial" w:cs="Arial" w:eastAsia="Arial" w:hAnsi="Arial"/>
          <w:sz w:val="20"/>
          <w:szCs w:val="20"/>
          <w:color w:val="010000"/>
        </w:rPr>
        <w:t>In no event shall an Award granted hereunder be voluntarily or involuntarily sold,</w:t>
      </w:r>
      <w:r>
        <w:rPr>
          <w:rFonts w:ascii="Arial" w:cs="Arial" w:eastAsia="Arial" w:hAnsi="Arial"/>
          <w:sz w:val="20"/>
          <w:szCs w:val="20"/>
          <w:b w:val="1"/>
          <w:bCs w:val="1"/>
          <w:color w:val="010000"/>
        </w:rPr>
        <w:t xml:space="preserve"> </w:t>
      </w:r>
      <w:r>
        <w:rPr>
          <w:rFonts w:ascii="Arial" w:cs="Arial" w:eastAsia="Arial" w:hAnsi="Arial"/>
          <w:sz w:val="20"/>
          <w:szCs w:val="20"/>
          <w:color w:val="010000"/>
        </w:rPr>
        <w:t>pledged, assigned or transferred by the Participant other than: (i) by will or the laws of descent and distribution; or (ii) pursuant to the qualified domestic relations order (as defined by the Internal Revenue Code); or (iii) by transfer by a Participant to a member of the Participant’s Immediate Family, or to a partnership or limited liability company whose only partners or shareholders are the Participant and members of his Immediate Family. However, any grant transferred shall continue to be subject to all terms and conditions contained in the Agreement. “Immediate Family” mean the spouse, children or grandchildren of the Participant.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34"/>
        </w:trPr>
        <w:tc>
          <w:tcPr>
            <w:tcW w:w="792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20" w:name="page121"/>
    <w:bookmarkEnd w:id="120"/>
    <w:p>
      <w:pPr>
        <w:ind w:right="40" w:firstLine="882"/>
        <w:spacing w:after="0" w:line="259" w:lineRule="auto"/>
        <w:tabs>
          <w:tab w:leader="none" w:pos="1653" w:val="left"/>
        </w:tabs>
        <w:numPr>
          <w:ilvl w:val="0"/>
          <w:numId w:val="14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 Voting Rights.</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RSUs granted pursuant to this Award, whether or not vested, will not confer any voting</w:t>
      </w:r>
      <w:r>
        <w:rPr>
          <w:rFonts w:ascii="Arial" w:cs="Arial" w:eastAsia="Arial" w:hAnsi="Arial"/>
          <w:sz w:val="21"/>
          <w:szCs w:val="21"/>
          <w:b w:val="1"/>
          <w:bCs w:val="1"/>
          <w:color w:val="010000"/>
        </w:rPr>
        <w:t xml:space="preserve"> </w:t>
      </w:r>
      <w:r>
        <w:rPr>
          <w:rFonts w:ascii="Arial" w:cs="Arial" w:eastAsia="Arial" w:hAnsi="Arial"/>
          <w:sz w:val="21"/>
          <w:szCs w:val="21"/>
          <w:color w:val="010000"/>
        </w:rPr>
        <w:t>rights upon the Participant, unless and until the Award is paid in Shares.</w:t>
      </w:r>
    </w:p>
    <w:p>
      <w:pPr>
        <w:spacing w:after="0" w:line="150" w:lineRule="exact"/>
        <w:rPr>
          <w:rFonts w:ascii="Arial" w:cs="Arial" w:eastAsia="Arial" w:hAnsi="Arial"/>
          <w:sz w:val="21"/>
          <w:szCs w:val="21"/>
          <w:b w:val="1"/>
          <w:bCs w:val="1"/>
          <w:color w:val="010000"/>
        </w:rPr>
      </w:pPr>
    </w:p>
    <w:p>
      <w:pPr>
        <w:ind w:right="40" w:firstLine="882"/>
        <w:spacing w:after="0" w:line="259" w:lineRule="auto"/>
        <w:tabs>
          <w:tab w:leader="none" w:pos="1653" w:val="left"/>
        </w:tabs>
        <w:numPr>
          <w:ilvl w:val="0"/>
          <w:numId w:val="14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Changes in Capitalization.</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RSUs granted under this Award shall be subject to the provisions of Section 12.2</w:t>
      </w:r>
      <w:r>
        <w:rPr>
          <w:rFonts w:ascii="Arial" w:cs="Arial" w:eastAsia="Arial" w:hAnsi="Arial"/>
          <w:sz w:val="21"/>
          <w:szCs w:val="21"/>
          <w:b w:val="1"/>
          <w:bCs w:val="1"/>
          <w:color w:val="010000"/>
        </w:rPr>
        <w:t xml:space="preserve"> </w:t>
      </w:r>
      <w:r>
        <w:rPr>
          <w:rFonts w:ascii="Arial" w:cs="Arial" w:eastAsia="Arial" w:hAnsi="Arial"/>
          <w:sz w:val="21"/>
          <w:szCs w:val="21"/>
          <w:color w:val="010000"/>
        </w:rPr>
        <w:t>of the Plan relating to adjustments to corporate capitalization.</w:t>
      </w:r>
    </w:p>
    <w:p>
      <w:pPr>
        <w:spacing w:after="0" w:line="150" w:lineRule="exact"/>
        <w:rPr>
          <w:rFonts w:ascii="Arial" w:cs="Arial" w:eastAsia="Arial" w:hAnsi="Arial"/>
          <w:sz w:val="21"/>
          <w:szCs w:val="21"/>
          <w:b w:val="1"/>
          <w:bCs w:val="1"/>
          <w:color w:val="010000"/>
        </w:rPr>
      </w:pPr>
    </w:p>
    <w:p>
      <w:pPr>
        <w:ind w:left="1660" w:hanging="778"/>
        <w:spacing w:after="0"/>
        <w:tabs>
          <w:tab w:leader="none" w:pos="1660" w:val="left"/>
        </w:tabs>
        <w:numPr>
          <w:ilvl w:val="0"/>
          <w:numId w:val="14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Nature of Grant.</w:t>
      </w:r>
      <w:r>
        <w:rPr>
          <w:rFonts w:ascii="Arial" w:cs="Arial" w:eastAsia="Arial" w:hAnsi="Arial"/>
          <w:sz w:val="21"/>
          <w:szCs w:val="21"/>
          <w:b w:val="1"/>
          <w:bCs w:val="1"/>
          <w:color w:val="010000"/>
        </w:rPr>
        <w:t xml:space="preserve"> </w:t>
      </w:r>
      <w:r>
        <w:rPr>
          <w:rFonts w:ascii="Arial" w:cs="Arial" w:eastAsia="Arial" w:hAnsi="Arial"/>
          <w:sz w:val="21"/>
          <w:szCs w:val="21"/>
          <w:color w:val="010000"/>
        </w:rPr>
        <w:t>In accepting the Award of RSUs, Participant acknowledges that:</w:t>
      </w:r>
    </w:p>
    <w:p>
      <w:pPr>
        <w:spacing w:after="0" w:line="204" w:lineRule="exact"/>
        <w:rPr>
          <w:sz w:val="20"/>
          <w:szCs w:val="20"/>
          <w:color w:val="auto"/>
        </w:rPr>
      </w:pPr>
    </w:p>
    <w:p>
      <w:pPr>
        <w:ind w:right="40" w:firstLine="882"/>
        <w:spacing w:after="0" w:line="305" w:lineRule="auto"/>
        <w:tabs>
          <w:tab w:leader="none" w:pos="1728" w:val="left"/>
        </w:tabs>
        <w:numPr>
          <w:ilvl w:val="0"/>
          <w:numId w:val="148"/>
        </w:numPr>
        <w:rPr>
          <w:rFonts w:ascii="Arial" w:cs="Arial" w:eastAsia="Arial" w:hAnsi="Arial"/>
          <w:sz w:val="19"/>
          <w:szCs w:val="19"/>
          <w:color w:val="010000"/>
        </w:rPr>
      </w:pPr>
      <w:r>
        <w:rPr>
          <w:rFonts w:ascii="Arial" w:cs="Arial" w:eastAsia="Arial" w:hAnsi="Arial"/>
          <w:sz w:val="19"/>
          <w:szCs w:val="19"/>
          <w:color w:val="010000"/>
        </w:rPr>
        <w:t>The Plan is established voluntarily by the Company, it is discretionary in nature and it may be modified, amended, suspended or terminated by the Company at any time, unless otherwise provided in the Plan and this Award Agreement.</w:t>
      </w:r>
    </w:p>
    <w:p>
      <w:pPr>
        <w:spacing w:after="0" w:line="116" w:lineRule="exact"/>
        <w:rPr>
          <w:rFonts w:ascii="Arial" w:cs="Arial" w:eastAsia="Arial" w:hAnsi="Arial"/>
          <w:sz w:val="19"/>
          <w:szCs w:val="19"/>
          <w:color w:val="010000"/>
        </w:rPr>
      </w:pPr>
    </w:p>
    <w:p>
      <w:pPr>
        <w:ind w:right="40" w:firstLine="882"/>
        <w:spacing w:after="0" w:line="253" w:lineRule="auto"/>
        <w:tabs>
          <w:tab w:leader="none" w:pos="1739"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The grant of RSUs is a one-time benefit and does not create any contractual or other right to receive an award or benefits in lieu of an award in the future; future awards, if any, will be at the sole discretion of the Company.</w:t>
      </w:r>
    </w:p>
    <w:p>
      <w:pPr>
        <w:spacing w:after="0" w:line="162" w:lineRule="exact"/>
        <w:rPr>
          <w:rFonts w:ascii="Arial" w:cs="Arial" w:eastAsia="Arial" w:hAnsi="Arial"/>
          <w:sz w:val="21"/>
          <w:szCs w:val="21"/>
          <w:color w:val="010000"/>
        </w:rPr>
      </w:pPr>
    </w:p>
    <w:p>
      <w:pPr>
        <w:ind w:left="1740" w:hanging="858"/>
        <w:spacing w:after="0"/>
        <w:tabs>
          <w:tab w:leader="none" w:pos="1740"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The Participant is voluntarily participating in the Plan.</w:t>
      </w:r>
    </w:p>
    <w:p>
      <w:pPr>
        <w:spacing w:after="0" w:line="197" w:lineRule="exact"/>
        <w:rPr>
          <w:rFonts w:ascii="Arial" w:cs="Arial" w:eastAsia="Arial" w:hAnsi="Arial"/>
          <w:sz w:val="21"/>
          <w:szCs w:val="21"/>
          <w:color w:val="010000"/>
        </w:rPr>
      </w:pPr>
    </w:p>
    <w:p>
      <w:pPr>
        <w:ind w:right="40" w:firstLine="882"/>
        <w:spacing w:after="0" w:line="253" w:lineRule="auto"/>
        <w:tabs>
          <w:tab w:leader="none" w:pos="1739"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An RSU is an extraordinary item that does not constitute compensation of any kind for services of any kind rendered to the Employer, and which is outside the scope of the Participant’s employment contract, if any.</w:t>
      </w:r>
    </w:p>
    <w:p>
      <w:pPr>
        <w:spacing w:after="0" w:line="162" w:lineRule="exact"/>
        <w:rPr>
          <w:rFonts w:ascii="Arial" w:cs="Arial" w:eastAsia="Arial" w:hAnsi="Arial"/>
          <w:sz w:val="21"/>
          <w:szCs w:val="21"/>
          <w:color w:val="010000"/>
        </w:rPr>
      </w:pPr>
    </w:p>
    <w:p>
      <w:pPr>
        <w:jc w:val="both"/>
        <w:ind w:right="40" w:firstLine="882"/>
        <w:spacing w:after="0" w:line="238" w:lineRule="auto"/>
        <w:tabs>
          <w:tab w:leader="none" w:pos="1728"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The RSUs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179" w:lineRule="exact"/>
        <w:rPr>
          <w:rFonts w:ascii="Arial" w:cs="Arial" w:eastAsia="Arial" w:hAnsi="Arial"/>
          <w:sz w:val="21"/>
          <w:szCs w:val="21"/>
          <w:color w:val="010000"/>
        </w:rPr>
      </w:pPr>
    </w:p>
    <w:p>
      <w:pPr>
        <w:ind w:right="40" w:firstLine="882"/>
        <w:spacing w:after="0" w:line="253" w:lineRule="auto"/>
        <w:tabs>
          <w:tab w:leader="none" w:pos="1705"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The RSUs will not be interpreted to form an employment contract or relationship with the Company; and furthermore, the RSUs will not be interpreted to form an employment contract with any Subsidiary.</w:t>
      </w:r>
    </w:p>
    <w:p>
      <w:pPr>
        <w:spacing w:after="0" w:line="162" w:lineRule="exact"/>
        <w:rPr>
          <w:rFonts w:ascii="Arial" w:cs="Arial" w:eastAsia="Arial" w:hAnsi="Arial"/>
          <w:sz w:val="21"/>
          <w:szCs w:val="21"/>
          <w:color w:val="010000"/>
        </w:rPr>
      </w:pPr>
    </w:p>
    <w:p>
      <w:pPr>
        <w:jc w:val="both"/>
        <w:ind w:right="40" w:firstLine="882"/>
        <w:spacing w:after="0" w:line="242" w:lineRule="auto"/>
        <w:tabs>
          <w:tab w:leader="none" w:pos="1739"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This Award Agreement shall not confer upon the Participant any right to continuation of employment by the Employer, nor shall this Award Agreement interfere in any way with the Employer’s right to terminate the Participant’s employment at any time, as may be permitted under local law.</w:t>
      </w:r>
    </w:p>
    <w:p>
      <w:pPr>
        <w:spacing w:after="0" w:line="173" w:lineRule="exact"/>
        <w:rPr>
          <w:rFonts w:ascii="Arial" w:cs="Arial" w:eastAsia="Arial" w:hAnsi="Arial"/>
          <w:sz w:val="21"/>
          <w:szCs w:val="21"/>
          <w:color w:val="010000"/>
        </w:rPr>
      </w:pPr>
    </w:p>
    <w:p>
      <w:pPr>
        <w:ind w:left="1740" w:hanging="858"/>
        <w:spacing w:after="0"/>
        <w:tabs>
          <w:tab w:leader="none" w:pos="1740" w:val="left"/>
        </w:tabs>
        <w:numPr>
          <w:ilvl w:val="0"/>
          <w:numId w:val="148"/>
        </w:numPr>
        <w:rPr>
          <w:rFonts w:ascii="Arial" w:cs="Arial" w:eastAsia="Arial" w:hAnsi="Arial"/>
          <w:sz w:val="21"/>
          <w:szCs w:val="21"/>
          <w:color w:val="010000"/>
        </w:rPr>
      </w:pPr>
      <w:r>
        <w:rPr>
          <w:rFonts w:ascii="Arial" w:cs="Arial" w:eastAsia="Arial" w:hAnsi="Arial"/>
          <w:sz w:val="21"/>
          <w:szCs w:val="21"/>
          <w:color w:val="010000"/>
        </w:rPr>
        <w:t>The future value of the underlying Shares is unknown and cannot be predicted with certainty.</w:t>
      </w:r>
    </w:p>
    <w:p>
      <w:pPr>
        <w:spacing w:after="0" w:line="197" w:lineRule="exact"/>
        <w:rPr>
          <w:rFonts w:ascii="Arial" w:cs="Arial" w:eastAsia="Arial" w:hAnsi="Arial"/>
          <w:sz w:val="21"/>
          <w:szCs w:val="21"/>
          <w:color w:val="010000"/>
        </w:rPr>
      </w:pPr>
    </w:p>
    <w:p>
      <w:pPr>
        <w:ind w:left="1700" w:hanging="818"/>
        <w:spacing w:after="0"/>
        <w:tabs>
          <w:tab w:leader="none" w:pos="1700" w:val="left"/>
        </w:tabs>
        <w:numPr>
          <w:ilvl w:val="0"/>
          <w:numId w:val="148"/>
        </w:numPr>
        <w:rPr>
          <w:rFonts w:ascii="Arial" w:cs="Arial" w:eastAsia="Arial" w:hAnsi="Arial"/>
          <w:sz w:val="18"/>
          <w:szCs w:val="18"/>
          <w:color w:val="010000"/>
        </w:rPr>
      </w:pPr>
      <w:r>
        <w:rPr>
          <w:rFonts w:ascii="Arial" w:cs="Arial" w:eastAsia="Arial" w:hAnsi="Arial"/>
          <w:sz w:val="18"/>
          <w:szCs w:val="18"/>
          <w:color w:val="010000"/>
        </w:rPr>
        <w:t>If the RSUs vest and the Participant obtains Shares, the value of those Shares acquired may increase or decrease in</w:t>
      </w:r>
    </w:p>
    <w:p>
      <w:pPr>
        <w:spacing w:after="0" w:line="4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1"/>
          <w:szCs w:val="21"/>
          <w:color w:val="010000"/>
        </w:rPr>
        <w:t>value.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34"/>
        </w:trPr>
        <w:tc>
          <w:tcPr>
            <w:tcW w:w="792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21" w:name="page122"/>
    <w:bookmarkEnd w:id="121"/>
    <w:p>
      <w:pPr>
        <w:jc w:val="both"/>
        <w:ind w:right="40" w:firstLine="882"/>
        <w:spacing w:after="0" w:line="249" w:lineRule="auto"/>
        <w:tabs>
          <w:tab w:leader="none" w:pos="1693" w:val="left"/>
        </w:tabs>
        <w:numPr>
          <w:ilvl w:val="0"/>
          <w:numId w:val="149"/>
        </w:numPr>
        <w:rPr>
          <w:rFonts w:ascii="Arial" w:cs="Arial" w:eastAsia="Arial" w:hAnsi="Arial"/>
          <w:sz w:val="20"/>
          <w:szCs w:val="20"/>
          <w:color w:val="010000"/>
        </w:rPr>
      </w:pPr>
      <w:r>
        <w:rPr>
          <w:rFonts w:ascii="Arial" w:cs="Arial" w:eastAsia="Arial" w:hAnsi="Arial"/>
          <w:sz w:val="20"/>
          <w:szCs w:val="20"/>
          <w:color w:val="010000"/>
        </w:rPr>
        <w:t>In consideration of the grant of the RSUs, no claim or entitlement to compensation or damages shall arise from termination of the RSUs or diminution in value of the RSUs or Shares acquired upon settlement of the RSUs resulting from termination of the Participant’s employment (for any reason whatsoever and whether or not in breach of local labor laws) and the Participant irrevocably releases the Company and the Employer (if different) from any such claim that may arise; if, notwithstanding the foregoing, any such claim is found by a court of competent jurisdiction to have arisen, then, by accepting this Award, the Participant will be deemed irrevocably to have waived the Participant’s entitlement to pursue such claim.</w:t>
      </w:r>
    </w:p>
    <w:p>
      <w:pPr>
        <w:spacing w:after="0" w:line="164" w:lineRule="exact"/>
        <w:rPr>
          <w:sz w:val="20"/>
          <w:szCs w:val="20"/>
          <w:color w:val="auto"/>
        </w:rPr>
      </w:pPr>
    </w:p>
    <w:p>
      <w:pPr>
        <w:jc w:val="both"/>
        <w:ind w:right="40" w:firstLine="882"/>
        <w:spacing w:after="0" w:line="245" w:lineRule="auto"/>
        <w:tabs>
          <w:tab w:leader="none" w:pos="1653" w:val="left"/>
        </w:tabs>
        <w:numPr>
          <w:ilvl w:val="0"/>
          <w:numId w:val="15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Notices.</w:t>
      </w:r>
      <w:r>
        <w:rPr>
          <w:rFonts w:ascii="Arial" w:cs="Arial" w:eastAsia="Arial" w:hAnsi="Arial"/>
          <w:sz w:val="21"/>
          <w:szCs w:val="21"/>
          <w:b w:val="1"/>
          <w:bCs w:val="1"/>
          <w:color w:val="010000"/>
        </w:rPr>
        <w:t xml:space="preserve"> </w:t>
      </w:r>
      <w:r>
        <w:rPr>
          <w:rFonts w:ascii="Arial" w:cs="Arial" w:eastAsia="Arial" w:hAnsi="Arial"/>
          <w:sz w:val="21"/>
          <w:szCs w:val="21"/>
          <w:color w:val="010000"/>
        </w:rPr>
        <w:t>All notices required or permitted under this Award Agreement shall be in writing and shall be delivered</w:t>
      </w:r>
      <w:r>
        <w:rPr>
          <w:rFonts w:ascii="Arial" w:cs="Arial" w:eastAsia="Arial" w:hAnsi="Arial"/>
          <w:sz w:val="21"/>
          <w:szCs w:val="21"/>
          <w:b w:val="1"/>
          <w:bCs w:val="1"/>
          <w:color w:val="010000"/>
        </w:rPr>
        <w:t xml:space="preserve"> </w:t>
      </w:r>
      <w:r>
        <w:rPr>
          <w:rFonts w:ascii="Arial" w:cs="Arial" w:eastAsia="Arial" w:hAnsi="Arial"/>
          <w:sz w:val="21"/>
          <w:szCs w:val="21"/>
          <w:color w:val="010000"/>
        </w:rPr>
        <w:t>personally or by mailing the same by registered or certified mail postage prepaid, to the other party. Notice given by mail as below set out shall be deemed delivered at the time and on the date the same is postmarked.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spacing w:after="0" w:line="94"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6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60" w:hanging="878"/>
        <w:spacing w:after="0"/>
        <w:tabs>
          <w:tab w:leader="none" w:pos="1760" w:val="left"/>
        </w:tabs>
        <w:numPr>
          <w:ilvl w:val="0"/>
          <w:numId w:val="15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Tax and Social Insurance Withholding.</w:t>
      </w:r>
    </w:p>
    <w:p>
      <w:pPr>
        <w:spacing w:after="0" w:line="204" w:lineRule="exact"/>
        <w:rPr>
          <w:sz w:val="20"/>
          <w:szCs w:val="20"/>
          <w:color w:val="auto"/>
        </w:rPr>
      </w:pPr>
    </w:p>
    <w:p>
      <w:pPr>
        <w:jc w:val="both"/>
        <w:ind w:right="40" w:firstLine="882"/>
        <w:spacing w:after="0" w:line="247" w:lineRule="auto"/>
        <w:tabs>
          <w:tab w:leader="none" w:pos="1728" w:val="left"/>
        </w:tabs>
        <w:numPr>
          <w:ilvl w:val="0"/>
          <w:numId w:val="152"/>
        </w:numPr>
        <w:rPr>
          <w:rFonts w:ascii="Arial" w:cs="Arial" w:eastAsia="Arial" w:hAnsi="Arial"/>
          <w:sz w:val="20"/>
          <w:szCs w:val="20"/>
          <w:color w:val="010000"/>
        </w:rPr>
      </w:pPr>
      <w:r>
        <w:rPr>
          <w:rFonts w:ascii="Arial" w:cs="Arial" w:eastAsia="Arial" w:hAnsi="Arial"/>
          <w:sz w:val="20"/>
          <w:szCs w:val="20"/>
          <w:color w:val="010000"/>
        </w:rPr>
        <w:t>Regardless of any action the Company or Employer takes with respect to any or all income tax (including foreign, federal, state and local taxes), social insurance, payroll tax, payment on account or other tax-related items related to Participant’s participation in the Plan and legally applicable to him or her (“Tax-Related Items”), Participant acknowledges that the ultimate liability for all Tax-Related Items legally due by Participant is and remains his or her responsibility and may exceed the amount actually withheld by the Company or Employer. Participant further acknowledges that the Company or Employer (i) make no representations or undertakings regarding the treatment of any Tax-Related Items in connection with any aspect of the RSUs, including the grant of the RSUs, the vesting of the RSUs, the conversion of the RSUs into Shares or the receipt of any equivalent cash payment, the subsequent sale of any Shares acquired at vesting, and (ii) do not commit to structure the terms of the grant or any aspect of the RSUs to reduce or eliminate Participant’s liability for the Tax-Related Items.</w:t>
      </w:r>
    </w:p>
    <w:p>
      <w:pPr>
        <w:spacing w:after="0" w:line="169" w:lineRule="exact"/>
        <w:rPr>
          <w:rFonts w:ascii="Arial" w:cs="Arial" w:eastAsia="Arial" w:hAnsi="Arial"/>
          <w:sz w:val="20"/>
          <w:szCs w:val="20"/>
          <w:color w:val="010000"/>
        </w:rPr>
      </w:pPr>
    </w:p>
    <w:p>
      <w:pPr>
        <w:jc w:val="both"/>
        <w:ind w:right="40" w:firstLine="882"/>
        <w:spacing w:after="0" w:line="262" w:lineRule="auto"/>
        <w:tabs>
          <w:tab w:leader="none" w:pos="1739" w:val="left"/>
        </w:tabs>
        <w:numPr>
          <w:ilvl w:val="0"/>
          <w:numId w:val="152"/>
        </w:numPr>
        <w:rPr>
          <w:rFonts w:ascii="Arial" w:cs="Arial" w:eastAsia="Arial" w:hAnsi="Arial"/>
          <w:sz w:val="19"/>
          <w:szCs w:val="19"/>
          <w:color w:val="010000"/>
        </w:rPr>
      </w:pPr>
      <w:r>
        <w:rPr>
          <w:rFonts w:ascii="Arial" w:cs="Arial" w:eastAsia="Arial" w:hAnsi="Arial"/>
          <w:sz w:val="19"/>
          <w:szCs w:val="19"/>
          <w:color w:val="010000"/>
        </w:rPr>
        <w:t>Prior to any relevant taxable or tax withholding event (“Tax Date”), as applicable, Participant will pay or make adequate arrangements satisfactory to the Company to satisfy all Tax-Related Items. In this regard, Participant authorizes the Company, Employer or their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Participant having an aggregate Fair Market Value, determined as of the Tax Date, or withhold an amount of cash from Participant’s wages or other cash compensation which would otherwise be payable to Participant by the Company or from any equivalent cash payment received upon vesting of the RSUs, equal to the amount necessary to satisfy any such obligation, (iii) withhold from proceeds of the sale of Shares acquired upon issuance of the RSUs either</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34"/>
        </w:trPr>
        <w:tc>
          <w:tcPr>
            <w:tcW w:w="792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010000"/>
        </w:rPr>
        <w:t>through a voluntary sale or through a mandatory sale arranged by the Company (on Participant’s behalf pursuant to this authorization), or</w:t>
      </w:r>
    </w:p>
    <w:p>
      <w:pPr>
        <w:spacing w:after="0" w:line="44" w:lineRule="exact"/>
        <w:rPr>
          <w:sz w:val="20"/>
          <w:szCs w:val="20"/>
          <w:color w:val="auto"/>
        </w:rPr>
      </w:pPr>
    </w:p>
    <w:p>
      <w:pPr>
        <w:ind w:right="40" w:firstLine="3"/>
        <w:spacing w:after="0" w:line="237" w:lineRule="auto"/>
        <w:tabs>
          <w:tab w:leader="none" w:pos="371" w:val="left"/>
        </w:tabs>
        <w:numPr>
          <w:ilvl w:val="0"/>
          <w:numId w:val="153"/>
        </w:numPr>
        <w:rPr>
          <w:rFonts w:ascii="Arial" w:cs="Arial" w:eastAsia="Arial" w:hAnsi="Arial"/>
          <w:sz w:val="21"/>
          <w:szCs w:val="21"/>
          <w:color w:val="010000"/>
        </w:rPr>
      </w:pPr>
      <w:r>
        <w:rPr>
          <w:rFonts w:ascii="Arial" w:cs="Arial" w:eastAsia="Arial" w:hAnsi="Arial"/>
          <w:sz w:val="21"/>
          <w:szCs w:val="21"/>
          <w:color w:val="010000"/>
        </w:rPr>
        <w:t>a cash payment to the Company by a broker-dealer acceptable to the Company to whom Participant has submitted an irrevocable notice of sale.</w:t>
      </w:r>
    </w:p>
    <w:p>
      <w:pPr>
        <w:spacing w:after="0" w:line="176" w:lineRule="exact"/>
        <w:rPr>
          <w:rFonts w:ascii="Arial" w:cs="Arial" w:eastAsia="Arial" w:hAnsi="Arial"/>
          <w:sz w:val="21"/>
          <w:szCs w:val="21"/>
          <w:color w:val="010000"/>
        </w:rPr>
      </w:pPr>
    </w:p>
    <w:p>
      <w:pPr>
        <w:jc w:val="both"/>
        <w:ind w:right="40" w:firstLine="882"/>
        <w:spacing w:after="0" w:line="247" w:lineRule="auto"/>
        <w:tabs>
          <w:tab w:leader="none" w:pos="1728" w:val="left"/>
        </w:tabs>
        <w:numPr>
          <w:ilvl w:val="1"/>
          <w:numId w:val="153"/>
        </w:numPr>
        <w:rPr>
          <w:rFonts w:ascii="Arial" w:cs="Arial" w:eastAsia="Arial" w:hAnsi="Arial"/>
          <w:sz w:val="20"/>
          <w:szCs w:val="20"/>
          <w:color w:val="010000"/>
        </w:rPr>
      </w:pPr>
      <w:r>
        <w:rPr>
          <w:rFonts w:ascii="Arial" w:cs="Arial" w:eastAsia="Arial" w:hAnsi="Arial"/>
          <w:sz w:val="20"/>
          <w:szCs w:val="20"/>
          <w:color w:val="010000"/>
        </w:rPr>
        <w:t>To avoid negative accounting treatment, the Company may withhold or account for Tax-Related Items by considering applicable minimum statutory withholding rates. If the obligation for Tax-Related Items is satisfied by withholding in Shares, for tax purposes, Participant is deemed to have been issued the full number of Shares due to him or her at vesting, notwithstanding that a number of Shares are held back solely for the purpose of paying the Tax-Related Items due as a result of any aspect of Participant’s participation in the Plan. Finally, Participant shall pay to the Company or the Employer any amount of Tax-Related Items that the Company or the Employer may be required to withhold as a result of Participant’s participation in the Plan that cannot be satisfied by the means previously described. The Company may refuse to issue Shares to the Participant if Participant fails to comply with his or her obligations in connection with the Tax-Related Items as described herein.</w:t>
      </w:r>
    </w:p>
    <w:p>
      <w:pPr>
        <w:spacing w:after="0" w:line="168" w:lineRule="exact"/>
        <w:rPr>
          <w:sz w:val="20"/>
          <w:szCs w:val="20"/>
          <w:color w:val="auto"/>
        </w:rPr>
      </w:pPr>
    </w:p>
    <w:p>
      <w:pPr>
        <w:jc w:val="both"/>
        <w:ind w:right="40" w:firstLine="882"/>
        <w:spacing w:after="0" w:line="277" w:lineRule="auto"/>
        <w:tabs>
          <w:tab w:leader="none" w:pos="1745" w:val="left"/>
        </w:tabs>
        <w:numPr>
          <w:ilvl w:val="0"/>
          <w:numId w:val="154"/>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010000"/>
        </w:rPr>
        <w:t>Repatriation; Compliance with Laws</w:t>
      </w:r>
      <w:r>
        <w:rPr>
          <w:rFonts w:ascii="Arial" w:cs="Arial" w:eastAsia="Arial" w:hAnsi="Arial"/>
          <w:sz w:val="18"/>
          <w:szCs w:val="18"/>
          <w:b w:val="1"/>
          <w:bCs w:val="1"/>
          <w:color w:val="010000"/>
        </w:rPr>
        <w:t xml:space="preserve">. </w:t>
      </w:r>
      <w:r>
        <w:rPr>
          <w:rFonts w:ascii="Arial" w:cs="Arial" w:eastAsia="Arial" w:hAnsi="Arial"/>
          <w:sz w:val="18"/>
          <w:szCs w:val="18"/>
          <w:color w:val="010000"/>
        </w:rPr>
        <w:t>If the Participant is resident or employed outside of the United States, the</w:t>
      </w:r>
      <w:r>
        <w:rPr>
          <w:rFonts w:ascii="Arial" w:cs="Arial" w:eastAsia="Arial" w:hAnsi="Arial"/>
          <w:sz w:val="18"/>
          <w:szCs w:val="18"/>
          <w:b w:val="1"/>
          <w:bCs w:val="1"/>
          <w:color w:val="010000"/>
        </w:rPr>
        <w:t xml:space="preserve"> </w:t>
      </w:r>
      <w:r>
        <w:rPr>
          <w:rFonts w:ascii="Arial" w:cs="Arial" w:eastAsia="Arial" w:hAnsi="Arial"/>
          <w:sz w:val="18"/>
          <w:szCs w:val="18"/>
          <w:color w:val="010000"/>
        </w:rPr>
        <w:t>Participant may be required to repatriate all payments attributable to the Shares and/or cash acquired under the Plan (including, but not limited to, dividends and any proceeds derived from the sale of the Shares acquired pursuant to the RSUs) in accordance with local foreign exchange rules and regulations in the Participant’s country of residence (and country of employment, if different). It is the Participant’s responsibility to comply with all foreign exchange rules and all other local compliance requirements that he or she may be subject to with respect to his or her participation in the Plan. In addition, the Participant is required to take any and all actions, and consent to any and all actions taken by the Company and its Subsidiaries, as may be necessary to allow the Company and its Subsidiaries to comply with local laws, rules and regulations in the Participant’s country of residence (and country of employment, if different). The Participant is also required to take any and all actions as may be necessary to comply with the Participant’s personal legal, and tax obligations under local laws, rules and regulations in the Participant’s country of residence (and country of employment, if different).</w:t>
      </w:r>
    </w:p>
    <w:p>
      <w:pPr>
        <w:spacing w:after="0" w:line="143" w:lineRule="exact"/>
        <w:rPr>
          <w:rFonts w:ascii="Arial" w:cs="Arial" w:eastAsia="Arial" w:hAnsi="Arial"/>
          <w:sz w:val="18"/>
          <w:szCs w:val="18"/>
          <w:b w:val="1"/>
          <w:bCs w:val="1"/>
          <w:color w:val="010000"/>
        </w:rPr>
      </w:pPr>
    </w:p>
    <w:p>
      <w:pPr>
        <w:jc w:val="both"/>
        <w:ind w:right="40" w:firstLine="882"/>
        <w:spacing w:after="0" w:line="236" w:lineRule="auto"/>
        <w:tabs>
          <w:tab w:leader="none" w:pos="1757" w:val="left"/>
        </w:tabs>
        <w:numPr>
          <w:ilvl w:val="0"/>
          <w:numId w:val="154"/>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Securities Matters</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shall not be required to deliver any Shares until the requirements of any federal,</w:t>
      </w:r>
      <w:r>
        <w:rPr>
          <w:rFonts w:ascii="Arial" w:cs="Arial" w:eastAsia="Arial" w:hAnsi="Arial"/>
          <w:sz w:val="21"/>
          <w:szCs w:val="21"/>
          <w:b w:val="1"/>
          <w:bCs w:val="1"/>
          <w:color w:val="010000"/>
        </w:rPr>
        <w:t xml:space="preserve"> </w:t>
      </w:r>
      <w:r>
        <w:rPr>
          <w:rFonts w:ascii="Arial" w:cs="Arial" w:eastAsia="Arial" w:hAnsi="Arial"/>
          <w:sz w:val="21"/>
          <w:szCs w:val="21"/>
          <w:color w:val="010000"/>
        </w:rPr>
        <w:t>state or foreign securities or other laws, rules or regulations (including the rules of any securities exchange) as may be determined by the Company to be applicable are satisfied. If the Participant is resident or employed outside of the United States, neither the grant of the RSUs under the Plan nor the issuance of the underlying Shares upon settlement of the RSUs is intended to be a public offering of securities in the Participant’s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34"/>
        </w:trPr>
        <w:tc>
          <w:tcPr>
            <w:tcW w:w="792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23" w:name="page124"/>
    <w:bookmarkEnd w:id="123"/>
    <w:p>
      <w:pPr>
        <w:jc w:val="both"/>
        <w:ind w:right="40" w:firstLine="882"/>
        <w:spacing w:after="0" w:line="269" w:lineRule="auto"/>
        <w:tabs>
          <w:tab w:leader="none" w:pos="1757" w:val="left"/>
        </w:tabs>
        <w:numPr>
          <w:ilvl w:val="0"/>
          <w:numId w:val="15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010000"/>
        </w:rPr>
        <w:t>Legal Requirements and Risks</w:t>
      </w:r>
      <w:r>
        <w:rPr>
          <w:rFonts w:ascii="Arial" w:cs="Arial" w:eastAsia="Arial" w:hAnsi="Arial"/>
          <w:sz w:val="19"/>
          <w:szCs w:val="19"/>
          <w:b w:val="1"/>
          <w:bCs w:val="1"/>
          <w:color w:val="010000"/>
        </w:rPr>
        <w:t xml:space="preserve">. </w:t>
      </w:r>
      <w:r>
        <w:rPr>
          <w:rFonts w:ascii="Arial" w:cs="Arial" w:eastAsia="Arial" w:hAnsi="Arial"/>
          <w:sz w:val="19"/>
          <w:szCs w:val="19"/>
          <w:color w:val="010000"/>
        </w:rPr>
        <w:t>No employee of the Company or a Subsidiary is permitted to advise the</w:t>
      </w:r>
      <w:r>
        <w:rPr>
          <w:rFonts w:ascii="Arial" w:cs="Arial" w:eastAsia="Arial" w:hAnsi="Arial"/>
          <w:sz w:val="19"/>
          <w:szCs w:val="19"/>
          <w:b w:val="1"/>
          <w:bCs w:val="1"/>
          <w:color w:val="010000"/>
        </w:rPr>
        <w:t xml:space="preserve"> </w:t>
      </w:r>
      <w:r>
        <w:rPr>
          <w:rFonts w:ascii="Arial" w:cs="Arial" w:eastAsia="Arial" w:hAnsi="Arial"/>
          <w:sz w:val="19"/>
          <w:szCs w:val="19"/>
          <w:color w:val="010000"/>
        </w:rPr>
        <w:t>Participant on whether the Participant should acquire Shares under the Plan. Acquiring Shares involves a degree of risk. Before deciding to acquire Shares pursuant to the RSUs, the Participant should carefully consider all risk factors relevant to the acquisition of Shares under the Plan and the Participant should carefully review all of the materials related to the RSUs and the Plan. In addition, the Participant should consult with the Participant’s own financial advisor and legal advisor for professional investment advice.</w:t>
      </w:r>
    </w:p>
    <w:p>
      <w:pPr>
        <w:spacing w:after="0" w:line="145" w:lineRule="exact"/>
        <w:rPr>
          <w:rFonts w:ascii="Arial" w:cs="Arial" w:eastAsia="Arial" w:hAnsi="Arial"/>
          <w:sz w:val="19"/>
          <w:szCs w:val="19"/>
          <w:b w:val="1"/>
          <w:bCs w:val="1"/>
          <w:color w:val="010000"/>
        </w:rPr>
      </w:pPr>
    </w:p>
    <w:p>
      <w:pPr>
        <w:jc w:val="both"/>
        <w:ind w:right="40" w:firstLine="882"/>
        <w:spacing w:after="0"/>
        <w:tabs>
          <w:tab w:leader="none" w:pos="1757" w:val="left"/>
        </w:tabs>
        <w:numPr>
          <w:ilvl w:val="0"/>
          <w:numId w:val="15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Electronic Delivery/Acceptance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may, in its sole discretion, decide to deliver any documents related</w:t>
      </w:r>
      <w:r>
        <w:rPr>
          <w:rFonts w:ascii="Arial" w:cs="Arial" w:eastAsia="Arial" w:hAnsi="Arial"/>
          <w:sz w:val="21"/>
          <w:szCs w:val="21"/>
          <w:b w:val="1"/>
          <w:bCs w:val="1"/>
          <w:color w:val="010000"/>
        </w:rPr>
        <w:t xml:space="preserve"> </w:t>
      </w:r>
      <w:r>
        <w:rPr>
          <w:rFonts w:ascii="Arial" w:cs="Arial" w:eastAsia="Arial" w:hAnsi="Arial"/>
          <w:sz w:val="21"/>
          <w:szCs w:val="21"/>
          <w:color w:val="010000"/>
        </w:rPr>
        <w:t>to the RSUs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010000"/>
        </w:rPr>
      </w:pPr>
    </w:p>
    <w:p>
      <w:pPr>
        <w:ind w:left="1760" w:hanging="878"/>
        <w:spacing w:after="0"/>
        <w:tabs>
          <w:tab w:leader="none" w:pos="1760" w:val="left"/>
        </w:tabs>
        <w:numPr>
          <w:ilvl w:val="0"/>
          <w:numId w:val="15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Consent to Collection, Processing and Transfer of Personal Data.</w:t>
      </w:r>
    </w:p>
    <w:p>
      <w:pPr>
        <w:spacing w:after="0" w:line="204" w:lineRule="exact"/>
        <w:rPr>
          <w:sz w:val="20"/>
          <w:szCs w:val="20"/>
          <w:color w:val="auto"/>
        </w:rPr>
      </w:pPr>
    </w:p>
    <w:p>
      <w:pPr>
        <w:jc w:val="both"/>
        <w:ind w:right="40" w:firstLine="882"/>
        <w:spacing w:after="0" w:line="248" w:lineRule="auto"/>
        <w:tabs>
          <w:tab w:leader="none" w:pos="1728" w:val="left"/>
        </w:tabs>
        <w:numPr>
          <w:ilvl w:val="0"/>
          <w:numId w:val="156"/>
        </w:numPr>
        <w:rPr>
          <w:rFonts w:ascii="Arial" w:cs="Arial" w:eastAsia="Arial" w:hAnsi="Arial"/>
          <w:sz w:val="20"/>
          <w:szCs w:val="20"/>
          <w:color w:val="010000"/>
        </w:rPr>
      </w:pPr>
      <w:r>
        <w:rPr>
          <w:rFonts w:ascii="Arial" w:cs="Arial" w:eastAsia="Arial" w:hAnsi="Arial"/>
          <w:sz w:val="20"/>
          <w:szCs w:val="20"/>
          <w:color w:val="010000"/>
        </w:rPr>
        <w:t>Pursuant to applicable personal data protection laws, the Company and the Employer (if different) hereby notify the Participant of the following in relation to the Participant’s personal data and the collection, processing and transfer of such data in relation to the Company’s grant of this Award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The Participant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010000"/>
        </w:rPr>
      </w:pPr>
    </w:p>
    <w:p>
      <w:pPr>
        <w:jc w:val="both"/>
        <w:ind w:right="40" w:firstLine="882"/>
        <w:spacing w:after="0" w:line="260" w:lineRule="auto"/>
        <w:tabs>
          <w:tab w:leader="none" w:pos="1739" w:val="left"/>
        </w:tabs>
        <w:numPr>
          <w:ilvl w:val="0"/>
          <w:numId w:val="156"/>
        </w:numPr>
        <w:rPr>
          <w:rFonts w:ascii="Arial" w:cs="Arial" w:eastAsia="Arial" w:hAnsi="Arial"/>
          <w:sz w:val="19"/>
          <w:szCs w:val="19"/>
          <w:color w:val="010000"/>
        </w:rPr>
      </w:pPr>
      <w:r>
        <w:rPr>
          <w:rFonts w:ascii="Arial" w:cs="Arial" w:eastAsia="Arial" w:hAnsi="Arial"/>
          <w:sz w:val="19"/>
          <w:szCs w:val="19"/>
          <w:color w:val="010000"/>
        </w:rPr>
        <w:t>The Company and the Employer (if different)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awards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and Employer (if different)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34"/>
        </w:trPr>
        <w:tc>
          <w:tcPr>
            <w:tcW w:w="792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24" w:name="page125"/>
    <w:bookmarkEnd w:id="124"/>
    <w:p>
      <w:pPr>
        <w:jc w:val="both"/>
        <w:ind w:right="40" w:firstLine="882"/>
        <w:spacing w:after="0" w:line="247" w:lineRule="auto"/>
        <w:tabs>
          <w:tab w:leader="none" w:pos="1728" w:val="left"/>
        </w:tabs>
        <w:numPr>
          <w:ilvl w:val="0"/>
          <w:numId w:val="157"/>
        </w:numPr>
        <w:rPr>
          <w:rFonts w:ascii="Arial" w:cs="Arial" w:eastAsia="Arial" w:hAnsi="Arial"/>
          <w:sz w:val="20"/>
          <w:szCs w:val="20"/>
          <w:color w:val="010000"/>
        </w:rPr>
      </w:pPr>
      <w:r>
        <w:rPr>
          <w:rFonts w:ascii="Arial" w:cs="Arial" w:eastAsia="Arial" w:hAnsi="Arial"/>
          <w:sz w:val="20"/>
          <w:szCs w:val="20"/>
          <w:color w:val="010000"/>
        </w:rPr>
        <w:t>The Company and the Employer (if different) will transfer Data amongst themselves as necessary for the purpose of implementation, administration and management of the Participant’s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69" w:lineRule="exact"/>
        <w:rPr>
          <w:rFonts w:ascii="Arial" w:cs="Arial" w:eastAsia="Arial" w:hAnsi="Arial"/>
          <w:sz w:val="20"/>
          <w:szCs w:val="20"/>
          <w:color w:val="010000"/>
        </w:rPr>
      </w:pPr>
    </w:p>
    <w:p>
      <w:pPr>
        <w:jc w:val="both"/>
        <w:ind w:right="40" w:firstLine="882"/>
        <w:spacing w:after="0" w:line="249" w:lineRule="auto"/>
        <w:tabs>
          <w:tab w:leader="none" w:pos="1739" w:val="left"/>
        </w:tabs>
        <w:numPr>
          <w:ilvl w:val="0"/>
          <w:numId w:val="157"/>
        </w:numPr>
        <w:rPr>
          <w:rFonts w:ascii="Arial" w:cs="Arial" w:eastAsia="Arial" w:hAnsi="Arial"/>
          <w:sz w:val="20"/>
          <w:szCs w:val="20"/>
          <w:color w:val="010000"/>
        </w:rPr>
      </w:pPr>
      <w:r>
        <w:rPr>
          <w:rFonts w:ascii="Arial" w:cs="Arial" w:eastAsia="Arial" w:hAnsi="Arial"/>
          <w:sz w:val="20"/>
          <w:szCs w:val="20"/>
          <w:color w:val="010000"/>
        </w:rPr>
        <w:t>The Participant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Company’s Corporate Secretary’s Department.</w:t>
      </w:r>
    </w:p>
    <w:p>
      <w:pPr>
        <w:spacing w:after="0" w:line="164" w:lineRule="exact"/>
        <w:rPr>
          <w:sz w:val="20"/>
          <w:szCs w:val="20"/>
          <w:color w:val="auto"/>
        </w:rPr>
      </w:pPr>
    </w:p>
    <w:p>
      <w:pPr>
        <w:jc w:val="both"/>
        <w:ind w:right="40" w:firstLine="882"/>
        <w:spacing w:after="0" w:line="253" w:lineRule="auto"/>
        <w:tabs>
          <w:tab w:leader="none" w:pos="1757" w:val="left"/>
        </w:tabs>
        <w:numPr>
          <w:ilvl w:val="0"/>
          <w:numId w:val="15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English Language</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Participant acknowledges and agrees that it is the Participant’s express intent that the</w:t>
      </w:r>
      <w:r>
        <w:rPr>
          <w:rFonts w:ascii="Arial" w:cs="Arial" w:eastAsia="Arial" w:hAnsi="Arial"/>
          <w:sz w:val="20"/>
          <w:szCs w:val="20"/>
          <w:b w:val="1"/>
          <w:bCs w:val="1"/>
          <w:color w:val="010000"/>
        </w:rPr>
        <w:t xml:space="preserve"> </w:t>
      </w:r>
      <w:r>
        <w:rPr>
          <w:rFonts w:ascii="Arial" w:cs="Arial" w:eastAsia="Arial" w:hAnsi="Arial"/>
          <w:sz w:val="20"/>
          <w:szCs w:val="20"/>
          <w:color w:val="010000"/>
        </w:rPr>
        <w:t>Notice of Grant of Award, the Award Agreement, the Plan and all other documents, notices and legal proceedings entered into, given or instituted pursuant to the RSUs, be drawn up in English. If the Participant has received the Notice of Grant of Award</w:t>
      </w:r>
      <w:r>
        <w:rPr>
          <w:rFonts w:ascii="Arial" w:cs="Arial" w:eastAsia="Arial" w:hAnsi="Arial"/>
          <w:sz w:val="16"/>
          <w:szCs w:val="16"/>
          <w:color w:val="010000"/>
        </w:rPr>
        <w:t>,</w:t>
      </w:r>
      <w:r>
        <w:rPr>
          <w:rFonts w:ascii="Arial" w:cs="Arial" w:eastAsia="Arial" w:hAnsi="Arial"/>
          <w:sz w:val="20"/>
          <w:szCs w:val="20"/>
          <w:color w:val="010000"/>
        </w:rPr>
        <w:t xml:space="preserve"> Award Agreement, the Plan or any other documents related to the RSUs translated into a language other than English, and if the meaning of the translated version is different than the English version, the English version will control.</w:t>
      </w:r>
    </w:p>
    <w:p>
      <w:pPr>
        <w:spacing w:after="0" w:line="157" w:lineRule="exact"/>
        <w:rPr>
          <w:rFonts w:ascii="Arial" w:cs="Arial" w:eastAsia="Arial" w:hAnsi="Arial"/>
          <w:sz w:val="20"/>
          <w:szCs w:val="20"/>
          <w:b w:val="1"/>
          <w:bCs w:val="1"/>
          <w:color w:val="010000"/>
        </w:rPr>
      </w:pPr>
    </w:p>
    <w:p>
      <w:pPr>
        <w:jc w:val="both"/>
        <w:ind w:right="40" w:firstLine="882"/>
        <w:spacing w:after="0"/>
        <w:tabs>
          <w:tab w:leader="none" w:pos="1757" w:val="left"/>
        </w:tabs>
        <w:numPr>
          <w:ilvl w:val="0"/>
          <w:numId w:val="15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Governing Law; Venue</w:t>
      </w:r>
      <w:r>
        <w:rPr>
          <w:rFonts w:ascii="Arial" w:cs="Arial" w:eastAsia="Arial" w:hAnsi="Arial"/>
          <w:sz w:val="21"/>
          <w:szCs w:val="21"/>
          <w:b w:val="1"/>
          <w:bCs w:val="1"/>
          <w:color w:val="010000"/>
        </w:rPr>
        <w:t xml:space="preserve">. </w:t>
      </w:r>
      <w:r>
        <w:rPr>
          <w:rFonts w:ascii="Arial" w:cs="Arial" w:eastAsia="Arial" w:hAnsi="Arial"/>
          <w:sz w:val="21"/>
          <w:szCs w:val="21"/>
          <w:color w:val="010000"/>
        </w:rPr>
        <w:t>All questions concerning the validity, construction and effect of this Award Agreement</w:t>
      </w:r>
      <w:r>
        <w:rPr>
          <w:rFonts w:ascii="Arial" w:cs="Arial" w:eastAsia="Arial" w:hAnsi="Arial"/>
          <w:sz w:val="21"/>
          <w:szCs w:val="21"/>
          <w:b w:val="1"/>
          <w:bCs w:val="1"/>
          <w:color w:val="010000"/>
        </w:rPr>
        <w:t xml:space="preserve"> </w:t>
      </w:r>
      <w:r>
        <w:rPr>
          <w:rFonts w:ascii="Arial" w:cs="Arial" w:eastAsia="Arial" w:hAnsi="Arial"/>
          <w:sz w:val="21"/>
          <w:szCs w:val="21"/>
          <w:color w:val="010000"/>
        </w:rPr>
        <w:t>shall be governed by the laws of the State of Delaware, without reference to principles of conflict of laws. Any dispute concerning this Award Agreement will be resolved exclusively in the state or federal courts in Harris County, Texas, and the Participant agrees to exclusive venue and jurisdiction in such courts as a condition of receiving this Award.</w:t>
      </w:r>
    </w:p>
    <w:p>
      <w:pPr>
        <w:spacing w:after="0" w:line="171" w:lineRule="exact"/>
        <w:rPr>
          <w:rFonts w:ascii="Arial" w:cs="Arial" w:eastAsia="Arial" w:hAnsi="Arial"/>
          <w:sz w:val="21"/>
          <w:szCs w:val="21"/>
          <w:b w:val="1"/>
          <w:bCs w:val="1"/>
          <w:color w:val="010000"/>
        </w:rPr>
      </w:pPr>
    </w:p>
    <w:p>
      <w:pPr>
        <w:jc w:val="both"/>
        <w:ind w:right="40" w:firstLine="882"/>
        <w:spacing w:after="0" w:line="235" w:lineRule="auto"/>
        <w:tabs>
          <w:tab w:leader="none" w:pos="1757" w:val="left"/>
        </w:tabs>
        <w:numPr>
          <w:ilvl w:val="0"/>
          <w:numId w:val="15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Appendix</w:t>
      </w:r>
      <w:r>
        <w:rPr>
          <w:rFonts w:ascii="Arial" w:cs="Arial" w:eastAsia="Arial" w:hAnsi="Arial"/>
          <w:sz w:val="21"/>
          <w:szCs w:val="21"/>
          <w:b w:val="1"/>
          <w:bCs w:val="1"/>
          <w:color w:val="010000"/>
        </w:rPr>
        <w:t xml:space="preserve">. </w:t>
      </w:r>
      <w:r>
        <w:rPr>
          <w:rFonts w:ascii="Arial" w:cs="Arial" w:eastAsia="Arial" w:hAnsi="Arial"/>
          <w:sz w:val="21"/>
          <w:szCs w:val="21"/>
          <w:color w:val="010000"/>
        </w:rPr>
        <w:t>Notwithstanding any provisions of this Award Agreement to the contrary, the RSUs shall be subject to</w:t>
      </w:r>
      <w:r>
        <w:rPr>
          <w:rFonts w:ascii="Arial" w:cs="Arial" w:eastAsia="Arial" w:hAnsi="Arial"/>
          <w:sz w:val="21"/>
          <w:szCs w:val="21"/>
          <w:b w:val="1"/>
          <w:bCs w:val="1"/>
          <w:color w:val="010000"/>
        </w:rPr>
        <w:t xml:space="preserve"> </w:t>
      </w:r>
      <w:r>
        <w:rPr>
          <w:rFonts w:ascii="Arial" w:cs="Arial" w:eastAsia="Arial" w:hAnsi="Arial"/>
          <w:sz w:val="21"/>
          <w:szCs w:val="21"/>
          <w:color w:val="010000"/>
        </w:rPr>
        <w:t>such special terms and conditions for the Participant’s country of residence (and country of employment, if different), as are set forth in the appendix to this Award Agreement (the “Appendix”). Further, if the Participant transfers residency and/or employment to another country, any special terms and conditions for such country will apply to the RSUs to the extent the Company determines, in its sole discretion, that the application of such terms and conditions is necessary or advisable in order to comply with local law or to facilitate the operation and administration of the RSUs and the Plan (or the Company may establish alternative terms and conditions as may be necessary or advisable to accommodate the Participant’s transfer). In all circumstances, the Appendix shall constitute part of this Award Agreement.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34"/>
        </w:trPr>
        <w:tc>
          <w:tcPr>
            <w:tcW w:w="7920" w:type="dxa"/>
            <w:vAlign w:val="bottom"/>
            <w:tcBorders>
              <w:bottom w:val="single" w:sz="8" w:color="9A9A9A"/>
            </w:tcBorders>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25" w:name="page126"/>
    <w:bookmarkEnd w:id="125"/>
    <w:p>
      <w:pPr>
        <w:jc w:val="both"/>
        <w:ind w:firstLine="882"/>
        <w:spacing w:after="0" w:line="253" w:lineRule="auto"/>
        <w:tabs>
          <w:tab w:leader="none" w:pos="1757" w:val="left"/>
        </w:tabs>
        <w:numPr>
          <w:ilvl w:val="0"/>
          <w:numId w:val="15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010000"/>
        </w:rPr>
        <w:t>Additional Requirements</w:t>
      </w:r>
      <w:r>
        <w:rPr>
          <w:rFonts w:ascii="Arial" w:cs="Arial" w:eastAsia="Arial" w:hAnsi="Arial"/>
          <w:sz w:val="20"/>
          <w:szCs w:val="20"/>
          <w:b w:val="1"/>
          <w:bCs w:val="1"/>
          <w:color w:val="010000"/>
        </w:rPr>
        <w:t xml:space="preserve">. </w:t>
      </w:r>
      <w:r>
        <w:rPr>
          <w:rFonts w:ascii="Arial" w:cs="Arial" w:eastAsia="Arial" w:hAnsi="Arial"/>
          <w:sz w:val="20"/>
          <w:szCs w:val="20"/>
          <w:color w:val="010000"/>
        </w:rPr>
        <w:t>The Company reserves the right to impose other requirements on the RSUs, any Shares</w:t>
      </w:r>
      <w:r>
        <w:rPr>
          <w:rFonts w:ascii="Arial" w:cs="Arial" w:eastAsia="Arial" w:hAnsi="Arial"/>
          <w:sz w:val="20"/>
          <w:szCs w:val="20"/>
          <w:b w:val="1"/>
          <w:bCs w:val="1"/>
          <w:color w:val="010000"/>
        </w:rPr>
        <w:t xml:space="preserve"> </w:t>
      </w:r>
      <w:r>
        <w:rPr>
          <w:rFonts w:ascii="Arial" w:cs="Arial" w:eastAsia="Arial" w:hAnsi="Arial"/>
          <w:sz w:val="20"/>
          <w:szCs w:val="20"/>
          <w:color w:val="010000"/>
        </w:rPr>
        <w:t>acquired pursuant to the RSUs, and the Participant’s participation in the Plan, to the extent the Company determines, in its sole discretion, that such other requirements are necessary or advisable in order to comply with local law or to facilitate the operation and administration of the RSUs and the Plan. Such requirements may include (but are not limited to) requiring the Participant to sign any agreements or undertakings that may be necessary to accomplish the foregoing.</w:t>
      </w:r>
    </w:p>
    <w:p>
      <w:pPr>
        <w:spacing w:after="0" w:line="157" w:lineRule="exact"/>
        <w:rPr>
          <w:rFonts w:ascii="Arial" w:cs="Arial" w:eastAsia="Arial" w:hAnsi="Arial"/>
          <w:sz w:val="20"/>
          <w:szCs w:val="20"/>
          <w:b w:val="1"/>
          <w:bCs w:val="1"/>
          <w:color w:val="010000"/>
        </w:rPr>
      </w:pPr>
    </w:p>
    <w:p>
      <w:pPr>
        <w:ind w:left="1760" w:hanging="878"/>
        <w:spacing w:after="0"/>
        <w:tabs>
          <w:tab w:leader="none" w:pos="1760" w:val="left"/>
        </w:tabs>
        <w:numPr>
          <w:ilvl w:val="0"/>
          <w:numId w:val="159"/>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Section 409A.</w:t>
      </w:r>
    </w:p>
    <w:p>
      <w:pPr>
        <w:spacing w:after="0" w:line="204" w:lineRule="exact"/>
        <w:rPr>
          <w:sz w:val="20"/>
          <w:szCs w:val="20"/>
          <w:color w:val="auto"/>
        </w:rPr>
      </w:pPr>
    </w:p>
    <w:p>
      <w:pPr>
        <w:jc w:val="both"/>
        <w:ind w:firstLine="882"/>
        <w:spacing w:after="0" w:line="262" w:lineRule="auto"/>
        <w:tabs>
          <w:tab w:leader="none" w:pos="1728" w:val="left"/>
        </w:tabs>
        <w:numPr>
          <w:ilvl w:val="0"/>
          <w:numId w:val="160"/>
        </w:numPr>
        <w:rPr>
          <w:rFonts w:ascii="Arial" w:cs="Arial" w:eastAsia="Arial" w:hAnsi="Arial"/>
          <w:sz w:val="19"/>
          <w:szCs w:val="19"/>
          <w:color w:val="010000"/>
        </w:rPr>
      </w:pPr>
      <w:r>
        <w:rPr>
          <w:rFonts w:ascii="Arial" w:cs="Arial" w:eastAsia="Arial" w:hAnsi="Arial"/>
          <w:sz w:val="19"/>
          <w:szCs w:val="19"/>
          <w:color w:val="010000"/>
        </w:rPr>
        <w:t>This Award is intended to comply with Section 409A of the Code and ambiguous provisions, if any, shall be construed in a manner that is compliant with or exempt from the application of Section 409A, as appropriate. This Award shall not be amended or terminated in a manner that would cause the Award or any amounts payable under the Award to fail to comply with the requirements of Section 409A, to the extent applicable, and, further, the provisions of any purported amendment that may reasonably be expected to result in such non-compliance shall be of no force or effect with respect to the Award. The Company shall neither cause nor permit any payment, benefit or consideration to be substituted for a benefit that is payable under this Award if such action would result in the failure of any amount that is subject to Section 409A to comply with the applicable requirements of Section 409A. For purposes of Section 409A, each payment under this Award shall be deemed to be a separate payment.</w:t>
      </w:r>
    </w:p>
    <w:p>
      <w:pPr>
        <w:spacing w:after="0" w:line="159" w:lineRule="exact"/>
        <w:rPr>
          <w:rFonts w:ascii="Arial" w:cs="Arial" w:eastAsia="Arial" w:hAnsi="Arial"/>
          <w:sz w:val="19"/>
          <w:szCs w:val="19"/>
          <w:color w:val="010000"/>
        </w:rPr>
      </w:pPr>
    </w:p>
    <w:p>
      <w:pPr>
        <w:jc w:val="both"/>
        <w:ind w:firstLine="882"/>
        <w:spacing w:after="0" w:line="263" w:lineRule="auto"/>
        <w:tabs>
          <w:tab w:leader="none" w:pos="1739" w:val="left"/>
        </w:tabs>
        <w:numPr>
          <w:ilvl w:val="0"/>
          <w:numId w:val="160"/>
        </w:numPr>
        <w:rPr>
          <w:rFonts w:ascii="Arial" w:cs="Arial" w:eastAsia="Arial" w:hAnsi="Arial"/>
          <w:sz w:val="19"/>
          <w:szCs w:val="19"/>
          <w:color w:val="010000"/>
        </w:rPr>
      </w:pPr>
      <w:r>
        <w:rPr>
          <w:rFonts w:ascii="Arial" w:cs="Arial" w:eastAsia="Arial" w:hAnsi="Arial"/>
          <w:sz w:val="19"/>
          <w:szCs w:val="19"/>
          <w:color w:val="010000"/>
        </w:rPr>
        <w:t>Notwithstanding any provision of the Award to the contrary, if the Participant is a “specified employee” within the meaning of Section 409A as of the date of the Participant’s termination of employment and the Company determines, in good faith, that immediate payments of any amounts or benefits would cause a violation of Section 409A, then any amounts or benefits which are payable under this Award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pacing w:after="0" w:line="153" w:lineRule="exact"/>
        <w:rPr>
          <w:sz w:val="20"/>
          <w:szCs w:val="20"/>
          <w:color w:val="auto"/>
        </w:rPr>
      </w:pPr>
    </w:p>
    <w:p>
      <w:pPr>
        <w:jc w:val="both"/>
        <w:ind w:firstLine="882"/>
        <w:spacing w:after="0"/>
        <w:tabs>
          <w:tab w:leader="none" w:pos="1757" w:val="left"/>
        </w:tabs>
        <w:numPr>
          <w:ilvl w:val="0"/>
          <w:numId w:val="16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010000"/>
        </w:rPr>
        <w:t>Not Providing Advice.</w:t>
      </w:r>
      <w:r>
        <w:rPr>
          <w:rFonts w:ascii="Arial" w:cs="Arial" w:eastAsia="Arial" w:hAnsi="Arial"/>
          <w:sz w:val="21"/>
          <w:szCs w:val="21"/>
          <w:b w:val="1"/>
          <w:bCs w:val="1"/>
          <w:color w:val="010000"/>
        </w:rPr>
        <w:t xml:space="preserve"> </w:t>
      </w:r>
      <w:r>
        <w:rPr>
          <w:rFonts w:ascii="Arial" w:cs="Arial" w:eastAsia="Arial" w:hAnsi="Arial"/>
          <w:sz w:val="21"/>
          <w:szCs w:val="21"/>
          <w:color w:val="010000"/>
        </w:rPr>
        <w:t>The Company is not providing any tax, legal or financial advice, nor is the Company</w:t>
      </w:r>
      <w:r>
        <w:rPr>
          <w:rFonts w:ascii="Arial" w:cs="Arial" w:eastAsia="Arial" w:hAnsi="Arial"/>
          <w:sz w:val="21"/>
          <w:szCs w:val="21"/>
          <w:b w:val="1"/>
          <w:bCs w:val="1"/>
          <w:color w:val="010000"/>
        </w:rPr>
        <w:t xml:space="preserve"> </w:t>
      </w:r>
      <w:r>
        <w:rPr>
          <w:rFonts w:ascii="Arial" w:cs="Arial" w:eastAsia="Arial" w:hAnsi="Arial"/>
          <w:sz w:val="21"/>
          <w:szCs w:val="21"/>
          <w:color w:val="010000"/>
        </w:rPr>
        <w:t>making any recommendations regarding Participant’s participation in the Plan, or Participant’s acquisition or sale of the Shares underlying the RSUs. Participant is hereby advised to consult with his or her own personal tax, legal and financial advisors regarding his or her participation in the Plan before taking any action related to the Plan.</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______________________________________</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20"/>
                <w:szCs w:val="20"/>
                <w:color w:val="auto"/>
              </w:rPr>
            </w:pPr>
            <w:r>
              <w:rPr>
                <w:rFonts w:ascii="Arial" w:cs="Arial" w:eastAsia="Arial" w:hAnsi="Arial"/>
                <w:sz w:val="14"/>
                <w:szCs w:val="14"/>
                <w:color w:val="auto"/>
              </w:rPr>
              <w:t>20151014.011 Chief Executive Officer RSU Award Agreement October 14, 2015</w:t>
            </w:r>
          </w:p>
        </w:tc>
        <w:tc>
          <w:tcPr>
            <w:tcW w:w="3500" w:type="dxa"/>
            <w:vAlign w:val="bottom"/>
          </w:tcPr>
          <w:p>
            <w:pPr>
              <w:jc w:val="right"/>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11420"/>
          </w:cols>
          <w:pgMar w:left="240" w:top="319" w:right="239" w:bottom="1440" w:gutter="0" w:footer="0" w:header="0"/>
        </w:sectPr>
      </w:pPr>
    </w:p>
    <w:bookmarkStart w:id="126" w:name="page127"/>
    <w:bookmarkEnd w:id="126"/>
    <w:p>
      <w:pPr>
        <w:jc w:val="right"/>
        <w:ind w:right="40"/>
        <w:spacing w:after="0"/>
        <w:rPr>
          <w:sz w:val="20"/>
          <w:szCs w:val="20"/>
          <w:color w:val="auto"/>
        </w:rPr>
      </w:pPr>
      <w:r>
        <w:rPr>
          <w:rFonts w:ascii="Arial" w:cs="Arial" w:eastAsia="Arial" w:hAnsi="Arial"/>
          <w:sz w:val="21"/>
          <w:szCs w:val="21"/>
          <w:color w:val="auto"/>
        </w:rPr>
        <w:t>Exhibit 10.38</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i w:val="1"/>
          <w:iCs w:val="1"/>
          <w:color w:val="auto"/>
        </w:rPr>
        <w:t>STOCK OPTION AGREEMENT</w:t>
      </w:r>
    </w:p>
    <w:p>
      <w:pPr>
        <w:spacing w:after="0" w:line="174" w:lineRule="exact"/>
        <w:rPr>
          <w:sz w:val="20"/>
          <w:szCs w:val="20"/>
          <w:color w:val="auto"/>
        </w:rPr>
      </w:pPr>
    </w:p>
    <w:tbl>
      <w:tblPr>
        <w:tblLayout w:type="fixed"/>
        <w:tblInd w:w="452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21"/>
                <w:szCs w:val="21"/>
                <w:b w:val="1"/>
                <w:bCs w:val="1"/>
                <w:color w:val="auto"/>
              </w:rPr>
              <w:t>Effective Date: [</w:t>
            </w:r>
          </w:p>
        </w:tc>
        <w:tc>
          <w:tcPr>
            <w:tcW w:w="740" w:type="dxa"/>
            <w:vAlign w:val="bottom"/>
          </w:tcPr>
          <w:p>
            <w:pPr>
              <w:jc w:val="right"/>
              <w:spacing w:after="0"/>
              <w:rPr>
                <w:sz w:val="20"/>
                <w:szCs w:val="20"/>
                <w:color w:val="auto"/>
              </w:rPr>
            </w:pPr>
            <w:r>
              <w:rPr>
                <w:rFonts w:ascii="Arial" w:cs="Arial" w:eastAsia="Arial" w:hAnsi="Arial"/>
                <w:sz w:val="21"/>
                <w:szCs w:val="21"/>
                <w:b w:val="1"/>
                <w:bCs w:val="1"/>
                <w:color w:val="auto"/>
              </w:rPr>
              <w:t>], 2015</w:t>
            </w:r>
          </w:p>
        </w:tc>
      </w:tr>
    </w:tbl>
    <w:p>
      <w:pPr>
        <w:spacing w:after="0" w:line="169" w:lineRule="exact"/>
        <w:rPr>
          <w:sz w:val="20"/>
          <w:szCs w:val="20"/>
          <w:color w:val="auto"/>
        </w:rPr>
      </w:pPr>
    </w:p>
    <w:p>
      <w:pPr>
        <w:jc w:val="both"/>
        <w:ind w:right="40" w:firstLine="882"/>
        <w:spacing w:after="0" w:line="247" w:lineRule="auto"/>
        <w:tabs>
          <w:tab w:leader="none" w:pos="1653"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As an additional incentive and inducement to you to remain in the employment of Cameron International</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(the “Company”) to acquire an ownership position in the Company, thereby aligning your interests with those of the Company and its stockholders, the Company hereby grants to you, the “Optionee”, the option to purchase common stock of the Company from the Company (the “Options”) at the times and upon the terms and conditions set forth on the attached Notice of Grant of Stock Options and this Option Agreement (the “Agreement”), subject to your acceptance of this Agreement in writing or electronically in the manner prescribed by the Company or its third party administrator. The Options are not intended to be incentive stock options granted in accordance with Code Section 422. For purposes of this Agreement, “Employer” means the Company or any successor of the Company or any affiliate of either that employs the Optionee on the applicable date. All capitalized terms not defined in this Agreement shall have the same meaning as set forth in the Plan.</w:t>
      </w:r>
    </w:p>
    <w:p>
      <w:pPr>
        <w:spacing w:after="0" w:line="169" w:lineRule="exact"/>
        <w:rPr>
          <w:rFonts w:ascii="Arial" w:cs="Arial" w:eastAsia="Arial" w:hAnsi="Arial"/>
          <w:sz w:val="20"/>
          <w:szCs w:val="20"/>
          <w:b w:val="1"/>
          <w:bCs w:val="1"/>
          <w:color w:val="auto"/>
        </w:rPr>
      </w:pPr>
    </w:p>
    <w:p>
      <w:pPr>
        <w:jc w:val="both"/>
        <w:ind w:right="40" w:firstLine="882"/>
        <w:spacing w:after="0"/>
        <w:tabs>
          <w:tab w:leader="none" w:pos="1653" w:val="left"/>
        </w:tabs>
        <w:numPr>
          <w:ilvl w:val="0"/>
          <w:numId w:val="1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Equity Incentive Plan </w:t>
      </w:r>
      <w:r>
        <w:rPr>
          <w:rFonts w:ascii="Arial" w:cs="Arial" w:eastAsia="Arial" w:hAnsi="Arial"/>
          <w:sz w:val="21"/>
          <w:szCs w:val="21"/>
          <w:color w:val="auto"/>
        </w:rPr>
        <w:t>(the “Plan”), as indicated in your Notice of Grant of Stock Options. A copy of the Plan is available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Corporate Secretary upon request. In the event there is a conflict between the terms of the Plan and this Agreement, the terms of the Plan shall control.</w:t>
      </w:r>
    </w:p>
    <w:p>
      <w:pPr>
        <w:spacing w:after="0" w:line="171" w:lineRule="exact"/>
        <w:rPr>
          <w:rFonts w:ascii="Arial" w:cs="Arial" w:eastAsia="Arial" w:hAnsi="Arial"/>
          <w:sz w:val="21"/>
          <w:szCs w:val="21"/>
          <w:b w:val="1"/>
          <w:bCs w:val="1"/>
          <w:color w:val="auto"/>
        </w:rPr>
      </w:pPr>
    </w:p>
    <w:p>
      <w:pPr>
        <w:ind w:left="1660" w:hanging="778"/>
        <w:spacing w:after="0"/>
        <w:tabs>
          <w:tab w:leader="none" w:pos="1660"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the Shares of the Company’s common stock subject to the Agreement shall</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73" w:lineRule="exact"/>
        <w:rPr>
          <w:rFonts w:ascii="Arial" w:cs="Arial" w:eastAsia="Arial" w:hAnsi="Arial"/>
          <w:sz w:val="19"/>
          <w:szCs w:val="19"/>
          <w:b w:val="1"/>
          <w:bCs w:val="1"/>
          <w:color w:val="auto"/>
        </w:rPr>
      </w:pPr>
    </w:p>
    <w:p>
      <w:pPr>
        <w:ind w:left="1660" w:hanging="778"/>
        <w:spacing w:after="0"/>
        <w:tabs>
          <w:tab w:leader="none" w:pos="1660" w:val="left"/>
        </w:tabs>
        <w:numPr>
          <w:ilvl w:val="0"/>
          <w:numId w:val="1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 and Exercisability.</w:t>
      </w:r>
    </w:p>
    <w:p>
      <w:pPr>
        <w:spacing w:after="0" w:line="204" w:lineRule="exact"/>
        <w:rPr>
          <w:sz w:val="20"/>
          <w:szCs w:val="20"/>
          <w:color w:val="auto"/>
        </w:rPr>
      </w:pPr>
    </w:p>
    <w:p>
      <w:pPr>
        <w:jc w:val="both"/>
        <w:ind w:right="40" w:firstLine="882"/>
        <w:spacing w:after="0" w:line="274" w:lineRule="auto"/>
        <w:tabs>
          <w:tab w:leader="none" w:pos="17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Options granted pursuant to this Agreement shall vest on the earliest of (i) the “normal vesting schedule”, (ii) the date following the closing of the proposed Cameron/Schlumberger merger pursuant to the Merger Agreement between Cameron and Schlumberger Holdings Corporation, et. al. dated as of August 25, 2015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on which the Optionee is no longer employed by the Company or Employer for any reason or (iii) the Optionee’s death or termination due to Long-Term Disability </w:t>
      </w:r>
      <w:r>
        <w:rPr>
          <w:rFonts w:ascii="Arial" w:cs="Arial" w:eastAsia="Arial" w:hAnsi="Arial"/>
          <w:sz w:val="18"/>
          <w:szCs w:val="18"/>
          <w:i w:val="1"/>
          <w:iCs w:val="1"/>
          <w:color w:val="auto"/>
        </w:rPr>
        <w:t>(as defined below)</w:t>
      </w:r>
      <w:r>
        <w:rPr>
          <w:rFonts w:ascii="Arial" w:cs="Arial" w:eastAsia="Arial" w:hAnsi="Arial"/>
          <w:sz w:val="18"/>
          <w:szCs w:val="18"/>
          <w:color w:val="auto"/>
        </w:rPr>
        <w:t>. The</w:t>
      </w:r>
    </w:p>
    <w:p>
      <w:pPr>
        <w:spacing w:after="0" w:line="3"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 xml:space="preserve">“normal vesting schedule” is three installments as follows: one-third on </w:t>
      </w:r>
      <w:r>
        <w:rPr>
          <w:rFonts w:ascii="Arial" w:cs="Arial" w:eastAsia="Arial" w:hAnsi="Arial"/>
          <w:sz w:val="21"/>
          <w:szCs w:val="21"/>
          <w:b w:val="1"/>
          <w:bCs w:val="1"/>
          <w:color w:val="auto"/>
        </w:rPr>
        <w:t>[ ], 2016</w:t>
      </w:r>
      <w:r>
        <w:rPr>
          <w:rFonts w:ascii="Arial" w:cs="Arial" w:eastAsia="Arial" w:hAnsi="Arial"/>
          <w:sz w:val="21"/>
          <w:szCs w:val="21"/>
          <w:color w:val="auto"/>
        </w:rPr>
        <w:t xml:space="preserve">, one-third on </w:t>
      </w:r>
      <w:r>
        <w:rPr>
          <w:rFonts w:ascii="Arial" w:cs="Arial" w:eastAsia="Arial" w:hAnsi="Arial"/>
          <w:sz w:val="21"/>
          <w:szCs w:val="21"/>
          <w:b w:val="1"/>
          <w:bCs w:val="1"/>
          <w:color w:val="auto"/>
        </w:rPr>
        <w:t>[ ], 2017</w:t>
      </w:r>
      <w:r>
        <w:rPr>
          <w:rFonts w:ascii="Arial" w:cs="Arial" w:eastAsia="Arial" w:hAnsi="Arial"/>
          <w:sz w:val="21"/>
          <w:szCs w:val="21"/>
          <w:color w:val="auto"/>
        </w:rPr>
        <w:t xml:space="preserve">, and one-third on </w:t>
      </w:r>
      <w:r>
        <w:rPr>
          <w:rFonts w:ascii="Arial" w:cs="Arial" w:eastAsia="Arial" w:hAnsi="Arial"/>
          <w:sz w:val="21"/>
          <w:szCs w:val="21"/>
          <w:b w:val="1"/>
          <w:bCs w:val="1"/>
          <w:color w:val="auto"/>
        </w:rPr>
        <w:t>[ ], 2018,</w:t>
      </w:r>
      <w:r>
        <w:rPr>
          <w:rFonts w:ascii="Arial" w:cs="Arial" w:eastAsia="Arial" w:hAnsi="Arial"/>
          <w:sz w:val="21"/>
          <w:szCs w:val="21"/>
          <w:color w:val="auto"/>
        </w:rPr>
        <w:t xml:space="preserve"> provided the Optionee remains employed as of such date (each a “Scheduled Vesting Date”).</w:t>
      </w:r>
    </w:p>
    <w:p>
      <w:pPr>
        <w:spacing w:after="0" w:line="177" w:lineRule="exact"/>
        <w:rPr>
          <w:sz w:val="20"/>
          <w:szCs w:val="20"/>
          <w:color w:val="auto"/>
        </w:rPr>
      </w:pPr>
    </w:p>
    <w:p>
      <w:pPr>
        <w:ind w:left="1740" w:hanging="858"/>
        <w:spacing w:after="0"/>
        <w:tabs>
          <w:tab w:leader="none" w:pos="17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Options granted pursuant to this Agreement may be exercised, in whole or in part, but only as to the number of</w:t>
      </w:r>
    </w:p>
    <w:tbl>
      <w:tblPr>
        <w:tblLayout w:type="fixed"/>
        <w:tblInd w:w="0" w:type="dxa"/>
        <w:tblCellMar>
          <w:top w:w="0" w:type="dxa"/>
          <w:left w:w="0" w:type="dxa"/>
          <w:bottom w:w="0" w:type="dxa"/>
          <w:right w:w="0" w:type="dxa"/>
        </w:tblCellMar>
      </w:tblPr>
      <w:tr>
        <w:trPr>
          <w:trHeight w:val="241"/>
        </w:trPr>
        <w:tc>
          <w:tcPr>
            <w:tcW w:w="9020" w:type="dxa"/>
            <w:vAlign w:val="bottom"/>
            <w:gridSpan w:val="2"/>
          </w:tcPr>
          <w:p>
            <w:pPr>
              <w:spacing w:after="0"/>
              <w:rPr>
                <w:sz w:val="20"/>
                <w:szCs w:val="20"/>
                <w:color w:val="auto"/>
              </w:rPr>
            </w:pPr>
            <w:r>
              <w:rPr>
                <w:rFonts w:ascii="Arial" w:cs="Arial" w:eastAsia="Arial" w:hAnsi="Arial"/>
                <w:sz w:val="21"/>
                <w:szCs w:val="21"/>
                <w:color w:val="auto"/>
                <w:w w:val="92"/>
              </w:rPr>
              <w:t xml:space="preserve">Options as to which the right to exercise has vested at the time of exercise, during the period beginning </w:t>
            </w:r>
            <w:r>
              <w:rPr>
                <w:rFonts w:ascii="Arial" w:cs="Arial" w:eastAsia="Arial" w:hAnsi="Arial"/>
                <w:sz w:val="21"/>
                <w:szCs w:val="21"/>
                <w:b w:val="1"/>
                <w:bCs w:val="1"/>
                <w:color w:val="auto"/>
                <w:w w:val="92"/>
              </w:rPr>
              <w:t>[</w:t>
            </w:r>
          </w:p>
        </w:tc>
        <w:tc>
          <w:tcPr>
            <w:tcW w:w="2440" w:type="dxa"/>
            <w:vAlign w:val="bottom"/>
          </w:tcPr>
          <w:p>
            <w:pPr>
              <w:jc w:val="right"/>
              <w:spacing w:after="0"/>
              <w:rPr>
                <w:sz w:val="20"/>
                <w:szCs w:val="20"/>
                <w:color w:val="auto"/>
              </w:rPr>
            </w:pPr>
            <w:r>
              <w:rPr>
                <w:rFonts w:ascii="Arial" w:cs="Arial" w:eastAsia="Arial" w:hAnsi="Arial"/>
                <w:sz w:val="21"/>
                <w:szCs w:val="21"/>
                <w:b w:val="1"/>
                <w:bCs w:val="1"/>
                <w:color w:val="auto"/>
                <w:w w:val="98"/>
              </w:rPr>
              <w:t xml:space="preserve">], 2016 </w:t>
            </w:r>
            <w:r>
              <w:rPr>
                <w:rFonts w:ascii="Arial" w:cs="Arial" w:eastAsia="Arial" w:hAnsi="Arial"/>
                <w:sz w:val="21"/>
                <w:szCs w:val="21"/>
                <w:color w:val="auto"/>
                <w:w w:val="98"/>
              </w:rPr>
              <w:t>(one year from the</w:t>
            </w:r>
          </w:p>
        </w:tc>
      </w:tr>
      <w:tr>
        <w:trPr>
          <w:trHeight w:val="270"/>
        </w:trPr>
        <w:tc>
          <w:tcPr>
            <w:tcW w:w="4500" w:type="dxa"/>
            <w:vAlign w:val="bottom"/>
          </w:tcPr>
          <w:p>
            <w:pPr>
              <w:spacing w:after="0"/>
              <w:rPr>
                <w:sz w:val="20"/>
                <w:szCs w:val="20"/>
                <w:color w:val="auto"/>
              </w:rPr>
            </w:pPr>
            <w:r>
              <w:rPr>
                <w:rFonts w:ascii="Arial" w:cs="Arial" w:eastAsia="Arial" w:hAnsi="Arial"/>
                <w:sz w:val="21"/>
                <w:szCs w:val="21"/>
                <w:color w:val="auto"/>
                <w:w w:val="91"/>
              </w:rPr>
              <w:t xml:space="preserve">date on which the Option was granted), and ending </w:t>
            </w:r>
            <w:r>
              <w:rPr>
                <w:rFonts w:ascii="Arial" w:cs="Arial" w:eastAsia="Arial" w:hAnsi="Arial"/>
                <w:sz w:val="21"/>
                <w:szCs w:val="21"/>
                <w:b w:val="1"/>
                <w:bCs w:val="1"/>
                <w:color w:val="auto"/>
                <w:w w:val="91"/>
              </w:rPr>
              <w:t>[</w:t>
            </w:r>
          </w:p>
        </w:tc>
        <w:tc>
          <w:tcPr>
            <w:tcW w:w="6960" w:type="dxa"/>
            <w:vAlign w:val="bottom"/>
            <w:gridSpan w:val="2"/>
          </w:tcPr>
          <w:p>
            <w:pPr>
              <w:jc w:val="right"/>
              <w:ind w:right="1214"/>
              <w:spacing w:after="0"/>
              <w:rPr>
                <w:sz w:val="20"/>
                <w:szCs w:val="20"/>
                <w:color w:val="auto"/>
              </w:rPr>
            </w:pPr>
            <w:r>
              <w:rPr>
                <w:rFonts w:ascii="Arial" w:cs="Arial" w:eastAsia="Arial" w:hAnsi="Arial"/>
                <w:sz w:val="21"/>
                <w:szCs w:val="21"/>
                <w:b w:val="1"/>
                <w:bCs w:val="1"/>
                <w:color w:val="auto"/>
                <w:w w:val="91"/>
              </w:rPr>
              <w:t xml:space="preserve">], 2025 </w:t>
            </w:r>
            <w:r>
              <w:rPr>
                <w:rFonts w:ascii="Arial" w:cs="Arial" w:eastAsia="Arial" w:hAnsi="Arial"/>
                <w:sz w:val="21"/>
                <w:szCs w:val="21"/>
                <w:color w:val="auto"/>
                <w:w w:val="91"/>
              </w:rPr>
              <w:t>(ten years from the date on which the Option was granted.)</w:t>
            </w:r>
          </w:p>
        </w:tc>
      </w:tr>
      <w:tr>
        <w:trPr>
          <w:trHeight w:val="559"/>
        </w:trPr>
        <w:tc>
          <w:tcPr>
            <w:tcW w:w="450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5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34"/>
        </w:trPr>
        <w:tc>
          <w:tcPr>
            <w:tcW w:w="4500" w:type="dxa"/>
            <w:vAlign w:val="bottom"/>
            <w:tcBorders>
              <w:bottom w:val="single" w:sz="8" w:color="9A9A9A"/>
            </w:tcBorders>
          </w:tcPr>
          <w:p>
            <w:pPr>
              <w:spacing w:after="0"/>
              <w:rPr>
                <w:sz w:val="11"/>
                <w:szCs w:val="11"/>
                <w:color w:val="auto"/>
              </w:rPr>
            </w:pPr>
          </w:p>
        </w:tc>
        <w:tc>
          <w:tcPr>
            <w:tcW w:w="4520" w:type="dxa"/>
            <w:vAlign w:val="bottom"/>
            <w:tcBorders>
              <w:bottom w:val="single" w:sz="8" w:color="9A9A9A"/>
            </w:tcBorders>
          </w:tcPr>
          <w:p>
            <w:pPr>
              <w:spacing w:after="0"/>
              <w:rPr>
                <w:sz w:val="11"/>
                <w:szCs w:val="11"/>
                <w:color w:val="auto"/>
              </w:rPr>
            </w:pPr>
          </w:p>
        </w:tc>
        <w:tc>
          <w:tcPr>
            <w:tcW w:w="24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127" w:name="page128"/>
    <w:bookmarkEnd w:id="127"/>
    <w:p>
      <w:pPr>
        <w:jc w:val="both"/>
        <w:ind w:right="40" w:firstLine="882"/>
        <w:spacing w:after="0" w:line="235" w:lineRule="auto"/>
        <w:tabs>
          <w:tab w:leader="none" w:pos="172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“Cause”, for the purposes hereof, shall mean the Optionee has (i) engaged in gross negligence or willful misconduct in the performance of his or her duties and responsibilities respecting his or her position with the Company or Employer; (ii) willfully refused, without proper legal reason, to perform the duties and responsibilities respecting his or her position with the Company or Employer; (iii) breached any material policy or code of conduct established by the Company or Employer; (iv) engaged in conduct that Optionee knows or should know is materially injurious to the Company or Employer; (v) been convicted of a felony or a misdemeanor involving moral turpitude; or (vi) engaged in an act of dishonest or impropriety which materially impairs the Optionee’s effectiveness in his or her position with the Company or Employer.</w:t>
      </w:r>
    </w:p>
    <w:p>
      <w:pPr>
        <w:spacing w:after="0" w:line="179" w:lineRule="exact"/>
        <w:rPr>
          <w:rFonts w:ascii="Arial" w:cs="Arial" w:eastAsia="Arial" w:hAnsi="Arial"/>
          <w:sz w:val="21"/>
          <w:szCs w:val="21"/>
          <w:color w:val="auto"/>
        </w:rPr>
      </w:pPr>
    </w:p>
    <w:p>
      <w:pPr>
        <w:jc w:val="both"/>
        <w:ind w:right="40" w:firstLine="882"/>
        <w:spacing w:after="0" w:line="242" w:lineRule="auto"/>
        <w:tabs>
          <w:tab w:leader="none" w:pos="1739" w:val="left"/>
        </w:tabs>
        <w:numPr>
          <w:ilvl w:val="0"/>
          <w:numId w:val="165"/>
        </w:numPr>
        <w:rPr>
          <w:rFonts w:ascii="Arial" w:cs="Arial" w:eastAsia="Arial" w:hAnsi="Arial"/>
          <w:sz w:val="21"/>
          <w:szCs w:val="21"/>
          <w:color w:val="auto"/>
        </w:rPr>
      </w:pPr>
      <w:r>
        <w:rPr>
          <w:rFonts w:ascii="Arial" w:cs="Arial" w:eastAsia="Arial" w:hAnsi="Arial"/>
          <w:sz w:val="21"/>
          <w:szCs w:val="21"/>
          <w:color w:val="auto"/>
        </w:rPr>
        <w:t>“Long-Term Disability”, for the purposes hereof, shall mean the Optionee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68" w:lineRule="exact"/>
        <w:rPr>
          <w:sz w:val="20"/>
          <w:szCs w:val="20"/>
          <w:color w:val="auto"/>
        </w:rPr>
      </w:pPr>
    </w:p>
    <w:p>
      <w:pPr>
        <w:jc w:val="both"/>
        <w:ind w:right="40" w:firstLine="878"/>
        <w:spacing w:after="0" w:line="261" w:lineRule="auto"/>
        <w:rPr>
          <w:sz w:val="20"/>
          <w:szCs w:val="20"/>
          <w:color w:val="auto"/>
        </w:rPr>
      </w:pPr>
      <w:r>
        <w:rPr>
          <w:rFonts w:ascii="Arial" w:cs="Arial" w:eastAsia="Arial" w:hAnsi="Arial"/>
          <w:sz w:val="19"/>
          <w:szCs w:val="19"/>
          <w:b w:val="1"/>
          <w:bCs w:val="1"/>
          <w:color w:val="auto"/>
        </w:rPr>
        <w:t>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Exercise of Option.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herein may be exercised as to vested Options, in whole or in part,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an electronic or written form as prescribed by the Company or its designated third party administrator. Payment of the purchase price of the Shares that the Optionee desires to purchase shall be tendered in full at the time of giving notice by (i) cash, check in U.S. Dollars, or bank draft payable and acceptable to the Company (or the equivalent thereof acceptable to the Company), (ii) Shares theretofore owned and held by the Optionee, (iii) a combination of cash and Shares theretofore owned and held by the Optionee, or (iv) 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w:t>
      </w:r>
    </w:p>
    <w:p>
      <w:pPr>
        <w:spacing w:after="0" w:line="151" w:lineRule="exact"/>
        <w:rPr>
          <w:sz w:val="20"/>
          <w:szCs w:val="20"/>
          <w:color w:val="auto"/>
        </w:rPr>
      </w:pPr>
    </w:p>
    <w:p>
      <w:pPr>
        <w:jc w:val="both"/>
        <w:ind w:right="40" w:firstLine="882"/>
        <w:spacing w:after="0" w:line="245" w:lineRule="auto"/>
        <w:tabs>
          <w:tab w:leader="none" w:pos="1653"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Changes in the Company’s Capital Structure.</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of Shares subject to the Option and the price per Share</w:t>
      </w:r>
      <w:r>
        <w:rPr>
          <w:rFonts w:ascii="Arial" w:cs="Arial" w:eastAsia="Arial" w:hAnsi="Arial"/>
          <w:sz w:val="21"/>
          <w:szCs w:val="21"/>
          <w:b w:val="1"/>
          <w:bCs w:val="1"/>
          <w:color w:val="auto"/>
        </w:rPr>
        <w:t xml:space="preserve"> </w:t>
      </w:r>
      <w:r>
        <w:rPr>
          <w:rFonts w:ascii="Arial" w:cs="Arial" w:eastAsia="Arial" w:hAnsi="Arial"/>
          <w:sz w:val="21"/>
          <w:szCs w:val="21"/>
          <w:color w:val="auto"/>
        </w:rPr>
        <w:t>payable upon exercise of the Option shall be subject to the provisions of Section 12.2 of the Plan relating to adjustments to corporate capitalization.</w:t>
      </w:r>
    </w:p>
    <w:p>
      <w:pPr>
        <w:spacing w:after="0" w:line="164" w:lineRule="exact"/>
        <w:rPr>
          <w:rFonts w:ascii="Arial" w:cs="Arial" w:eastAsia="Arial" w:hAnsi="Arial"/>
          <w:sz w:val="21"/>
          <w:szCs w:val="21"/>
          <w:b w:val="1"/>
          <w:bCs w:val="1"/>
          <w:color w:val="auto"/>
        </w:rPr>
      </w:pPr>
    </w:p>
    <w:p>
      <w:pPr>
        <w:ind w:right="40" w:firstLine="882"/>
        <w:spacing w:after="0" w:line="259" w:lineRule="auto"/>
        <w:tabs>
          <w:tab w:leader="none" w:pos="1653"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150" w:lineRule="exact"/>
        <w:rPr>
          <w:rFonts w:ascii="Arial" w:cs="Arial" w:eastAsia="Arial" w:hAnsi="Arial"/>
          <w:sz w:val="21"/>
          <w:szCs w:val="21"/>
          <w:b w:val="1"/>
          <w:bCs w:val="1"/>
          <w:color w:val="auto"/>
        </w:rPr>
      </w:pPr>
    </w:p>
    <w:p>
      <w:pPr>
        <w:jc w:val="both"/>
        <w:ind w:right="40" w:firstLine="882"/>
        <w:spacing w:after="0" w:line="245" w:lineRule="auto"/>
        <w:tabs>
          <w:tab w:leader="none" w:pos="1653"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9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302"/>
        </w:trPr>
        <w:tc>
          <w:tcPr>
            <w:tcW w:w="6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28" w:name="page129"/>
    <w:bookmarkEnd w:id="128"/>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0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660" w:hanging="778"/>
        <w:spacing w:after="0"/>
        <w:tabs>
          <w:tab w:leader="none" w:pos="1660" w:val="left"/>
        </w:tabs>
        <w:numPr>
          <w:ilvl w:val="1"/>
          <w:numId w:val="1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right="40" w:firstLine="882"/>
        <w:spacing w:after="0" w:line="276" w:lineRule="auto"/>
        <w:tabs>
          <w:tab w:leader="none" w:pos="1757"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Paragraph 9 hereof, this Agreement shall inure to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w:t>
      </w:r>
    </w:p>
    <w:p>
      <w:pPr>
        <w:spacing w:after="0" w:line="2" w:lineRule="exact"/>
        <w:rPr>
          <w:rFonts w:ascii="Arial" w:cs="Arial" w:eastAsia="Arial" w:hAnsi="Arial"/>
          <w:sz w:val="18"/>
          <w:szCs w:val="18"/>
          <w:b w:val="1"/>
          <w:bCs w:val="1"/>
          <w:color w:val="auto"/>
        </w:rPr>
      </w:pPr>
    </w:p>
    <w:p>
      <w:pPr>
        <w:jc w:val="both"/>
        <w:ind w:right="40" w:firstLine="3"/>
        <w:spacing w:after="0" w:line="246" w:lineRule="auto"/>
        <w:tabs>
          <w:tab w:leader="none" w:pos="26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by will or the laws of descent and distribution; or (ii) pursuant to the qualified domestic relations order (as defined by the Internal Revenue Code); or (iii) with respect to grants of nonqualified stock options, by transfer by an Optionee to a member of the Optionee’s Immediate Family, or to a partnership or limited liability company whose only partners or shareholders are the Optionee and members of his Immediate Family. However, any grant transferred shall continue to be subject to all terms and conditions contained in the Agreement. “Immediate Family” means the spouse, children or grandchildren of the Optionee.</w:t>
      </w:r>
    </w:p>
    <w:p>
      <w:pPr>
        <w:spacing w:after="0" w:line="166" w:lineRule="exact"/>
        <w:rPr>
          <w:rFonts w:ascii="Arial" w:cs="Arial" w:eastAsia="Arial" w:hAnsi="Arial"/>
          <w:sz w:val="20"/>
          <w:szCs w:val="20"/>
          <w:color w:val="auto"/>
        </w:rPr>
      </w:pPr>
    </w:p>
    <w:p>
      <w:pPr>
        <w:ind w:left="1740" w:hanging="858"/>
        <w:spacing w:after="0"/>
        <w:tabs>
          <w:tab w:leader="none" w:pos="1740" w:val="left"/>
        </w:tabs>
        <w:numPr>
          <w:ilvl w:val="1"/>
          <w:numId w:val="1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right="40" w:firstLine="882"/>
        <w:spacing w:after="0" w:line="245" w:lineRule="auto"/>
        <w:tabs>
          <w:tab w:leader="none" w:pos="1728" w:val="left"/>
        </w:tabs>
        <w:numPr>
          <w:ilvl w:val="0"/>
          <w:numId w:val="169"/>
        </w:numPr>
        <w:rPr>
          <w:rFonts w:ascii="Arial" w:cs="Arial" w:eastAsia="Arial" w:hAnsi="Arial"/>
          <w:sz w:val="20"/>
          <w:szCs w:val="20"/>
          <w:color w:val="auto"/>
        </w:rPr>
      </w:pPr>
      <w:r>
        <w:rPr>
          <w:rFonts w:ascii="Arial" w:cs="Arial" w:eastAsia="Arial" w:hAnsi="Arial"/>
          <w:sz w:val="20"/>
          <w:szCs w:val="20"/>
          <w:color w:val="auto"/>
        </w:rPr>
        <w:t>Regardless of any action the Company or Optionee’s employer (the “Employer”) takes with respect to any or all income tax (including foreign, federal, state and local tax), social insurance, payroll tax, payment on account or other tax-related items related to Optionee’s participation in the Plan and legally applicable to Optionee (“Tax-Related Items”), Optionee acknowledges that the ultimate liability for all Tax-Related Items legally due by Optionee is and remains Optionee’s responsibility and may exceed the amount actually withheld by the Company and/or the Employer. Optionee further acknowledges that the Company and/or the Employer (i) make no representations or undertakings regarding the treatment of any Tax-Related Items in connection with any aspect of the Option, including but not limited to, the grant, vesting, exercise of the Option, the issuance of Shares upon exercise, the subsequent sale of Shares acquired pursuant to the exercise of the Option and the receipt of any dividends; and (ii) do not commit to and are under no obligation to structure the terms of the grant or any aspect of the Option to reduce or eliminate Optionee’s liability for Tax-Related Items or achieve any particular tax result. Further, if Optionee has become subject to tax in more than one jurisdiction, Optionee acknowledges that the Company and/or the Employer (or former employer, as applicable) may be required to withhold or account for Tax-Related Items in more than one jurisdiction.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9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2"/>
        </w:trPr>
        <w:tc>
          <w:tcPr>
            <w:tcW w:w="6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29" w:name="page130"/>
    <w:bookmarkEnd w:id="129"/>
    <w:p>
      <w:pPr>
        <w:jc w:val="both"/>
        <w:ind w:right="40" w:firstLine="882"/>
        <w:spacing w:after="0" w:line="261" w:lineRule="auto"/>
        <w:tabs>
          <w:tab w:leader="none" w:pos="173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(“Tax Date”), as applicable, Optionee will pay or make adequate arrangements satisfactory to the Company and/or the Employer to satisfy all Tax-Related Items. In this regard, Optionee authorizes the Company and/or the Employer or their respective agents, at their discretion, to satisfy the obligations with regard to all Tax-Related Items by one or a combination of the following: (i) accept a cash payment in U.S. Dollars in the amount of Tax-Related Items, (ii) withhold whole Shares which would otherwise be delivered to Optionee having an aggregate Fair Market Value, determined as of the Tax Date, or withhold an amount of cash from Optionee’s wages or other cash compensation which would otherwise be payable to Optionee by the Company and/or the Employer, equal to the amount necessary to satisfy any such obligations, (iii) withhold from proceeds of the sale of Shares acquired upon exercise of the Option either through a voluntary sale or through a mandatory sale arranged by the Company (on Optionee’s behalf pursuant to this authorization), or (iv) a cash payment to the Company by a broker-dealer acceptable to the Company to whom Optionee have submitted an irrevocable notice of exercise.</w:t>
      </w:r>
    </w:p>
    <w:p>
      <w:pPr>
        <w:spacing w:after="0" w:line="156" w:lineRule="exact"/>
        <w:rPr>
          <w:rFonts w:ascii="Arial" w:cs="Arial" w:eastAsia="Arial" w:hAnsi="Arial"/>
          <w:sz w:val="19"/>
          <w:szCs w:val="19"/>
          <w:color w:val="auto"/>
        </w:rPr>
      </w:pPr>
    </w:p>
    <w:p>
      <w:pPr>
        <w:jc w:val="both"/>
        <w:ind w:right="40" w:firstLine="882"/>
        <w:spacing w:after="0" w:line="246" w:lineRule="auto"/>
        <w:tabs>
          <w:tab w:leader="none" w:pos="172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To avoid negative accounting treatment, the Company may withhold or account for Tax-Related Items by considering applicable minimum statutory withholding rates. If the obligation for Tax-Related Items is satisfied by withholding in Shares, for tax purposes, Optionee are deemed to have been issued the full number of Shares subject to the Option, notwithstanding that a number of Shares are held back solely for the purpose of paying the Tax-Related Items. Finally, Optionee shall pay to the Company or the Employer any amount of Tax-Related Items that the Company or the Employer may be required to withhold as a result of Optionee’s participation in the Plan that cannot be satisfied by the means previously described. The Company shall have sole discretion to deliver the Shares if Optionee fails to comply with his or her obligations in connection with the Tax-Related Items as described in this section and Optionee unconditionally consents to and approves any such action taken by the Company. Optionee (or any beneficiary or person entitled to act on Optionee’s behalf) shall provide the Company with any forms, documents or other information reasonably required by the Company.</w:t>
      </w:r>
    </w:p>
    <w:p>
      <w:pPr>
        <w:spacing w:after="0" w:line="169" w:lineRule="exact"/>
        <w:rPr>
          <w:sz w:val="20"/>
          <w:szCs w:val="20"/>
          <w:color w:val="auto"/>
        </w:rPr>
      </w:pPr>
    </w:p>
    <w:p>
      <w:pPr>
        <w:jc w:val="both"/>
        <w:ind w:right="40" w:firstLine="882"/>
        <w:spacing w:after="0" w:line="277" w:lineRule="auto"/>
        <w:tabs>
          <w:tab w:leader="none" w:pos="1757"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Repatriation; Compliance with Laws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Optionee is resident or employed outside of the United States,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be required to repatriate all payments attributable to the Shares and/or cash acquired under the Plan (including, but not limited to, dividends and any proceeds derived from the sale of the Shares acquired pursuant to the Option) in accordance with local foreign exchange rules and regulations in the Optionee’s country of residence (and country of employment, if different). It is the Optionee’s responsibility to comply with all foreign exchange rules and all other local compliance requirements that he or she may be subject to with respect to his or her participation in the Plan. In addition, the Optionee is required to take any and all actions, and consent to any and all actions taken by the Company and its Subsidiaries, as may be necessary to allow the Company and its Subsidiaries to comply with local laws, rules and regulations in the Optionee’s country of residence (and country of employment, if different). The Optionee is also required to take any and all actions as may be necessary to comply with the Optionee’s personal legal, and tax obligations under local laws, rules and regulations in the Optionee’s country of residence (and country of employment, if different).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02"/>
        </w:trPr>
        <w:tc>
          <w:tcPr>
            <w:tcW w:w="6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30" w:name="page131"/>
    <w:bookmarkEnd w:id="130"/>
    <w:p>
      <w:pPr>
        <w:jc w:val="both"/>
        <w:ind w:right="40" w:firstLine="882"/>
        <w:spacing w:after="0" w:line="236" w:lineRule="auto"/>
        <w:tabs>
          <w:tab w:leader="none" w:pos="1757"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Securities Matters</w:t>
      </w:r>
      <w:r>
        <w:rPr>
          <w:rFonts w:ascii="Arial" w:cs="Arial" w:eastAsia="Arial" w:hAnsi="Arial"/>
          <w:sz w:val="21"/>
          <w:szCs w:val="21"/>
          <w:color w:val="auto"/>
        </w:rPr>
        <w:t>. The Company shall not be required to deliver any Shares until the requirements of any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state or foreign securities or other laws, rules or regulations (including the rules of any securities exchange) as may be determined by the Company to be applicable are satisfied. If the Optionee is resident or employed outside of the United States, neither the grant of the Options under the Plan nor the issuance of the underlying Shares upon exercise of the Options is intended to be a public offering of securities in the Optionee’s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172" w:lineRule="exact"/>
        <w:rPr>
          <w:rFonts w:ascii="Arial" w:cs="Arial" w:eastAsia="Arial" w:hAnsi="Arial"/>
          <w:sz w:val="21"/>
          <w:szCs w:val="21"/>
          <w:b w:val="1"/>
          <w:bCs w:val="1"/>
          <w:color w:val="auto"/>
        </w:rPr>
      </w:pPr>
    </w:p>
    <w:p>
      <w:pPr>
        <w:jc w:val="both"/>
        <w:ind w:right="40" w:firstLine="882"/>
        <w:spacing w:after="0" w:line="269" w:lineRule="auto"/>
        <w:tabs>
          <w:tab w:leader="none" w:pos="1757" w:val="left"/>
        </w:tabs>
        <w:numPr>
          <w:ilvl w:val="0"/>
          <w:numId w:val="1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Legal Requirements and Risks</w:t>
      </w:r>
      <w:r>
        <w:rPr>
          <w:rFonts w:ascii="Arial" w:cs="Arial" w:eastAsia="Arial" w:hAnsi="Arial"/>
          <w:sz w:val="19"/>
          <w:szCs w:val="19"/>
          <w:b w:val="1"/>
          <w:bCs w:val="1"/>
          <w:color w:val="auto"/>
        </w:rPr>
        <w:t xml:space="preserve">. </w:t>
      </w:r>
      <w:r>
        <w:rPr>
          <w:rFonts w:ascii="Arial" w:cs="Arial" w:eastAsia="Arial" w:hAnsi="Arial"/>
          <w:sz w:val="19"/>
          <w:szCs w:val="19"/>
          <w:color w:val="auto"/>
        </w:rPr>
        <w:t>No employee of the Company or a Subsidiary is permitted to advise the Optionee</w:t>
      </w:r>
      <w:r>
        <w:rPr>
          <w:rFonts w:ascii="Arial" w:cs="Arial" w:eastAsia="Arial" w:hAnsi="Arial"/>
          <w:sz w:val="19"/>
          <w:szCs w:val="19"/>
          <w:b w:val="1"/>
          <w:bCs w:val="1"/>
          <w:color w:val="auto"/>
        </w:rPr>
        <w:t xml:space="preserve"> </w:t>
      </w:r>
      <w:r>
        <w:rPr>
          <w:rFonts w:ascii="Arial" w:cs="Arial" w:eastAsia="Arial" w:hAnsi="Arial"/>
          <w:sz w:val="19"/>
          <w:szCs w:val="19"/>
          <w:color w:val="auto"/>
        </w:rPr>
        <w:t>on whether the Optionee should acquire Shares under the Plan. Acquiring Shares involves a degree of risk. Before deciding to acquire Shares pursuant to the Options, the Optionee should carefully consider all risk factors relevant to the acquisition of Shares under the Plan and the Optionee should carefully review all of the materials related to the Options and the Plan. In addition, the Optionee should consult with the Optionee’s own financial advisor and legal advisor for professional investment advice.</w:t>
      </w:r>
    </w:p>
    <w:p>
      <w:pPr>
        <w:spacing w:after="0" w:line="145" w:lineRule="exact"/>
        <w:rPr>
          <w:rFonts w:ascii="Arial" w:cs="Arial" w:eastAsia="Arial" w:hAnsi="Arial"/>
          <w:sz w:val="19"/>
          <w:szCs w:val="19"/>
          <w:b w:val="1"/>
          <w:bCs w:val="1"/>
          <w:color w:val="auto"/>
        </w:rPr>
      </w:pPr>
    </w:p>
    <w:p>
      <w:pPr>
        <w:ind w:left="1760" w:hanging="878"/>
        <w:spacing w:after="0"/>
        <w:tabs>
          <w:tab w:leader="none" w:pos="1760"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Consent to Collection, Processing and Transfer of Personal Data.</w:t>
      </w:r>
    </w:p>
    <w:p>
      <w:pPr>
        <w:spacing w:after="0" w:line="204" w:lineRule="exact"/>
        <w:rPr>
          <w:sz w:val="20"/>
          <w:szCs w:val="20"/>
          <w:color w:val="auto"/>
        </w:rPr>
      </w:pPr>
    </w:p>
    <w:p>
      <w:pPr>
        <w:jc w:val="both"/>
        <w:ind w:right="40" w:firstLine="882"/>
        <w:spacing w:after="0" w:line="248" w:lineRule="auto"/>
        <w:tabs>
          <w:tab w:leader="none" w:pos="172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Pursuant to applicable personal data protection laws, the Company and the Employer (if different) hereby notify the Optionee of the following in relation to the Optionee’s personal data and the collection, processing and transfer of such data in relation to the Company’s grant of this Option and the Optionee’s participation in the Plan. The collection, processing and transfer of the Optionee’s personal data are necessary for the Company’s administration of the Plan and the Optionee’s participation in the Plan. The Optionee’s denial and/or objection to the collection, processing and transfer of personal data may affect the Optionee’s participation in the Plan. The Optionee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auto"/>
        </w:rPr>
      </w:pPr>
    </w:p>
    <w:p>
      <w:pPr>
        <w:jc w:val="both"/>
        <w:ind w:right="40" w:firstLine="882"/>
        <w:spacing w:after="0" w:line="260" w:lineRule="auto"/>
        <w:tabs>
          <w:tab w:leader="none" w:pos="173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Company and the Employer (if different) hold certain personal information about the Optionee, including the Optionee’s name, home address and telephone number, date of birth, social security number or other employee identification number, salary, nationality, job title, any Shares or directorships held in the Company, details of all awards or any other entitlement to Shares awarded, canceled, purchased, vested, unvested or outstanding in the Optionee’s favor, for the purpose of managing and administering the Plan (“Data”). The Data may be provided by the Optionee or collected, where lawful, from third parties, and the Company and Employer (if different) will process the Data for the exclusive purpose of implementing, administering and managing the Optionee’s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 Optionee’s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Optionee’s participation in the Plan.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02"/>
        </w:trPr>
        <w:tc>
          <w:tcPr>
            <w:tcW w:w="6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131" w:name="page132"/>
    <w:bookmarkEnd w:id="131"/>
    <w:p>
      <w:pPr>
        <w:jc w:val="both"/>
        <w:ind w:right="40" w:firstLine="882"/>
        <w:spacing w:after="0" w:line="279" w:lineRule="auto"/>
        <w:tabs>
          <w:tab w:leader="none" w:pos="172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and the Employer (if different) will transfer Data amongst themselves as necessary for the purpose of implementation, administration and management of the Optionee’s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Optionee hereby authorizes (where required under applicable law) them to receive, possess, use, retain and transfer the Data, in electronic or other form, for purposes of implementing, administering and managing the Optionee’s participation in the Plan, including any requisite transfer of such Data as may be required for the administration of the Plan and/or the subsequent holding of Shares on the Optionee’s behalf to a broker or other third party with whom the Optionee may elect to deposit any Shares acquired pursuant to the Plan.</w:t>
      </w:r>
    </w:p>
    <w:p>
      <w:pPr>
        <w:spacing w:after="0" w:line="142" w:lineRule="exact"/>
        <w:rPr>
          <w:rFonts w:ascii="Arial" w:cs="Arial" w:eastAsia="Arial" w:hAnsi="Arial"/>
          <w:sz w:val="18"/>
          <w:szCs w:val="18"/>
          <w:color w:val="auto"/>
        </w:rPr>
      </w:pPr>
    </w:p>
    <w:p>
      <w:pPr>
        <w:jc w:val="both"/>
        <w:ind w:right="40" w:firstLine="882"/>
        <w:spacing w:after="0" w:line="249" w:lineRule="auto"/>
        <w:tabs>
          <w:tab w:leader="none" w:pos="173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Optionee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Optionee’s participation in the Plan. The Optionee may seek to exercise these rights by contacting the Company’s Corporate Secretary’s Department</w:t>
      </w:r>
      <w:r>
        <w:rPr>
          <w:rFonts w:ascii="Arial" w:cs="Arial" w:eastAsia="Arial" w:hAnsi="Arial"/>
          <w:sz w:val="20"/>
          <w:szCs w:val="20"/>
          <w:b w:val="1"/>
          <w:bCs w:val="1"/>
          <w:color w:val="auto"/>
        </w:rPr>
        <w:t>.</w:t>
      </w:r>
    </w:p>
    <w:p>
      <w:pPr>
        <w:spacing w:after="0" w:line="164" w:lineRule="exact"/>
        <w:rPr>
          <w:sz w:val="20"/>
          <w:szCs w:val="20"/>
          <w:color w:val="auto"/>
        </w:rPr>
      </w:pPr>
    </w:p>
    <w:p>
      <w:pPr>
        <w:jc w:val="both"/>
        <w:ind w:right="40" w:firstLine="882"/>
        <w:spacing w:after="0" w:line="238" w:lineRule="auto"/>
        <w:tabs>
          <w:tab w:leader="none" w:pos="1847" w:val="left"/>
        </w:tabs>
        <w:numPr>
          <w:ilvl w:val="0"/>
          <w:numId w:val="1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 acknowledges and agrees that it is the Optionee’s express intent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Plan and all other documents, notices and legal proceedings entered into, given or instituted pursuant to the Option, be drawn up in English. If the Optionee has received the Agreement, the Plan or any other documents related to the Options translated into a language other than English, and if the meaning of the translated version is different than the English version, the English version will control.</w:t>
      </w:r>
    </w:p>
    <w:p>
      <w:pPr>
        <w:spacing w:after="0" w:line="172" w:lineRule="exact"/>
        <w:rPr>
          <w:rFonts w:ascii="Arial" w:cs="Arial" w:eastAsia="Arial" w:hAnsi="Arial"/>
          <w:sz w:val="21"/>
          <w:szCs w:val="21"/>
          <w:b w:val="1"/>
          <w:bCs w:val="1"/>
          <w:color w:val="auto"/>
        </w:rPr>
      </w:pPr>
    </w:p>
    <w:p>
      <w:pPr>
        <w:ind w:left="1760" w:hanging="878"/>
        <w:spacing w:after="0"/>
        <w:tabs>
          <w:tab w:leader="none" w:pos="1760" w:val="left"/>
        </w:tabs>
        <w:numPr>
          <w:ilvl w:val="0"/>
          <w:numId w:val="1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Grant</w:t>
      </w:r>
      <w:r>
        <w:rPr>
          <w:rFonts w:ascii="Arial" w:cs="Arial" w:eastAsia="Arial" w:hAnsi="Arial"/>
          <w:sz w:val="21"/>
          <w:szCs w:val="21"/>
          <w:u w:val="single" w:color="auto"/>
          <w:color w:val="auto"/>
        </w:rPr>
        <w: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of Options, Optionee acknowledges that:</w:t>
      </w:r>
    </w:p>
    <w:p>
      <w:pPr>
        <w:spacing w:after="0" w:line="198" w:lineRule="exact"/>
        <w:rPr>
          <w:sz w:val="20"/>
          <w:szCs w:val="20"/>
          <w:color w:val="auto"/>
        </w:rPr>
      </w:pPr>
    </w:p>
    <w:p>
      <w:pPr>
        <w:ind w:right="40" w:firstLine="882"/>
        <w:spacing w:after="0" w:line="278" w:lineRule="auto"/>
        <w:tabs>
          <w:tab w:leader="none" w:pos="172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39" w:lineRule="exact"/>
        <w:rPr>
          <w:rFonts w:ascii="Arial" w:cs="Arial" w:eastAsia="Arial" w:hAnsi="Arial"/>
          <w:sz w:val="20"/>
          <w:szCs w:val="20"/>
          <w:color w:val="auto"/>
        </w:rPr>
      </w:pPr>
    </w:p>
    <w:p>
      <w:pPr>
        <w:ind w:right="40" w:firstLine="882"/>
        <w:spacing w:after="0" w:line="253" w:lineRule="auto"/>
        <w:tabs>
          <w:tab w:leader="none" w:pos="173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grant of Options is a one-time benefit and does not create any contractual or other right to receive an award or benefits in lieu of an award in the future; future awards, if any, will be at the sole discretion of the Company.</w:t>
      </w:r>
    </w:p>
    <w:p>
      <w:pPr>
        <w:spacing w:after="0" w:line="162" w:lineRule="exact"/>
        <w:rPr>
          <w:rFonts w:ascii="Arial" w:cs="Arial" w:eastAsia="Arial" w:hAnsi="Arial"/>
          <w:sz w:val="21"/>
          <w:szCs w:val="21"/>
          <w:color w:val="auto"/>
        </w:rPr>
      </w:pPr>
    </w:p>
    <w:p>
      <w:pPr>
        <w:ind w:left="1740" w:hanging="858"/>
        <w:spacing w:after="0"/>
        <w:tabs>
          <w:tab w:leader="none" w:pos="174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Optionee is voluntarily participating in the Plan.</w:t>
      </w:r>
    </w:p>
    <w:p>
      <w:pPr>
        <w:spacing w:after="0" w:line="197" w:lineRule="exact"/>
        <w:rPr>
          <w:rFonts w:ascii="Arial" w:cs="Arial" w:eastAsia="Arial" w:hAnsi="Arial"/>
          <w:sz w:val="21"/>
          <w:szCs w:val="21"/>
          <w:color w:val="auto"/>
        </w:rPr>
      </w:pPr>
    </w:p>
    <w:p>
      <w:pPr>
        <w:ind w:right="40" w:firstLine="882"/>
        <w:spacing w:after="0" w:line="253" w:lineRule="auto"/>
        <w:tabs>
          <w:tab w:leader="none" w:pos="1739" w:val="left"/>
        </w:tabs>
        <w:numPr>
          <w:ilvl w:val="0"/>
          <w:numId w:val="176"/>
        </w:numPr>
        <w:rPr>
          <w:rFonts w:ascii="Arial" w:cs="Arial" w:eastAsia="Arial" w:hAnsi="Arial"/>
          <w:sz w:val="21"/>
          <w:szCs w:val="21"/>
          <w:color w:val="auto"/>
        </w:rPr>
      </w:pPr>
      <w:r>
        <w:rPr>
          <w:rFonts w:ascii="Arial" w:cs="Arial" w:eastAsia="Arial" w:hAnsi="Arial"/>
          <w:sz w:val="21"/>
          <w:szCs w:val="21"/>
          <w:color w:val="auto"/>
        </w:rPr>
        <w:t>An Option is an extraordinary item that does not constitute compensation of any kind for services of any kind rendered to the Employer, and which is outside the scope of the Optionee’s employment contract, if 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02"/>
        </w:trPr>
        <w:tc>
          <w:tcPr>
            <w:tcW w:w="6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32" w:name="page133"/>
    <w:bookmarkEnd w:id="132"/>
    <w:p>
      <w:pPr>
        <w:jc w:val="both"/>
        <w:ind w:right="40" w:firstLine="882"/>
        <w:spacing w:after="0" w:line="238" w:lineRule="auto"/>
        <w:tabs>
          <w:tab w:leader="none" w:pos="172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Options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179" w:lineRule="exact"/>
        <w:rPr>
          <w:rFonts w:ascii="Arial" w:cs="Arial" w:eastAsia="Arial" w:hAnsi="Arial"/>
          <w:sz w:val="21"/>
          <w:szCs w:val="21"/>
          <w:color w:val="auto"/>
        </w:rPr>
      </w:pPr>
    </w:p>
    <w:p>
      <w:pPr>
        <w:ind w:right="40" w:firstLine="882"/>
        <w:spacing w:after="0" w:line="253" w:lineRule="auto"/>
        <w:tabs>
          <w:tab w:leader="none" w:pos="1705"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Options will not be interpreted to form an employment contract or relationship with the Company; and furthermore, the Options will not be interpreted to form an employment contract with any Subsidiary.</w:t>
      </w:r>
    </w:p>
    <w:p>
      <w:pPr>
        <w:spacing w:after="0" w:line="162" w:lineRule="exact"/>
        <w:rPr>
          <w:rFonts w:ascii="Arial" w:cs="Arial" w:eastAsia="Arial" w:hAnsi="Arial"/>
          <w:sz w:val="21"/>
          <w:szCs w:val="21"/>
          <w:color w:val="auto"/>
        </w:rPr>
      </w:pPr>
    </w:p>
    <w:p>
      <w:pPr>
        <w:jc w:val="both"/>
        <w:ind w:right="40" w:firstLine="882"/>
        <w:spacing w:after="0" w:line="242" w:lineRule="auto"/>
        <w:tabs>
          <w:tab w:leader="none" w:pos="1739"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This Agreement shall not confer upon the Optionee any right to continuation of employment by the Employer, nor shall this Agreement interfere in any way with the Employer’s right to terminate the Optionee’s employment at any time, as may be permitted under local law.</w:t>
      </w:r>
    </w:p>
    <w:p>
      <w:pPr>
        <w:spacing w:after="0" w:line="173" w:lineRule="exact"/>
        <w:rPr>
          <w:rFonts w:ascii="Arial" w:cs="Arial" w:eastAsia="Arial" w:hAnsi="Arial"/>
          <w:sz w:val="21"/>
          <w:szCs w:val="21"/>
          <w:color w:val="auto"/>
        </w:rPr>
      </w:pPr>
    </w:p>
    <w:p>
      <w:pPr>
        <w:ind w:right="40" w:firstLine="882"/>
        <w:spacing w:after="0" w:line="253" w:lineRule="auto"/>
        <w:tabs>
          <w:tab w:leader="none" w:pos="1739"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 if the value of the Shares does not increase after the time of grant, this Option will have no value.</w:t>
      </w:r>
    </w:p>
    <w:p>
      <w:pPr>
        <w:spacing w:after="0" w:line="162" w:lineRule="exact"/>
        <w:rPr>
          <w:rFonts w:ascii="Arial" w:cs="Arial" w:eastAsia="Arial" w:hAnsi="Arial"/>
          <w:sz w:val="21"/>
          <w:szCs w:val="21"/>
          <w:color w:val="auto"/>
        </w:rPr>
      </w:pPr>
    </w:p>
    <w:p>
      <w:pPr>
        <w:ind w:left="1700" w:hanging="818"/>
        <w:spacing w:after="0"/>
        <w:tabs>
          <w:tab w:leader="none" w:pos="1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Options vest and the Optionee obtains Shares, the value of those Shares acquired may increase or decrease in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value.</w:t>
      </w:r>
    </w:p>
    <w:p>
      <w:pPr>
        <w:spacing w:after="0" w:line="179" w:lineRule="exact"/>
        <w:rPr>
          <w:rFonts w:ascii="Arial" w:cs="Arial" w:eastAsia="Arial" w:hAnsi="Arial"/>
          <w:sz w:val="18"/>
          <w:szCs w:val="18"/>
          <w:color w:val="auto"/>
        </w:rPr>
      </w:pPr>
    </w:p>
    <w:p>
      <w:pPr>
        <w:jc w:val="both"/>
        <w:ind w:right="40" w:firstLine="882"/>
        <w:spacing w:after="0" w:line="249" w:lineRule="auto"/>
        <w:tabs>
          <w:tab w:leader="none" w:pos="169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In consideration of the grant of the Options, no claim or entitlement to compensation or damages shall arise from termination of the Options or diminution in value of the Options or Shares acquired upon exercise of the Option resulting from termination of the Optionee’s employment (for any reason whatsoever and whether or not in breach of local labor laws) and the Optionee irrevocably releases the Company and the Employer (if different) from any such claim that may arise; if, notwithstanding the foregoing, any such claim is found by a court of competent jurisdiction to have arisen, then, by accepting this Option, the Optionee will be deemed irrevocably to have waived the Optionee’s entitlement to pursue such claim.</w:t>
      </w:r>
    </w:p>
    <w:p>
      <w:pPr>
        <w:spacing w:after="0" w:line="170" w:lineRule="exact"/>
        <w:rPr>
          <w:rFonts w:ascii="Arial" w:cs="Arial" w:eastAsia="Arial" w:hAnsi="Arial"/>
          <w:sz w:val="20"/>
          <w:szCs w:val="20"/>
          <w:color w:val="auto"/>
        </w:rPr>
      </w:pPr>
    </w:p>
    <w:p>
      <w:pPr>
        <w:ind w:right="40" w:firstLine="882"/>
        <w:spacing w:after="0" w:line="253" w:lineRule="auto"/>
        <w:tabs>
          <w:tab w:leader="none" w:pos="1739"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Options and benefits under the Plan, if any, will not automatically transfer to another company in the case of a merger, take-over or transfer of liability.</w:t>
      </w:r>
    </w:p>
    <w:p>
      <w:pPr>
        <w:spacing w:after="0" w:line="157" w:lineRule="exact"/>
        <w:rPr>
          <w:sz w:val="20"/>
          <w:szCs w:val="20"/>
          <w:color w:val="auto"/>
        </w:rPr>
      </w:pPr>
    </w:p>
    <w:p>
      <w:pPr>
        <w:jc w:val="both"/>
        <w:ind w:right="40" w:firstLine="882"/>
        <w:spacing w:after="0"/>
        <w:tabs>
          <w:tab w:leader="none" w:pos="1757" w:val="left"/>
        </w:tabs>
        <w:numPr>
          <w:ilvl w:val="0"/>
          <w:numId w:val="1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Option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auto"/>
        </w:rPr>
      </w:pPr>
    </w:p>
    <w:p>
      <w:pPr>
        <w:jc w:val="both"/>
        <w:ind w:right="40" w:firstLine="882"/>
        <w:spacing w:after="0"/>
        <w:tabs>
          <w:tab w:leader="none" w:pos="1757" w:val="left"/>
        </w:tabs>
        <w:numPr>
          <w:ilvl w:val="0"/>
          <w:numId w:val="1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 Providing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is not providing any tax, legal or financial advice, nor is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any recommendations regarding Optionee’s participation in the Plan, or Optionee’s acquisition or sale of the Shares underlying the Option. Optionee is hereby advised to consult with his or her own personal tax, legal and financial advisors regarding his or her participation in the Plan before taking any action related to the Plan.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20"/>
                <w:szCs w:val="20"/>
                <w:color w:val="auto"/>
              </w:rPr>
            </w:pPr>
            <w:r>
              <w:rPr>
                <w:rFonts w:ascii="Arial" w:cs="Arial" w:eastAsia="Arial" w:hAnsi="Arial"/>
                <w:sz w:val="14"/>
                <w:szCs w:val="14"/>
                <w:color w:val="auto"/>
              </w:rPr>
              <w:t>CEO Stock Option Agreement</w:t>
            </w:r>
          </w:p>
        </w:tc>
        <w:tc>
          <w:tcPr>
            <w:tcW w:w="4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02"/>
        </w:trPr>
        <w:tc>
          <w:tcPr>
            <w:tcW w:w="6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33" w:name="page134"/>
    <w:bookmarkEnd w:id="133"/>
    <w:p>
      <w:pPr>
        <w:jc w:val="both"/>
        <w:ind w:firstLine="882"/>
        <w:spacing w:after="0"/>
        <w:tabs>
          <w:tab w:leader="none" w:pos="1757" w:val="left"/>
        </w:tabs>
        <w:numPr>
          <w:ilvl w:val="0"/>
          <w:numId w:val="1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validity, construction and effect of this Agreement shall be governed</w:t>
      </w:r>
      <w:r>
        <w:rPr>
          <w:rFonts w:ascii="Arial" w:cs="Arial" w:eastAsia="Arial" w:hAnsi="Arial"/>
          <w:sz w:val="21"/>
          <w:szCs w:val="21"/>
          <w:b w:val="1"/>
          <w:bCs w:val="1"/>
          <w:color w:val="auto"/>
        </w:rPr>
        <w:t xml:space="preserve"> </w:t>
      </w:r>
      <w:r>
        <w:rPr>
          <w:rFonts w:ascii="Arial" w:cs="Arial" w:eastAsia="Arial" w:hAnsi="Arial"/>
          <w:sz w:val="21"/>
          <w:szCs w:val="21"/>
          <w:color w:val="auto"/>
        </w:rPr>
        <w:t>by the laws of the State of Delaware, without reference to principles of conflict of laws. Any dispute concerning this Agreement will be resolved exclusively in the state or federal courts in Harris County, Texas, and the Optionee agrees to exclusive venue and jurisdiction in such courts as a condition of receiving this Award.</w:t>
      </w:r>
    </w:p>
    <w:p>
      <w:pPr>
        <w:spacing w:after="0" w:line="171" w:lineRule="exact"/>
        <w:rPr>
          <w:rFonts w:ascii="Arial" w:cs="Arial" w:eastAsia="Arial" w:hAnsi="Arial"/>
          <w:sz w:val="21"/>
          <w:szCs w:val="21"/>
          <w:b w:val="1"/>
          <w:bCs w:val="1"/>
          <w:color w:val="auto"/>
        </w:rPr>
      </w:pPr>
    </w:p>
    <w:p>
      <w:pPr>
        <w:jc w:val="both"/>
        <w:ind w:firstLine="882"/>
        <w:spacing w:after="0" w:line="264" w:lineRule="auto"/>
        <w:tabs>
          <w:tab w:leader="none" w:pos="1757" w:val="left"/>
        </w:tabs>
        <w:numPr>
          <w:ilvl w:val="0"/>
          <w:numId w:val="1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 Terms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Agreement to the contrary, the Option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special terms and conditions for the Optionee’s country of residence (and country of employment, if different), as are set forth in the Appendix to this Agreement (the “Appendix”). Further, if the Optionee transfers residency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 or to facilitate the operation and administration of the Option and the Plan (or the Company may establish alternative terms and conditions as may be necessary or advisable to accommodate the Optionee’s transfer). In all circumstances, the Appendix shall constitute part of this Agreement.</w:t>
      </w:r>
    </w:p>
    <w:p>
      <w:pPr>
        <w:spacing w:after="0" w:line="152" w:lineRule="exact"/>
        <w:rPr>
          <w:rFonts w:ascii="Arial" w:cs="Arial" w:eastAsia="Arial" w:hAnsi="Arial"/>
          <w:sz w:val="19"/>
          <w:szCs w:val="19"/>
          <w:b w:val="1"/>
          <w:bCs w:val="1"/>
          <w:color w:val="auto"/>
        </w:rPr>
      </w:pPr>
    </w:p>
    <w:p>
      <w:pPr>
        <w:jc w:val="both"/>
        <w:ind w:firstLine="882"/>
        <w:spacing w:after="0" w:line="262" w:lineRule="auto"/>
        <w:tabs>
          <w:tab w:leader="none" w:pos="1757" w:val="left"/>
        </w:tabs>
        <w:numPr>
          <w:ilvl w:val="0"/>
          <w:numId w:val="1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Additional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reserves the right to impose other requirements on the Options, 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pursuant to the Options, and the Optionee’s participation in the Plan, to the extent the Company determines, in its sole discretion, that such other requirements are necessary or advisable in order to comply with local law or to facilitate the operation and administration of the Options and the Plan. Such requirements may include (but are not limited to) requiring the Optionee to sign any</w:t>
      </w:r>
    </w:p>
    <w:p>
      <w:pPr>
        <w:spacing w:after="0"/>
        <w:rPr>
          <w:rFonts w:ascii="Arial" w:cs="Arial" w:eastAsia="Arial" w:hAnsi="Arial"/>
          <w:sz w:val="19"/>
          <w:szCs w:val="19"/>
          <w:b w:val="1"/>
          <w:bCs w:val="1"/>
          <w:color w:val="auto"/>
        </w:rPr>
      </w:pPr>
      <w:r>
        <w:rPr>
          <w:rFonts w:ascii="Arial" w:cs="Arial" w:eastAsia="Arial" w:hAnsi="Arial"/>
          <w:sz w:val="21"/>
          <w:szCs w:val="21"/>
          <w:color w:val="auto"/>
        </w:rPr>
        <w:t>agreements or undertakings that may be necessary to accomplish the foregoing.</w:t>
      </w:r>
    </w:p>
    <w:p>
      <w:pPr>
        <w:spacing w:after="0" w:line="215"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____________________________________________</w:t>
      </w:r>
    </w:p>
    <w:p>
      <w:pPr>
        <w:sectPr>
          <w:pgSz w:w="11900" w:h="16838" w:orient="portrait"/>
          <w:cols w:equalWidth="0" w:num="1">
            <w:col w:w="11420"/>
          </w:cols>
          <w:pgMar w:left="240" w:top="319"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auto"/>
        </w:rPr>
        <w:t>CEO Stock Option Agreement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ectPr>
          <w:pgSz w:w="11900" w:h="16838" w:orient="portrait"/>
          <w:cols w:equalWidth="0" w:num="2">
            <w:col w:w="10640" w:space="720"/>
            <w:col w:w="60"/>
          </w:cols>
          <w:pgMar w:left="240" w:top="319"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1"/>
          <w:szCs w:val="21"/>
          <w:color w:val="auto"/>
        </w:rPr>
        <w:t>Exhibit 10.39</w:t>
      </w:r>
    </w:p>
    <w:p>
      <w:pPr>
        <w:spacing w:after="0" w:line="192"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21"/>
          <w:szCs w:val="21"/>
          <w:b w:val="1"/>
          <w:bCs w:val="1"/>
          <w:i w:val="1"/>
          <w:iCs w:val="1"/>
          <w:u w:val="single" w:color="auto"/>
          <w:color w:val="auto"/>
        </w:rPr>
        <w:t>NON-QUALIFIED STOCK OPTION AGREEMENT</w:t>
      </w:r>
    </w:p>
    <w:p>
      <w:pPr>
        <w:spacing w:after="0" w:line="174"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21"/>
          <w:szCs w:val="21"/>
          <w:b w:val="1"/>
          <w:bCs w:val="1"/>
          <w:color w:val="auto"/>
        </w:rPr>
        <w:t>Effective Date: [</w:t>
      </w:r>
      <w:r>
        <w:rPr>
          <w:sz w:val="20"/>
          <w:szCs w:val="20"/>
          <w:color w:val="auto"/>
        </w:rPr>
        <w:tab/>
      </w:r>
      <w:r>
        <w:rPr>
          <w:rFonts w:ascii="Arial" w:cs="Arial" w:eastAsia="Arial" w:hAnsi="Arial"/>
          <w:sz w:val="18"/>
          <w:szCs w:val="18"/>
          <w:b w:val="1"/>
          <w:bCs w:val="1"/>
          <w:color w:val="auto"/>
        </w:rPr>
        <w:t>], 2011</w:t>
      </w:r>
    </w:p>
    <w:p>
      <w:pPr>
        <w:spacing w:after="0" w:line="198" w:lineRule="exact"/>
        <w:rPr>
          <w:sz w:val="20"/>
          <w:szCs w:val="20"/>
          <w:color w:val="auto"/>
        </w:rPr>
      </w:pPr>
    </w:p>
    <w:p>
      <w:pPr>
        <w:jc w:val="both"/>
        <w:ind w:firstLine="882"/>
        <w:spacing w:after="0" w:line="275" w:lineRule="auto"/>
        <w:tabs>
          <w:tab w:leader="none" w:pos="1653"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As an additional incentive and inducement to you to remain in the employment of the Company or one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direct or indirect subsidiaries and to acquire an ownership position in the Company, thereby aligning your interests with those of the Company and its stockholders, the Company hereby grants to you, the “Optionee”, the option to purchase common stock of the Company from the Company at the times and upon the terms and conditions set forth on the attached Notice of Grant of Stock Options and Option Agreement (the “Agreement”). If Optionee completes, signs, and returns one copy of this Agreement to the Company in Houston, Texas,</w:t>
      </w:r>
    </w:p>
    <w:p>
      <w:pPr>
        <w:spacing w:after="0" w:line="1" w:lineRule="exact"/>
        <w:rPr>
          <w:sz w:val="20"/>
          <w:szCs w:val="20"/>
          <w:color w:val="auto"/>
        </w:rPr>
      </w:pPr>
    </w:p>
    <w:p>
      <w:pPr>
        <w:spacing w:after="0"/>
        <w:tabs>
          <w:tab w:leader="none" w:pos="4700" w:val="left"/>
        </w:tabs>
        <w:rPr>
          <w:sz w:val="20"/>
          <w:szCs w:val="20"/>
          <w:color w:val="auto"/>
        </w:rPr>
      </w:pPr>
      <w:r>
        <w:rPr>
          <w:rFonts w:ascii="Arial" w:cs="Arial" w:eastAsia="Arial" w:hAnsi="Arial"/>
          <w:sz w:val="21"/>
          <w:szCs w:val="21"/>
          <w:color w:val="auto"/>
        </w:rPr>
        <w:t xml:space="preserve">U.S.A., this Agreement will become effective as of </w:t>
      </w:r>
      <w:r>
        <w:rPr>
          <w:rFonts w:ascii="Arial" w:cs="Arial" w:eastAsia="Arial" w:hAnsi="Arial"/>
          <w:sz w:val="21"/>
          <w:szCs w:val="21"/>
          <w:b w:val="1"/>
          <w:bCs w:val="1"/>
          <w:color w:val="auto"/>
        </w:rPr>
        <w:t>[</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174" w:lineRule="exact"/>
        <w:rPr>
          <w:sz w:val="20"/>
          <w:szCs w:val="20"/>
          <w:color w:val="auto"/>
        </w:rPr>
      </w:pPr>
    </w:p>
    <w:p>
      <w:pPr>
        <w:jc w:val="both"/>
        <w:ind w:firstLine="882"/>
        <w:spacing w:after="0" w:line="245" w:lineRule="auto"/>
        <w:tabs>
          <w:tab w:leader="none" w:pos="1653" w:val="left"/>
        </w:tabs>
        <w:numPr>
          <w:ilvl w:val="0"/>
          <w:numId w:val="1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2005 Equity Incentive Plan </w:t>
      </w:r>
      <w:r>
        <w:rPr>
          <w:rFonts w:ascii="Arial" w:cs="Arial" w:eastAsia="Arial" w:hAnsi="Arial"/>
          <w:sz w:val="21"/>
          <w:szCs w:val="21"/>
          <w:color w:val="auto"/>
        </w:rPr>
        <w:t>(the "Plan"), a copy of which is attached hereto, and in the event there is a conflict between the terms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Agreement, the terms of the Plan shall control.</w:t>
      </w:r>
    </w:p>
    <w:p>
      <w:pPr>
        <w:spacing w:after="0" w:line="164" w:lineRule="exact"/>
        <w:rPr>
          <w:rFonts w:ascii="Arial" w:cs="Arial" w:eastAsia="Arial" w:hAnsi="Arial"/>
          <w:sz w:val="21"/>
          <w:szCs w:val="21"/>
          <w:b w:val="1"/>
          <w:bCs w:val="1"/>
          <w:color w:val="auto"/>
        </w:rPr>
      </w:pPr>
    </w:p>
    <w:p>
      <w:pPr>
        <w:ind w:left="1660" w:hanging="778"/>
        <w:spacing w:after="0"/>
        <w:tabs>
          <w:tab w:leader="none" w:pos="1660"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the Shares of the Company’s common stock subject to the Agreement shall</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73" w:lineRule="exact"/>
        <w:rPr>
          <w:rFonts w:ascii="Arial" w:cs="Arial" w:eastAsia="Arial" w:hAnsi="Arial"/>
          <w:sz w:val="19"/>
          <w:szCs w:val="19"/>
          <w:b w:val="1"/>
          <w:bCs w:val="1"/>
          <w:color w:val="auto"/>
        </w:rPr>
      </w:pPr>
    </w:p>
    <w:p>
      <w:pPr>
        <w:ind w:left="1660" w:hanging="778"/>
        <w:spacing w:after="0"/>
        <w:tabs>
          <w:tab w:leader="none" w:pos="1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pursuant to the Agreement (“Option”) may be exercised, in whole or in part, but only as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340" w:type="dxa"/>
            <w:vAlign w:val="bottom"/>
          </w:tcPr>
          <w:p>
            <w:pPr>
              <w:spacing w:after="0"/>
              <w:rPr>
                <w:sz w:val="20"/>
                <w:szCs w:val="20"/>
                <w:color w:val="auto"/>
              </w:rPr>
            </w:pPr>
            <w:r>
              <w:rPr>
                <w:rFonts w:ascii="Arial" w:cs="Arial" w:eastAsia="Arial" w:hAnsi="Arial"/>
                <w:sz w:val="21"/>
                <w:szCs w:val="21"/>
                <w:color w:val="auto"/>
                <w:w w:val="91"/>
              </w:rPr>
              <w:t xml:space="preserve">to the number of Shares as to which the right to exercise has vested at the time of exercise, during the period beginning </w:t>
            </w:r>
            <w:r>
              <w:rPr>
                <w:rFonts w:ascii="Arial" w:cs="Arial" w:eastAsia="Arial" w:hAnsi="Arial"/>
                <w:sz w:val="21"/>
                <w:szCs w:val="21"/>
                <w:b w:val="1"/>
                <w:bCs w:val="1"/>
                <w:color w:val="auto"/>
                <w:w w:val="91"/>
              </w:rPr>
              <w:t>[</w:t>
            </w:r>
          </w:p>
        </w:tc>
        <w:tc>
          <w:tcPr>
            <w:tcW w:w="1080" w:type="dxa"/>
            <w:vAlign w:val="bottom"/>
          </w:tcPr>
          <w:p>
            <w:pPr>
              <w:ind w:left="60"/>
              <w:spacing w:after="0"/>
              <w:rPr>
                <w:sz w:val="20"/>
                <w:szCs w:val="20"/>
                <w:color w:val="auto"/>
              </w:rPr>
            </w:pPr>
            <w:r>
              <w:rPr>
                <w:rFonts w:ascii="Arial" w:cs="Arial" w:eastAsia="Arial" w:hAnsi="Arial"/>
                <w:sz w:val="21"/>
                <w:szCs w:val="21"/>
                <w:b w:val="1"/>
                <w:bCs w:val="1"/>
                <w:color w:val="auto"/>
                <w:w w:val="88"/>
              </w:rPr>
              <w:t xml:space="preserve">], 2012 </w:t>
            </w:r>
            <w:r>
              <w:rPr>
                <w:rFonts w:ascii="Arial" w:cs="Arial" w:eastAsia="Arial" w:hAnsi="Arial"/>
                <w:sz w:val="21"/>
                <w:szCs w:val="21"/>
                <w:color w:val="auto"/>
                <w:w w:val="88"/>
              </w:rPr>
              <w:t>(one</w:t>
            </w:r>
          </w:p>
        </w:tc>
      </w:tr>
      <w:tr>
        <w:trPr>
          <w:trHeight w:val="270"/>
        </w:trPr>
        <w:tc>
          <w:tcPr>
            <w:tcW w:w="10340" w:type="dxa"/>
            <w:vAlign w:val="bottom"/>
          </w:tcPr>
          <w:p>
            <w:pPr>
              <w:spacing w:after="0"/>
              <w:rPr>
                <w:sz w:val="20"/>
                <w:szCs w:val="20"/>
                <w:color w:val="auto"/>
              </w:rPr>
            </w:pPr>
            <w:r>
              <w:rPr>
                <w:rFonts w:ascii="Arial" w:cs="Arial" w:eastAsia="Arial" w:hAnsi="Arial"/>
                <w:sz w:val="21"/>
                <w:szCs w:val="21"/>
                <w:color w:val="auto"/>
                <w:w w:val="91"/>
              </w:rPr>
              <w:t xml:space="preserve">year from the date on which it was granted), and ending </w:t>
            </w:r>
            <w:r>
              <w:rPr>
                <w:rFonts w:ascii="Arial" w:cs="Arial" w:eastAsia="Arial" w:hAnsi="Arial"/>
                <w:sz w:val="21"/>
                <w:szCs w:val="21"/>
                <w:b w:val="1"/>
                <w:bCs w:val="1"/>
                <w:color w:val="auto"/>
                <w:w w:val="91"/>
              </w:rPr>
              <w:t>[   ], 2021</w:t>
            </w:r>
            <w:r>
              <w:rPr>
                <w:rFonts w:ascii="Arial" w:cs="Arial" w:eastAsia="Arial" w:hAnsi="Arial"/>
                <w:sz w:val="21"/>
                <w:szCs w:val="21"/>
                <w:color w:val="auto"/>
                <w:w w:val="91"/>
              </w:rPr>
              <w:t xml:space="preserve"> (ten years from the date on which Option was granted.)</w:t>
            </w:r>
          </w:p>
        </w:tc>
        <w:tc>
          <w:tcPr>
            <w:tcW w:w="1080" w:type="dxa"/>
            <w:vAlign w:val="bottom"/>
          </w:tcPr>
          <w:p>
            <w:pPr>
              <w:spacing w:after="0"/>
              <w:rPr>
                <w:sz w:val="23"/>
                <w:szCs w:val="23"/>
                <w:color w:val="auto"/>
              </w:rPr>
            </w:pPr>
          </w:p>
        </w:tc>
      </w:tr>
    </w:tbl>
    <w:p>
      <w:pPr>
        <w:spacing w:after="0" w:line="169"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herein may be exercised as to vested Shares, in whole or in part, from time</w:t>
      </w:r>
      <w:r>
        <w:rPr>
          <w:rFonts w:ascii="Arial" w:cs="Arial" w:eastAsia="Arial" w:hAnsi="Arial"/>
          <w:sz w:val="20"/>
          <w:szCs w:val="20"/>
          <w:b w:val="1"/>
          <w:bCs w:val="1"/>
          <w:color w:val="auto"/>
        </w:rPr>
        <w:t xml:space="preserve"> </w:t>
      </w:r>
      <w:r>
        <w:rPr>
          <w:rFonts w:ascii="Arial" w:cs="Arial" w:eastAsia="Arial" w:hAnsi="Arial"/>
          <w:sz w:val="20"/>
          <w:szCs w:val="20"/>
          <w:color w:val="auto"/>
        </w:rPr>
        <w:t>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 form substantially similar to the form attached hereto. Payment of the purchase price of the Shares that the Optionee desires to purchase shall be tendered in full at the time of giving notice by (i) cash, check, or bank draft payable and acceptable to the Company (or the equivalent thereof acceptable to the Company), (ii) Shares theretofore owned and held by the Optionee for more than six months, (iii) a combination of cash and Shares theretofore owned and held by the Optionee for more than six months, or (iv) 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 The notice shall state a requested delivery date for the Share certificate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729424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both"/>
        <w:spacing w:after="0" w:line="238" w:lineRule="auto"/>
        <w:rPr>
          <w:sz w:val="20"/>
          <w:szCs w:val="20"/>
          <w:color w:val="auto"/>
        </w:rPr>
      </w:pPr>
      <w:r>
        <w:rPr>
          <w:rFonts w:ascii="Arial" w:cs="Arial" w:eastAsia="Arial" w:hAnsi="Arial"/>
          <w:sz w:val="21"/>
          <w:szCs w:val="21"/>
          <w:color w:val="auto"/>
        </w:rPr>
        <w:t>certificates at least fifteen days after the delivery of such notice; provided, however, that if the Optionee is exercising any Option granted pursuant to this Agreement in connection with a broker's transaction described in 5(iv) above, such notice shall state a requested date of delivery to the broker of such Share certificate or certificates which shall be no later than five business days after delivery of such notice or such greater or lesser time as may be required or permitted by law.</w:t>
      </w:r>
    </w:p>
    <w:p>
      <w:pPr>
        <w:spacing w:after="0" w:line="172" w:lineRule="exact"/>
        <w:rPr>
          <w:sz w:val="20"/>
          <w:szCs w:val="20"/>
          <w:color w:val="auto"/>
        </w:rPr>
      </w:pPr>
    </w:p>
    <w:p>
      <w:pPr>
        <w:jc w:val="both"/>
        <w:ind w:firstLine="882"/>
        <w:spacing w:after="0"/>
        <w:tabs>
          <w:tab w:leader="none" w:pos="1653" w:val="left"/>
        </w:tabs>
        <w:numPr>
          <w:ilvl w:val="0"/>
          <w:numId w:val="1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Shares Subject to Listing and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 granted herein shall be subject to the listing, registration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qualification of the Shares subject to such Option upon any securities exchange or under any applicable state or federal law. This Option may not be exercised in whole or in part unless such listing, registration or qualification shall have been effected or obtained free of any conditions not reasonably acceptable to the Board of Directors.</w:t>
      </w:r>
    </w:p>
    <w:p>
      <w:pPr>
        <w:spacing w:after="0" w:line="171" w:lineRule="exact"/>
        <w:rPr>
          <w:rFonts w:ascii="Arial" w:cs="Arial" w:eastAsia="Arial" w:hAnsi="Arial"/>
          <w:sz w:val="21"/>
          <w:szCs w:val="21"/>
          <w:b w:val="1"/>
          <w:bCs w:val="1"/>
          <w:color w:val="auto"/>
        </w:rPr>
      </w:pPr>
    </w:p>
    <w:p>
      <w:pPr>
        <w:jc w:val="both"/>
        <w:ind w:firstLine="882"/>
        <w:spacing w:after="0" w:line="266" w:lineRule="auto"/>
        <w:tabs>
          <w:tab w:leader="none" w:pos="1653"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in the Company's Capital 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subject to the Option and the price per Share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upon exercise of the Option shall be subject to the provisions of the Plan relating to adjustments to corporate capitalization, provided; however, that in the event of any reorganization, recapitalization, dividend or distribution (whether in cash, shares or other property, other than a regular cash dividend), stock split, reverse stock split or other similar change in corporate structure affecting the Shares subject to the Option, the Option shall be appropriately adjusted to reflect such change, but only so far as is necessary to maintain the proportionate interest of the Participant and preserve, without exceeding, the value of such Option.</w:t>
      </w:r>
    </w:p>
    <w:p>
      <w:pPr>
        <w:spacing w:after="0" w:line="149" w:lineRule="exact"/>
        <w:rPr>
          <w:rFonts w:ascii="Arial" w:cs="Arial" w:eastAsia="Arial" w:hAnsi="Arial"/>
          <w:sz w:val="19"/>
          <w:szCs w:val="19"/>
          <w:b w:val="1"/>
          <w:bCs w:val="1"/>
          <w:color w:val="auto"/>
        </w:rPr>
      </w:pPr>
    </w:p>
    <w:p>
      <w:pPr>
        <w:ind w:left="1660" w:hanging="778"/>
        <w:spacing w:after="0"/>
        <w:tabs>
          <w:tab w:leader="none" w:pos="1660" w:val="left"/>
        </w:tabs>
        <w:numPr>
          <w:ilvl w:val="0"/>
          <w:numId w:val="1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firstLine="882"/>
        <w:spacing w:after="0" w:line="246" w:lineRule="auto"/>
        <w:tabs>
          <w:tab w:leader="none" w:pos="1728"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Optionee acknowledges that the Optionee is in possession of and has access to confidential information, including material relating to the business, products or services of the Company and that he or she will continue to have such possession and access during employment by the Company. The Optionee also acknowledges that the Company’s business, products and services are highly specialized and that it is essential that they be protected, and, accordingly, the Optionee agrees that as partial consideration for the Option granted herein that should the Optionee engage in any “Detrimental Activity,” as defined below, at any time during his or her employment or during a period of one year following his or her termination the Company shall be entitled to: (i) cancel any un-exercised portion of the Option; (ii) recover from the Optionee the value of any portion of the Option that has been exercised; (iii) seek injunctive relief against the Optionee; (iv) recover all damages, court costs, and attorneys’ fees incurred by the Company in enforcing the provisions of this Option grant, and (v) set-off any such sums to which the Company is entitled hereunder against any sum which may be owed the Optionee by the Company.</w:t>
      </w:r>
    </w:p>
    <w:p>
      <w:pPr>
        <w:spacing w:after="0" w:line="175" w:lineRule="exact"/>
        <w:rPr>
          <w:rFonts w:ascii="Arial" w:cs="Arial" w:eastAsia="Arial" w:hAnsi="Arial"/>
          <w:sz w:val="20"/>
          <w:szCs w:val="20"/>
          <w:color w:val="auto"/>
        </w:rPr>
      </w:pPr>
    </w:p>
    <w:p>
      <w:pPr>
        <w:jc w:val="both"/>
        <w:ind w:firstLine="882"/>
        <w:spacing w:after="0" w:line="268" w:lineRule="auto"/>
        <w:tabs>
          <w:tab w:leader="none" w:pos="173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“Detrimental Activity” for the purposes hereof, other than with respect to involuntary termination without cause, termination in connection with or as a result of a “Change of Control” (as defined in Section 10(b) hereof), or termination following a reduction in job responsibilities, shall include: (i) rendering of services for any person or organization, or engaging directly or indirectly in any business, which is or becomes competitive with the Company; (ii) disclosing to anyone outside the Company, or using in other than the Company’s business, without prior written authorization from the Company, any confidential information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6" w:name="page137"/>
    <w:bookmarkEnd w:id="136"/>
    <w:p>
      <w:pPr>
        <w:jc w:val="both"/>
        <w:spacing w:after="0" w:line="265" w:lineRule="auto"/>
        <w:rPr>
          <w:sz w:val="20"/>
          <w:szCs w:val="20"/>
          <w:color w:val="auto"/>
        </w:rPr>
      </w:pPr>
      <w:r>
        <w:rPr>
          <w:rFonts w:ascii="Arial" w:cs="Arial" w:eastAsia="Arial" w:hAnsi="Arial"/>
          <w:sz w:val="19"/>
          <w:szCs w:val="19"/>
          <w:color w:val="auto"/>
        </w:rPr>
        <w:t>including material relating to the business, products or services of the Company acquired by the Optionee during employment with the Company; (iii) soliciting, interfering, inducing, or attempting to cause any employee of the Company to leave his or her employment, whether done on Optionee’s own account or on account of any person, organization or business which is or becomes competitive with the Company, or (iv) directly or indirectly soliciting the trade or business of any customer of the Company. “Detrimental Activity” for the purposes hereof with respect to involuntary termination without cause, termination in connection with or as a result of a “Change of Control”, or termination following a reduction in job responsibilities, shall include only part (ii) of the preceding sentence.</w:t>
      </w:r>
    </w:p>
    <w:p>
      <w:pPr>
        <w:spacing w:after="0" w:line="147" w:lineRule="exact"/>
        <w:rPr>
          <w:sz w:val="20"/>
          <w:szCs w:val="20"/>
          <w:color w:val="auto"/>
        </w:rPr>
      </w:pPr>
    </w:p>
    <w:p>
      <w:pPr>
        <w:ind w:left="1660" w:hanging="778"/>
        <w:spacing w:after="0"/>
        <w:tabs>
          <w:tab w:leader="none" w:pos="1660" w:val="left"/>
        </w:tabs>
        <w:numPr>
          <w:ilvl w:val="0"/>
          <w:numId w:val="1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4" w:lineRule="exact"/>
        <w:rPr>
          <w:sz w:val="20"/>
          <w:szCs w:val="20"/>
          <w:color w:val="auto"/>
        </w:rPr>
      </w:pPr>
    </w:p>
    <w:p>
      <w:pPr>
        <w:jc w:val="both"/>
        <w:ind w:firstLine="882"/>
        <w:spacing w:after="0" w:line="236" w:lineRule="auto"/>
        <w:tabs>
          <w:tab w:leader="none" w:pos="1728" w:val="left"/>
        </w:tabs>
        <w:numPr>
          <w:ilvl w:val="1"/>
          <w:numId w:val="185"/>
        </w:numPr>
        <w:rPr>
          <w:rFonts w:ascii="Arial" w:cs="Arial" w:eastAsia="Arial" w:hAnsi="Arial"/>
          <w:sz w:val="21"/>
          <w:szCs w:val="21"/>
          <w:color w:val="auto"/>
        </w:rPr>
      </w:pPr>
      <w:r>
        <w:rPr>
          <w:rFonts w:ascii="Arial" w:cs="Arial" w:eastAsia="Arial" w:hAnsi="Arial"/>
          <w:sz w:val="21"/>
          <w:szCs w:val="21"/>
          <w:color w:val="auto"/>
        </w:rPr>
        <w:t>If the Optionee’s employment terminates, for reasons other than cause (as defined below), at age 60 or older and the Optionee has at least ten years of service with the Company, any unvested shares shall continue to vest according to the terms of the Option except that if such termination occurs within one year from grant date, the number of shares that will continue to vest shall be reduced to be proportionate to that portion of the year between grant date and termination date; and the Optionee shall have the right to exercise the Option at any time within the lesser of: (i) the term of the option, or (ii) a three (3) year period commencing on the day next following such termination; and</w:t>
      </w:r>
    </w:p>
    <w:p>
      <w:pPr>
        <w:spacing w:after="0" w:line="177" w:lineRule="exact"/>
        <w:rPr>
          <w:rFonts w:ascii="Arial" w:cs="Arial" w:eastAsia="Arial" w:hAnsi="Arial"/>
          <w:sz w:val="21"/>
          <w:szCs w:val="21"/>
          <w:color w:val="auto"/>
        </w:rPr>
      </w:pPr>
    </w:p>
    <w:p>
      <w:pPr>
        <w:jc w:val="both"/>
        <w:ind w:firstLine="882"/>
        <w:spacing w:after="0" w:line="238" w:lineRule="auto"/>
        <w:tabs>
          <w:tab w:leader="none" w:pos="1739" w:val="left"/>
        </w:tabs>
        <w:numPr>
          <w:ilvl w:val="1"/>
          <w:numId w:val="185"/>
        </w:numPr>
        <w:rPr>
          <w:rFonts w:ascii="Arial" w:cs="Arial" w:eastAsia="Arial" w:hAnsi="Arial"/>
          <w:sz w:val="21"/>
          <w:szCs w:val="21"/>
          <w:color w:val="auto"/>
        </w:rPr>
      </w:pPr>
      <w:r>
        <w:rPr>
          <w:rFonts w:ascii="Arial" w:cs="Arial" w:eastAsia="Arial" w:hAnsi="Arial"/>
          <w:sz w:val="21"/>
          <w:szCs w:val="21"/>
          <w:color w:val="auto"/>
        </w:rPr>
        <w:t>If the Optionee is an Executive Officer age 65 or older with at least ten years of service with the Company and the Optionee’s employment terminates, for reason other than cause (as defined below), or death or “long-term” disability (as defined below), any unvested shares shall continue to vest according to the terms of the Option and the Optionee shall have the right to exercise the Option according to the terms of the Option; and</w:t>
      </w:r>
    </w:p>
    <w:p>
      <w:pPr>
        <w:spacing w:after="0" w:line="179" w:lineRule="exact"/>
        <w:rPr>
          <w:rFonts w:ascii="Arial" w:cs="Arial" w:eastAsia="Arial" w:hAnsi="Arial"/>
          <w:sz w:val="21"/>
          <w:szCs w:val="21"/>
          <w:color w:val="auto"/>
        </w:rPr>
      </w:pPr>
    </w:p>
    <w:p>
      <w:pPr>
        <w:jc w:val="both"/>
        <w:ind w:firstLine="882"/>
        <w:spacing w:after="0" w:line="282" w:lineRule="auto"/>
        <w:tabs>
          <w:tab w:leader="none" w:pos="172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the Optionee’s employment terminates by reason of death or “long-term disability”, as defined below, of the Optionee, the Option shall vest in full, and the Optionee or his/her personal representatives, heirs, legatees or distributees shall have the right to exercise the Option granted hereunder at any time within the lesser of: (1) the term of the Option or, (ii) a three (3) year period commencing on the date next following such termination. For purposes of this Stock Option Agreement, “long-term disability” shall mean that the Optionee is unable to engage in any substantial gainful activity by reason of any medically determinable physical or mental impairment that can be expected to result in death or can be expected to last for a continuous period of not less than twelve months; and</w:t>
      </w:r>
    </w:p>
    <w:p>
      <w:pPr>
        <w:spacing w:after="0" w:line="142" w:lineRule="exact"/>
        <w:rPr>
          <w:rFonts w:ascii="Arial" w:cs="Arial" w:eastAsia="Arial" w:hAnsi="Arial"/>
          <w:sz w:val="18"/>
          <w:szCs w:val="18"/>
          <w:color w:val="auto"/>
        </w:rPr>
      </w:pPr>
    </w:p>
    <w:p>
      <w:pPr>
        <w:jc w:val="both"/>
        <w:ind w:firstLine="882"/>
        <w:spacing w:after="0" w:line="273" w:lineRule="auto"/>
        <w:tabs>
          <w:tab w:leader="none" w:pos="173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If the Optionee’s employment terminates by reason of a workforce reduction, any unvested Shares shall continue to vest according to the terms of the option,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unless the Optionee is an Executive Officer, age 65 or older and has at least ten years service with the Company at time of termination, if such termination occurs within one year from grant date, the number of shares that will continue to vest shall be reduced to be proportionate to that portion of the year between the grant date and termination date; and the Optionee shall have the right to exercise the Option granted hereunder at any time within the lesser of: (i) the term of the Option, or</w:t>
      </w:r>
    </w:p>
    <w:p>
      <w:pPr>
        <w:spacing w:after="0" w:line="3" w:lineRule="exact"/>
        <w:rPr>
          <w:rFonts w:ascii="Arial" w:cs="Arial" w:eastAsia="Arial" w:hAnsi="Arial"/>
          <w:sz w:val="18"/>
          <w:szCs w:val="18"/>
          <w:color w:val="auto"/>
        </w:rPr>
      </w:pPr>
    </w:p>
    <w:p>
      <w:pPr>
        <w:ind w:left="300" w:hanging="297"/>
        <w:spacing w:after="0"/>
        <w:tabs>
          <w:tab w:leader="none" w:pos="30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 three(3) year period commencing on the day next following such termination;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7" w:name="page138"/>
    <w:bookmarkEnd w:id="137"/>
    <w:p>
      <w:pPr>
        <w:jc w:val="both"/>
        <w:ind w:firstLine="882"/>
        <w:spacing w:after="0" w:line="251" w:lineRule="auto"/>
        <w:tabs>
          <w:tab w:leader="none" w:pos="172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If the Optionee’s employment terminates voluntarily other than as provided for in Sections (a), (b), (c) or (d) above, or as a result of involuntary termination other than for cause or as provided for in Sections (c) and (d) above, no additional Shares shall vest for the benefit of the Optionee after the termination date, and the Option shall be exercisable by the Optionee, with respect to those Shares which had already vested only, within a three (3) month period after such termination or the term of the Option, whichever is less, but only to the extent it was exercisable immediately prior to the date of termination; and</w:t>
      </w:r>
    </w:p>
    <w:p>
      <w:pPr>
        <w:spacing w:after="0" w:line="165" w:lineRule="exact"/>
        <w:rPr>
          <w:rFonts w:ascii="Arial" w:cs="Arial" w:eastAsia="Arial" w:hAnsi="Arial"/>
          <w:sz w:val="20"/>
          <w:szCs w:val="20"/>
          <w:color w:val="auto"/>
        </w:rPr>
      </w:pPr>
    </w:p>
    <w:p>
      <w:pPr>
        <w:jc w:val="both"/>
        <w:ind w:firstLine="882"/>
        <w:spacing w:after="0" w:line="247" w:lineRule="auto"/>
        <w:tabs>
          <w:tab w:leader="none" w:pos="1705"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If the Optionee’s employment is terminated for “cause”, the Option shall terminate and no longer be exercisable for either the vested or the unvested Shares. For purposes of the Option, “cause” shall mean the Optionee has (1) engaged in gross negligence or willful misconduct in the performance of his or her duties and responsibilities respecting his or her position with the Company, (2) willfully refused, without proper legal reason, to perform the duties and responsibilities respecting his or her position with the Company, (3) breached any material policy or code of conduct established by the Company and affecting the Optionee, (4) engaged in conduct that Optionee knows or should know is materially injurious to the Company, (5) been convicted of a felony or a misdemeanor involving moral turpitude, or (6) engaged in an act of dishonest or impropriety which materially impairs the Optionee’s effectiveness in his or her position with the Company; and</w:t>
      </w:r>
    </w:p>
    <w:p>
      <w:pPr>
        <w:spacing w:after="0" w:line="173" w:lineRule="exact"/>
        <w:rPr>
          <w:rFonts w:ascii="Arial" w:cs="Arial" w:eastAsia="Arial" w:hAnsi="Arial"/>
          <w:sz w:val="20"/>
          <w:szCs w:val="20"/>
          <w:color w:val="auto"/>
        </w:rPr>
      </w:pPr>
    </w:p>
    <w:p>
      <w:pPr>
        <w:jc w:val="both"/>
        <w:ind w:firstLine="882"/>
        <w:spacing w:after="0" w:line="272" w:lineRule="auto"/>
        <w:tabs>
          <w:tab w:leader="none" w:pos="173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In the event of any reorganization, recapitalization, dividend or distribution (whether in cash, shares or other property, other than a regular cash dividend), stock split, reverse stock split or other similar change in corporate structure affecting the shares subject to the stock option grant, the grant shall be appropriately adjusted to reflect such change, but only in so far as is necessary to maintain the proportionate interest of the holder of the grant and preserve, without exceeding, the value of such a grant.</w:t>
      </w:r>
    </w:p>
    <w:p>
      <w:pPr>
        <w:spacing w:after="0" w:line="140" w:lineRule="exact"/>
        <w:rPr>
          <w:sz w:val="20"/>
          <w:szCs w:val="20"/>
          <w:color w:val="auto"/>
        </w:rPr>
      </w:pPr>
    </w:p>
    <w:p>
      <w:pPr>
        <w:ind w:left="1760" w:hanging="878"/>
        <w:spacing w:after="0"/>
        <w:tabs>
          <w:tab w:leader="none" w:pos="1760" w:val="left"/>
        </w:tabs>
        <w:numPr>
          <w:ilvl w:val="0"/>
          <w:numId w:val="18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p>
    <w:p>
      <w:pPr>
        <w:spacing w:after="0" w:line="204" w:lineRule="exact"/>
        <w:rPr>
          <w:sz w:val="20"/>
          <w:szCs w:val="20"/>
          <w:color w:val="auto"/>
        </w:rPr>
      </w:pPr>
    </w:p>
    <w:p>
      <w:pPr>
        <w:ind w:firstLine="882"/>
        <w:spacing w:after="0" w:line="253" w:lineRule="auto"/>
        <w:tabs>
          <w:tab w:leader="none" w:pos="1728" w:val="left"/>
        </w:tabs>
        <w:numPr>
          <w:ilvl w:val="1"/>
          <w:numId w:val="189"/>
        </w:numPr>
        <w:rPr>
          <w:rFonts w:ascii="Arial" w:cs="Arial" w:eastAsia="Arial" w:hAnsi="Arial"/>
          <w:sz w:val="21"/>
          <w:szCs w:val="21"/>
          <w:color w:val="auto"/>
        </w:rPr>
      </w:pPr>
      <w:r>
        <w:rPr>
          <w:rFonts w:ascii="Arial" w:cs="Arial" w:eastAsia="Arial" w:hAnsi="Arial"/>
          <w:sz w:val="21"/>
          <w:szCs w:val="21"/>
          <w:color w:val="auto"/>
        </w:rPr>
        <w:t>Notwithstanding Section 11.2 of the Plan, upon a “Change of Control” of the Company, the Option granted hereunder shall immediately and fully vest and become fully exercisable.</w:t>
      </w:r>
    </w:p>
    <w:p>
      <w:pPr>
        <w:spacing w:after="0" w:line="162" w:lineRule="exact"/>
        <w:rPr>
          <w:rFonts w:ascii="Arial" w:cs="Arial" w:eastAsia="Arial" w:hAnsi="Arial"/>
          <w:sz w:val="21"/>
          <w:szCs w:val="21"/>
          <w:color w:val="auto"/>
        </w:rPr>
      </w:pPr>
    </w:p>
    <w:p>
      <w:pPr>
        <w:ind w:left="1740" w:hanging="858"/>
        <w:spacing w:after="0"/>
        <w:tabs>
          <w:tab w:leader="none" w:pos="1740" w:val="left"/>
        </w:tabs>
        <w:numPr>
          <w:ilvl w:val="1"/>
          <w:numId w:val="189"/>
        </w:numPr>
        <w:rPr>
          <w:rFonts w:ascii="Arial" w:cs="Arial" w:eastAsia="Arial" w:hAnsi="Arial"/>
          <w:sz w:val="21"/>
          <w:szCs w:val="21"/>
          <w:color w:val="auto"/>
        </w:rPr>
      </w:pPr>
      <w:r>
        <w:rPr>
          <w:rFonts w:ascii="Arial" w:cs="Arial" w:eastAsia="Arial" w:hAnsi="Arial"/>
          <w:sz w:val="21"/>
          <w:szCs w:val="21"/>
          <w:color w:val="auto"/>
        </w:rPr>
        <w:t>“Change of Control” for the purposes of this Option, shall mean the earliest date on which:</w:t>
      </w:r>
    </w:p>
    <w:p>
      <w:pPr>
        <w:spacing w:after="0" w:line="197" w:lineRule="exact"/>
        <w:rPr>
          <w:rFonts w:ascii="Arial" w:cs="Arial" w:eastAsia="Arial" w:hAnsi="Arial"/>
          <w:sz w:val="21"/>
          <w:szCs w:val="21"/>
          <w:color w:val="auto"/>
        </w:rPr>
      </w:pPr>
    </w:p>
    <w:p>
      <w:pPr>
        <w:jc w:val="both"/>
        <w:ind w:left="1740" w:hanging="871"/>
        <w:spacing w:after="0" w:line="238" w:lineRule="auto"/>
        <w:tabs>
          <w:tab w:leader="none" w:pos="174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179" w:lineRule="exact"/>
        <w:rPr>
          <w:rFonts w:ascii="Arial" w:cs="Arial" w:eastAsia="Arial" w:hAnsi="Arial"/>
          <w:sz w:val="21"/>
          <w:szCs w:val="21"/>
          <w:color w:val="auto"/>
        </w:rPr>
      </w:pPr>
    </w:p>
    <w:p>
      <w:pPr>
        <w:jc w:val="both"/>
        <w:ind w:left="1740" w:hanging="871"/>
        <w:spacing w:after="0" w:line="237" w:lineRule="auto"/>
        <w:tabs>
          <w:tab w:leader="none" w:pos="174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8" w:name="page139"/>
    <w:bookmarkEnd w:id="138"/>
    <w:p>
      <w:pPr>
        <w:jc w:val="both"/>
        <w:ind w:left="1740" w:hanging="871"/>
        <w:spacing w:after="0" w:line="261" w:lineRule="auto"/>
        <w:tabs>
          <w:tab w:leader="none" w:pos="174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less than 50%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continuity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w:t>
      </w:r>
    </w:p>
    <w:p>
      <w:pPr>
        <w:spacing w:after="0" w:line="156" w:lineRule="exact"/>
        <w:rPr>
          <w:rFonts w:ascii="Arial" w:cs="Arial" w:eastAsia="Arial" w:hAnsi="Arial"/>
          <w:sz w:val="19"/>
          <w:szCs w:val="19"/>
          <w:color w:val="auto"/>
        </w:rPr>
      </w:pPr>
    </w:p>
    <w:p>
      <w:pPr>
        <w:ind w:left="1740" w:hanging="871"/>
        <w:spacing w:after="0" w:line="253" w:lineRule="auto"/>
        <w:tabs>
          <w:tab w:leader="none" w:pos="174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 tender offer or exchange offer is made and consummated by a Person other than the Company for the ownership of 20% or more of the voting securities of the Company then outstanding; or</w:t>
      </w:r>
    </w:p>
    <w:p>
      <w:pPr>
        <w:spacing w:after="0" w:line="162" w:lineRule="exact"/>
        <w:rPr>
          <w:rFonts w:ascii="Arial" w:cs="Arial" w:eastAsia="Arial" w:hAnsi="Arial"/>
          <w:sz w:val="21"/>
          <w:szCs w:val="21"/>
          <w:color w:val="auto"/>
        </w:rPr>
      </w:pPr>
    </w:p>
    <w:p>
      <w:pPr>
        <w:jc w:val="both"/>
        <w:ind w:left="1740" w:hanging="871"/>
        <w:spacing w:after="0" w:line="238" w:lineRule="auto"/>
        <w:tabs>
          <w:tab w:leader="none" w:pos="174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Participant, or a group of Persons which includes the Participant, acquiring more than 20%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1"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21"/>
          <w:szCs w:val="21"/>
          <w:b w:val="1"/>
          <w:bCs w:val="1"/>
          <w:color w:val="auto"/>
        </w:rPr>
        <w:t>11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15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12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60"/>
        <w:spacing w:after="0"/>
        <w:rPr>
          <w:sz w:val="20"/>
          <w:szCs w:val="20"/>
          <w:color w:val="auto"/>
        </w:rPr>
      </w:pPr>
      <w:r>
        <w:rPr>
          <w:rFonts w:ascii="Arial" w:cs="Arial" w:eastAsia="Arial" w:hAnsi="Arial"/>
          <w:sz w:val="21"/>
          <w:szCs w:val="21"/>
          <w:color w:val="auto"/>
        </w:rPr>
        <w:t>Telephone: 713-513-3322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39" w:name="page140"/>
    <w:bookmarkEnd w:id="139"/>
    <w:p>
      <w:pPr>
        <w:ind w:left="1760" w:hanging="878"/>
        <w:spacing w:after="0"/>
        <w:tabs>
          <w:tab w:leader="none" w:pos="1760" w:val="left"/>
        </w:tabs>
        <w:numPr>
          <w:ilvl w:val="0"/>
          <w:numId w:val="1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firstLine="882"/>
        <w:spacing w:after="0" w:line="247" w:lineRule="auto"/>
        <w:tabs>
          <w:tab w:leader="none" w:pos="1757"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Paragraph 9 hereof, this Agreement shall inure to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 (i) by will or the laws of descent and distribution; or (ii) pursuant to the qualified domestic relations order (as defined by the Internal Revenue Code); or (iii) with respect to Awards of nonqualified stock options, by transfer by an Optionee to a member of the Optionee’s Immediate Family, or to a partnership or limited liability company whose only partners or shareholders are the Optionee and members of his Immediate Family. However, any Award transferred shall continue to be subject to all terms and conditions contained in the Award Agreement.</w:t>
      </w:r>
    </w:p>
    <w:p>
      <w:pPr>
        <w:spacing w:after="0" w:line="169" w:lineRule="exact"/>
        <w:rPr>
          <w:rFonts w:ascii="Arial" w:cs="Arial" w:eastAsia="Arial" w:hAnsi="Arial"/>
          <w:sz w:val="20"/>
          <w:szCs w:val="20"/>
          <w:b w:val="1"/>
          <w:bCs w:val="1"/>
          <w:color w:val="auto"/>
        </w:rPr>
      </w:pPr>
    </w:p>
    <w:p>
      <w:pPr>
        <w:ind w:left="1760" w:hanging="878"/>
        <w:spacing w:after="0"/>
        <w:tabs>
          <w:tab w:leader="none" w:pos="1760" w:val="left"/>
        </w:tabs>
        <w:numPr>
          <w:ilvl w:val="0"/>
          <w:numId w:val="1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firstLine="882"/>
        <w:spacing w:after="0" w:line="238" w:lineRule="auto"/>
        <w:tabs>
          <w:tab w:leader="none" w:pos="1728" w:val="left"/>
        </w:tabs>
        <w:numPr>
          <w:ilvl w:val="1"/>
          <w:numId w:val="193"/>
        </w:numPr>
        <w:rPr>
          <w:rFonts w:ascii="Arial" w:cs="Arial" w:eastAsia="Arial" w:hAnsi="Arial"/>
          <w:sz w:val="21"/>
          <w:szCs w:val="21"/>
          <w:color w:val="auto"/>
        </w:rPr>
      </w:pPr>
      <w:r>
        <w:rPr>
          <w:rFonts w:ascii="Arial" w:cs="Arial" w:eastAsia="Arial" w:hAnsi="Arial"/>
          <w:sz w:val="21"/>
          <w:szCs w:val="21"/>
          <w:color w:val="auto"/>
        </w:rPr>
        <w:t>With respect to the cash payment under the Plan, Optionee agrees that as a condition to the exercise of the Option granted hereunder, any cash payment shall be reduced by, or shall include such additional amount required to be paid or withheld with respect thereto under all applicable federal, state and local taxes and any other law or regulation that may be in effect as of the date of each such payment (“Tax Amounts”).</w:t>
      </w:r>
    </w:p>
    <w:p>
      <w:pPr>
        <w:spacing w:after="0" w:line="179" w:lineRule="exact"/>
        <w:rPr>
          <w:rFonts w:ascii="Arial" w:cs="Arial" w:eastAsia="Arial" w:hAnsi="Arial"/>
          <w:sz w:val="21"/>
          <w:szCs w:val="21"/>
          <w:color w:val="auto"/>
        </w:rPr>
      </w:pPr>
    </w:p>
    <w:p>
      <w:pPr>
        <w:jc w:val="both"/>
        <w:ind w:firstLine="882"/>
        <w:spacing w:after="0" w:line="242" w:lineRule="auto"/>
        <w:tabs>
          <w:tab w:leader="none" w:pos="1739" w:val="left"/>
        </w:tabs>
        <w:numPr>
          <w:ilvl w:val="1"/>
          <w:numId w:val="193"/>
        </w:numPr>
        <w:rPr>
          <w:rFonts w:ascii="Arial" w:cs="Arial" w:eastAsia="Arial" w:hAnsi="Arial"/>
          <w:sz w:val="21"/>
          <w:szCs w:val="21"/>
          <w:color w:val="auto"/>
        </w:rPr>
      </w:pPr>
      <w:r>
        <w:rPr>
          <w:rFonts w:ascii="Arial" w:cs="Arial" w:eastAsia="Arial" w:hAnsi="Arial"/>
          <w:sz w:val="21"/>
          <w:szCs w:val="21"/>
          <w:color w:val="auto"/>
        </w:rPr>
        <w:t>With respect to issuance of Shares pursuant to the exercise of the Option granted hereunder, no issuance shall be made until appropriate arrangements have been made for the payment of any Tax Amounts that may be required to be paid or withheld with respect thereto, and such arrangements can be accomplished by:</w:t>
      </w:r>
    </w:p>
    <w:p>
      <w:pPr>
        <w:spacing w:after="0" w:line="173" w:lineRule="exact"/>
        <w:rPr>
          <w:rFonts w:ascii="Arial" w:cs="Arial" w:eastAsia="Arial" w:hAnsi="Arial"/>
          <w:sz w:val="21"/>
          <w:szCs w:val="21"/>
          <w:color w:val="auto"/>
        </w:rPr>
      </w:pPr>
    </w:p>
    <w:p>
      <w:pPr>
        <w:ind w:left="1740" w:hanging="871"/>
        <w:spacing w:after="0" w:line="305" w:lineRule="auto"/>
        <w:tabs>
          <w:tab w:leader="none" w:pos="174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directing the Company to retain Shares (up to the Optionee’s minimum required tax withholding rate or such other rate that will not trigger a negative accounting impact) otherwise deliverable in connection with the Award;</w:t>
      </w:r>
    </w:p>
    <w:p>
      <w:pPr>
        <w:spacing w:after="0" w:line="116" w:lineRule="exact"/>
        <w:rPr>
          <w:rFonts w:ascii="Arial" w:cs="Arial" w:eastAsia="Arial" w:hAnsi="Arial"/>
          <w:sz w:val="19"/>
          <w:szCs w:val="19"/>
          <w:color w:val="auto"/>
        </w:rPr>
      </w:pPr>
    </w:p>
    <w:p>
      <w:pPr>
        <w:ind w:left="1740" w:hanging="871"/>
        <w:spacing w:after="0"/>
        <w:tabs>
          <w:tab w:leader="none" w:pos="174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payment of the Required Tax amounts to the Company; or</w:t>
      </w:r>
    </w:p>
    <w:p>
      <w:pPr>
        <w:spacing w:after="0" w:line="197" w:lineRule="exact"/>
        <w:rPr>
          <w:rFonts w:ascii="Arial" w:cs="Arial" w:eastAsia="Arial" w:hAnsi="Arial"/>
          <w:sz w:val="21"/>
          <w:szCs w:val="21"/>
          <w:color w:val="auto"/>
        </w:rPr>
      </w:pPr>
    </w:p>
    <w:p>
      <w:pPr>
        <w:jc w:val="both"/>
        <w:ind w:left="1740" w:hanging="871"/>
        <w:spacing w:after="0" w:line="272" w:lineRule="auto"/>
        <w:tabs>
          <w:tab w:leader="none" w:pos="174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if Optionee is a current employee or Director of the Company, the Optionee may satisfy the obligation for payment of the required Tax Amounts by tendering previously acquired Shares (either actually or by attestation, valued at their then “Fair Market Value” as defined by the Plan) that have been owned for a period of at least six months (or such other period necessary to avoid accounting charges against the Company’s earnings).</w:t>
      </w:r>
    </w:p>
    <w:p>
      <w:pPr>
        <w:spacing w:after="0" w:line="146"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____________________________________________</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19"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1"/>
          <w:szCs w:val="21"/>
          <w:color w:val="auto"/>
        </w:rPr>
        <w:t>Exhibit 10.40</w:t>
      </w:r>
    </w:p>
    <w:p>
      <w:pPr>
        <w:spacing w:after="0" w:line="190"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21"/>
          <w:szCs w:val="21"/>
          <w:b w:val="1"/>
          <w:bCs w:val="1"/>
          <w:i w:val="1"/>
          <w:iCs w:val="1"/>
          <w:u w:val="single" w:color="auto"/>
          <w:color w:val="auto"/>
        </w:rPr>
        <w:t>NON-QUALIFIED STOCK OPTION AGREEMENT</w:t>
      </w:r>
    </w:p>
    <w:p>
      <w:pPr>
        <w:spacing w:after="0" w:line="174" w:lineRule="exact"/>
        <w:rPr>
          <w:sz w:val="20"/>
          <w:szCs w:val="20"/>
          <w:color w:val="auto"/>
        </w:rPr>
      </w:pPr>
    </w:p>
    <w:tbl>
      <w:tblPr>
        <w:tblLayout w:type="fixed"/>
        <w:tblInd w:w="452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21"/>
                <w:szCs w:val="21"/>
                <w:b w:val="1"/>
                <w:bCs w:val="1"/>
                <w:color w:val="auto"/>
              </w:rPr>
              <w:t>Effective Date: [</w:t>
            </w:r>
          </w:p>
        </w:tc>
        <w:tc>
          <w:tcPr>
            <w:tcW w:w="740" w:type="dxa"/>
            <w:vAlign w:val="bottom"/>
          </w:tcPr>
          <w:p>
            <w:pPr>
              <w:jc w:val="right"/>
              <w:spacing w:after="0"/>
              <w:rPr>
                <w:sz w:val="20"/>
                <w:szCs w:val="20"/>
                <w:color w:val="auto"/>
              </w:rPr>
            </w:pPr>
            <w:r>
              <w:rPr>
                <w:rFonts w:ascii="Arial" w:cs="Arial" w:eastAsia="Arial" w:hAnsi="Arial"/>
                <w:sz w:val="21"/>
                <w:szCs w:val="21"/>
                <w:b w:val="1"/>
                <w:bCs w:val="1"/>
                <w:color w:val="auto"/>
              </w:rPr>
              <w:t>], 2013</w:t>
            </w:r>
          </w:p>
        </w:tc>
      </w:tr>
    </w:tbl>
    <w:p>
      <w:pPr>
        <w:spacing w:after="0" w:line="169" w:lineRule="exact"/>
        <w:rPr>
          <w:sz w:val="20"/>
          <w:szCs w:val="20"/>
          <w:color w:val="auto"/>
        </w:rPr>
      </w:pPr>
    </w:p>
    <w:p>
      <w:pPr>
        <w:jc w:val="both"/>
        <w:ind w:firstLine="882"/>
        <w:spacing w:after="0" w:line="259" w:lineRule="auto"/>
        <w:tabs>
          <w:tab w:leader="none" w:pos="1653"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Purpose.</w:t>
      </w:r>
      <w:r>
        <w:rPr>
          <w:rFonts w:ascii="Arial" w:cs="Arial" w:eastAsia="Arial" w:hAnsi="Arial"/>
          <w:sz w:val="19"/>
          <w:szCs w:val="19"/>
          <w:b w:val="1"/>
          <w:bCs w:val="1"/>
          <w:color w:val="auto"/>
        </w:rPr>
        <w:t xml:space="preserve"> </w:t>
      </w:r>
      <w:r>
        <w:rPr>
          <w:rFonts w:ascii="Arial" w:cs="Arial" w:eastAsia="Arial" w:hAnsi="Arial"/>
          <w:sz w:val="19"/>
          <w:szCs w:val="19"/>
          <w:color w:val="auto"/>
        </w:rPr>
        <w:t>As an additional incentive and inducement to you to remain in the employment of Cameron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or one of its direct or indirect subsidiaries or affiliate (“Subsidiary”) and to acquire an ownership position in the Company, thereby aligning your interests with those of the Company and its stockholders, the Company hereby grants to you, the “Optionee”, the option to purchase common stock of the Company from the Company (the “Options”) at the times and upon the terms and conditions set forth on the attached Notice of Grant of Stock Options and this Option Agreement (the “Agreement”). If Optionee completes, signs, and returns one copy of this Agreement to the Company in Houston, Texas, U.S.A., this Agreement will become</w:t>
      </w:r>
    </w:p>
    <w:p>
      <w:pPr>
        <w:spacing w:after="0" w:line="5" w:lineRule="exact"/>
        <w:rPr>
          <w:sz w:val="20"/>
          <w:szCs w:val="20"/>
          <w:color w:val="auto"/>
        </w:rPr>
      </w:pPr>
    </w:p>
    <w:p>
      <w:pPr>
        <w:spacing w:after="0"/>
        <w:tabs>
          <w:tab w:leader="none" w:pos="1520" w:val="left"/>
        </w:tabs>
        <w:rPr>
          <w:sz w:val="20"/>
          <w:szCs w:val="20"/>
          <w:color w:val="auto"/>
        </w:rPr>
      </w:pPr>
      <w:r>
        <w:rPr>
          <w:rFonts w:ascii="Arial" w:cs="Arial" w:eastAsia="Arial" w:hAnsi="Arial"/>
          <w:sz w:val="21"/>
          <w:szCs w:val="21"/>
          <w:color w:val="auto"/>
        </w:rPr>
        <w:t xml:space="preserve">effective as of </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color w:val="auto"/>
        </w:rPr>
        <w:t>], 2013</w:t>
      </w:r>
      <w:r>
        <w:rPr>
          <w:rFonts w:ascii="Arial" w:cs="Arial" w:eastAsia="Arial" w:hAnsi="Arial"/>
          <w:sz w:val="18"/>
          <w:szCs w:val="18"/>
          <w:color w:val="auto"/>
        </w:rPr>
        <w:t>.</w:t>
      </w:r>
    </w:p>
    <w:p>
      <w:pPr>
        <w:spacing w:after="0" w:line="174" w:lineRule="exact"/>
        <w:rPr>
          <w:sz w:val="20"/>
          <w:szCs w:val="20"/>
          <w:color w:val="auto"/>
        </w:rPr>
      </w:pPr>
    </w:p>
    <w:p>
      <w:pPr>
        <w:jc w:val="both"/>
        <w:ind w:firstLine="882"/>
        <w:spacing w:after="0"/>
        <w:tabs>
          <w:tab w:leader="none" w:pos="1653" w:val="left"/>
        </w:tabs>
        <w:numPr>
          <w:ilvl w:val="0"/>
          <w:numId w:val="1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Equity Incentive Plan </w:t>
      </w:r>
      <w:r>
        <w:rPr>
          <w:rFonts w:ascii="Arial" w:cs="Arial" w:eastAsia="Arial" w:hAnsi="Arial"/>
          <w:sz w:val="21"/>
          <w:szCs w:val="21"/>
          <w:color w:val="auto"/>
        </w:rPr>
        <w:t>(the "Plan"), as indicated in your Notice of Grant of Stock Options. A copy of the Plan is available on the</w:t>
      </w:r>
      <w:r>
        <w:rPr>
          <w:rFonts w:ascii="Arial" w:cs="Arial" w:eastAsia="Arial" w:hAnsi="Arial"/>
          <w:sz w:val="21"/>
          <w:szCs w:val="21"/>
          <w:b w:val="1"/>
          <w:bCs w:val="1"/>
          <w:color w:val="auto"/>
        </w:rPr>
        <w:t xml:space="preserve"> </w:t>
      </w:r>
      <w:r>
        <w:rPr>
          <w:rFonts w:ascii="Arial" w:cs="Arial" w:eastAsia="Arial" w:hAnsi="Arial"/>
          <w:sz w:val="21"/>
          <w:szCs w:val="21"/>
          <w:color w:val="auto"/>
        </w:rPr>
        <w:t>Cameron Intranet under the Legal Section. In the event there is a conflict between the terms of the Plan and this Agreement, the terms of the Plan shall control.</w:t>
      </w:r>
    </w:p>
    <w:p>
      <w:pPr>
        <w:spacing w:after="0" w:line="171" w:lineRule="exact"/>
        <w:rPr>
          <w:rFonts w:ascii="Arial" w:cs="Arial" w:eastAsia="Arial" w:hAnsi="Arial"/>
          <w:sz w:val="21"/>
          <w:szCs w:val="21"/>
          <w:b w:val="1"/>
          <w:bCs w:val="1"/>
          <w:color w:val="auto"/>
        </w:rPr>
      </w:pPr>
    </w:p>
    <w:p>
      <w:pPr>
        <w:ind w:left="1660" w:hanging="778"/>
        <w:spacing w:after="0"/>
        <w:tabs>
          <w:tab w:leader="none" w:pos="1660"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the Shares of the Company’s common stock subject to the Agreement shall</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73" w:lineRule="exact"/>
        <w:rPr>
          <w:rFonts w:ascii="Arial" w:cs="Arial" w:eastAsia="Arial" w:hAnsi="Arial"/>
          <w:sz w:val="19"/>
          <w:szCs w:val="19"/>
          <w:b w:val="1"/>
          <w:bCs w:val="1"/>
          <w:color w:val="auto"/>
        </w:rPr>
      </w:pPr>
    </w:p>
    <w:p>
      <w:pPr>
        <w:ind w:left="1660" w:hanging="778"/>
        <w:spacing w:after="0"/>
        <w:tabs>
          <w:tab w:leader="none" w:pos="1660"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pursuant to this Agreement may be exercised, in whole or in part, but only as to the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number of Options as to which the right to exercise has vested at the time of exercise, during the period beginning </w:t>
      </w:r>
      <w:r>
        <w:rPr>
          <w:rFonts w:ascii="Arial" w:cs="Arial" w:eastAsia="Arial" w:hAnsi="Arial"/>
          <w:sz w:val="20"/>
          <w:szCs w:val="20"/>
          <w:b w:val="1"/>
          <w:bCs w:val="1"/>
          <w:color w:val="auto"/>
        </w:rPr>
        <w:t>[ ], 2014</w:t>
      </w:r>
      <w:r>
        <w:rPr>
          <w:rFonts w:ascii="Arial" w:cs="Arial" w:eastAsia="Arial" w:hAnsi="Arial"/>
          <w:sz w:val="20"/>
          <w:szCs w:val="20"/>
          <w:color w:val="auto"/>
        </w:rPr>
        <w:t xml:space="preserve"> (one year from the date on which they were granted), and ending </w:t>
      </w:r>
      <w:r>
        <w:rPr>
          <w:rFonts w:ascii="Arial" w:cs="Arial" w:eastAsia="Arial" w:hAnsi="Arial"/>
          <w:sz w:val="20"/>
          <w:szCs w:val="20"/>
          <w:b w:val="1"/>
          <w:bCs w:val="1"/>
          <w:color w:val="auto"/>
        </w:rPr>
        <w:t>[ ], 2023</w:t>
      </w:r>
      <w:r>
        <w:rPr>
          <w:rFonts w:ascii="Arial" w:cs="Arial" w:eastAsia="Arial" w:hAnsi="Arial"/>
          <w:sz w:val="20"/>
          <w:szCs w:val="20"/>
          <w:color w:val="auto"/>
        </w:rPr>
        <w:t xml:space="preserve"> (ten years from the date on which Option was granted.)</w:t>
      </w:r>
    </w:p>
    <w:p>
      <w:pPr>
        <w:spacing w:after="0" w:line="151"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19"/>
          <w:szCs w:val="19"/>
          <w:b w:val="1"/>
          <w:bCs w:val="1"/>
          <w:color w:val="auto"/>
        </w:rPr>
        <w:t>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Exercise of Option.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herein may be exercised as to vested Options, in whole or in part,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 form substantially similar to the form attached hereto. Payment of the purchase price of the Shares that the Optionee desires to purchase shall be tendered in full at the time of giving notice by (i) cash, check in U.S. Dollars, or bank draft payable and acceptable to the Company (or the equivalent thereof acceptable to the Company), (ii) Shares theretofore owned and held by the Optionee for more than six months, (iii) a combination of cash and Shares theretofore owned and held by the Optionee for more than six months, or (iv) 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34925</wp:posOffset>
            </wp:positionV>
            <wp:extent cx="729424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1" w:name="page142"/>
    <w:bookmarkEnd w:id="141"/>
    <w:p>
      <w:pPr>
        <w:jc w:val="both"/>
        <w:ind w:firstLine="882"/>
        <w:spacing w:after="0" w:line="256" w:lineRule="auto"/>
        <w:tabs>
          <w:tab w:leader="none" w:pos="1653"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Subject to Listing and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herein shall be subject to the listing,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or qualification of the Shares subject to such Option upon any securities exchange or under any applicable state, federal or foreign law. This Option may not be exercised in whole or in part unless such listing, registration or qualification shall have been effected or obtained free of any conditions not reasonably acceptable to the Board of Directors.</w:t>
      </w:r>
    </w:p>
    <w:p>
      <w:pPr>
        <w:spacing w:after="0" w:line="155" w:lineRule="exact"/>
        <w:rPr>
          <w:rFonts w:ascii="Arial" w:cs="Arial" w:eastAsia="Arial" w:hAnsi="Arial"/>
          <w:sz w:val="20"/>
          <w:szCs w:val="20"/>
          <w:b w:val="1"/>
          <w:bCs w:val="1"/>
          <w:color w:val="auto"/>
        </w:rPr>
      </w:pPr>
    </w:p>
    <w:p>
      <w:pPr>
        <w:jc w:val="both"/>
        <w:ind w:firstLine="882"/>
        <w:spacing w:after="0" w:line="266" w:lineRule="auto"/>
        <w:tabs>
          <w:tab w:leader="none" w:pos="1653"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in the Company's Capital 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subject to the Option and the price per Share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upon exercise of the Option shall be subject to the provisions of the Plan relating to adjustments to corporate capitalization, provided; however, that in the event of any reorganization, recapitalization, dividend or distribution (whether in cash, shares or other property, other than a regular cash dividend), stock split, reverse stock split or other similar change in corporate structure affecting the Shares subject to the Option, the Option shall be appropriately adjusted to reflect such change, but only so far as is necessary to maintain the proportionate interest of the Optionee and preserve, without exceeding, the value of such Option.</w:t>
      </w:r>
    </w:p>
    <w:p>
      <w:pPr>
        <w:spacing w:after="0" w:line="149" w:lineRule="exact"/>
        <w:rPr>
          <w:rFonts w:ascii="Arial" w:cs="Arial" w:eastAsia="Arial" w:hAnsi="Arial"/>
          <w:sz w:val="19"/>
          <w:szCs w:val="19"/>
          <w:b w:val="1"/>
          <w:bCs w:val="1"/>
          <w:color w:val="auto"/>
        </w:rPr>
      </w:pPr>
    </w:p>
    <w:p>
      <w:pPr>
        <w:ind w:left="1660" w:hanging="778"/>
        <w:spacing w:after="0"/>
        <w:tabs>
          <w:tab w:leader="none" w:pos="1660" w:val="left"/>
        </w:tabs>
        <w:numPr>
          <w:ilvl w:val="0"/>
          <w:numId w:val="1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firstLine="882"/>
        <w:spacing w:after="0" w:line="246" w:lineRule="auto"/>
        <w:tabs>
          <w:tab w:leader="none" w:pos="1728"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Optionee acknowledges that the Optionee is in possession of and has access to confidential information, including material relating to the business, products or services of the Company and that he or she will continue to have such possession and access during employment by the Company. The Optionee also acknowledges that the Company’s business, products and services are highly specialized and that it is essential that they be protected, and, accordingly, the Optionee agrees that as partial consideration for the Option granted herein that should the Optionee engage in any “Detrimental Activity,” as defined below, at any time during his or her employment or during a period of one year following his or her termination the Company shall be entitled to: (i) cancel any unexercised portion of the Option; (ii) recover from the Optionee the value of any portion of the Option that has been exercised; (iii) seek injunctive relief against the Optionee; (iv) recover all damages, court costs, and attorneys’ fees incurred by the Company in enforcing the provisions of this Option grant, and (v) set-off any such sums to which the Company is entitled hereunder against any sum which may be owed the Optionee by the Company.</w:t>
      </w:r>
    </w:p>
    <w:p>
      <w:pPr>
        <w:spacing w:after="0" w:line="175" w:lineRule="exact"/>
        <w:rPr>
          <w:rFonts w:ascii="Arial" w:cs="Arial" w:eastAsia="Arial" w:hAnsi="Arial"/>
          <w:sz w:val="20"/>
          <w:szCs w:val="20"/>
          <w:color w:val="auto"/>
        </w:rPr>
      </w:pPr>
    </w:p>
    <w:p>
      <w:pPr>
        <w:jc w:val="both"/>
        <w:ind w:firstLine="882"/>
        <w:spacing w:after="0" w:line="257" w:lineRule="auto"/>
        <w:tabs>
          <w:tab w:leader="none" w:pos="1739" w:val="left"/>
        </w:tabs>
        <w:numPr>
          <w:ilvl w:val="1"/>
          <w:numId w:val="198"/>
        </w:numPr>
        <w:rPr>
          <w:rFonts w:ascii="Arial" w:cs="Arial" w:eastAsia="Arial" w:hAnsi="Arial"/>
          <w:sz w:val="19"/>
          <w:szCs w:val="19"/>
          <w:color w:val="auto"/>
        </w:rPr>
      </w:pPr>
      <w:r>
        <w:rPr>
          <w:rFonts w:ascii="Arial" w:cs="Arial" w:eastAsia="Arial" w:hAnsi="Arial"/>
          <w:sz w:val="19"/>
          <w:szCs w:val="19"/>
          <w:color w:val="auto"/>
        </w:rPr>
        <w:t>“Detrimental Activity” for the purposes hereof, other than with respect to involuntary termination without cause, termination in connection with or as a result of a “Change of Control” (as defined in Section 9(b) hereof), or termination following a reduction in job responsibilities, shall include: (i) rendering of services for any person or organization, or engaging directly or indirectly in any business, which is or becomes competitive with the Company; (ii) disclosing to anyone outside the Company, or using in other than the Company’s business, without prior written authorization from the Company, any confidential information including material relating to the business, products or services of the Company acquired by the Optionee during employment with the Company; (iii) soliciting, interfering, inducing, or attempting to cause any employee of the Company to leave his or her employment, whether done on Optionee’s own account or on account of any person, organization or business which is or becomes competitive with the Company, or</w:t>
      </w:r>
    </w:p>
    <w:p>
      <w:pPr>
        <w:spacing w:after="0" w:line="6" w:lineRule="exact"/>
        <w:rPr>
          <w:rFonts w:ascii="Arial" w:cs="Arial" w:eastAsia="Arial" w:hAnsi="Arial"/>
          <w:sz w:val="19"/>
          <w:szCs w:val="19"/>
          <w:color w:val="auto"/>
        </w:rPr>
      </w:pPr>
    </w:p>
    <w:p>
      <w:pPr>
        <w:ind w:left="360" w:hanging="357"/>
        <w:spacing w:after="0"/>
        <w:tabs>
          <w:tab w:leader="none" w:pos="36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directly or indirectly soliciting the trade 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42" w:name="page143"/>
    <w:bookmarkEnd w:id="142"/>
    <w:p>
      <w:pPr>
        <w:jc w:val="both"/>
        <w:spacing w:after="0" w:line="241" w:lineRule="auto"/>
        <w:rPr>
          <w:sz w:val="20"/>
          <w:szCs w:val="20"/>
          <w:color w:val="auto"/>
        </w:rPr>
      </w:pPr>
      <w:r>
        <w:rPr>
          <w:rFonts w:ascii="Arial" w:cs="Arial" w:eastAsia="Arial" w:hAnsi="Arial"/>
          <w:sz w:val="21"/>
          <w:szCs w:val="21"/>
          <w:color w:val="auto"/>
        </w:rPr>
        <w:t>business of any customer of the Company. “Detrimental Activity” for the purposes hereof with respect to involuntary termination without cause, termination in connection with or as a result of a “Change of Control”, or termination following a reduction in job responsibilities, shall include only part (ii) of the preceding sentence.</w:t>
      </w:r>
    </w:p>
    <w:p>
      <w:pPr>
        <w:spacing w:after="0" w:line="170" w:lineRule="exact"/>
        <w:rPr>
          <w:sz w:val="20"/>
          <w:szCs w:val="20"/>
          <w:color w:val="auto"/>
        </w:rPr>
      </w:pPr>
    </w:p>
    <w:p>
      <w:pPr>
        <w:ind w:left="1660" w:hanging="778"/>
        <w:spacing w:after="0"/>
        <w:tabs>
          <w:tab w:leader="none" w:pos="1660" w:val="left"/>
        </w:tabs>
        <w:numPr>
          <w:ilvl w:val="0"/>
          <w:numId w:val="20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4" w:lineRule="exact"/>
        <w:rPr>
          <w:sz w:val="20"/>
          <w:szCs w:val="20"/>
          <w:color w:val="auto"/>
        </w:rPr>
      </w:pPr>
    </w:p>
    <w:p>
      <w:pPr>
        <w:jc w:val="both"/>
        <w:ind w:firstLine="882"/>
        <w:spacing w:after="0" w:line="262" w:lineRule="auto"/>
        <w:tabs>
          <w:tab w:leader="none" w:pos="172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If the Optionee’s employment terminates at age 60 or older, for reasons other than “Cause” (as defined below), and the Optionee has at least ten years of continuous service with either or both the Company or a Subsidiary, any unvested Options shall continue to vest and be payable according to the terms of the Agreement; </w:t>
      </w:r>
      <w:r>
        <w:rPr>
          <w:rFonts w:ascii="Arial" w:cs="Arial" w:eastAsia="Arial" w:hAnsi="Arial"/>
          <w:sz w:val="19"/>
          <w:szCs w:val="19"/>
          <w:u w:val="single" w:color="auto"/>
          <w:color w:val="auto"/>
        </w:rPr>
        <w:t>excep</w:t>
      </w:r>
      <w:r>
        <w:rPr>
          <w:rFonts w:ascii="Arial" w:cs="Arial" w:eastAsia="Arial" w:hAnsi="Arial"/>
          <w:sz w:val="19"/>
          <w:szCs w:val="19"/>
          <w:color w:val="auto"/>
        </w:rPr>
        <w:t>t that, if such termination occurs within one year from grant date, the number of Options that will continue to vest shall be reduced to be proportionate to that portion of the year between grant date and termination date and the balance of the Option shall be immediately cancelled. The Optionee shall have the right to exercise the Option at any time within the lesser of: (i) the term of the option, or (ii) a three (3) year period commencing on the day next following such termination. “Continuous service” shall mean ten (10) years of continuous and uninterrupted employment of the Optionee by either or both of the Company or a Subsidiary from their most recent date of hire; and</w:t>
      </w:r>
    </w:p>
    <w:p>
      <w:pPr>
        <w:spacing w:after="0" w:line="159" w:lineRule="exact"/>
        <w:rPr>
          <w:rFonts w:ascii="Arial" w:cs="Arial" w:eastAsia="Arial" w:hAnsi="Arial"/>
          <w:sz w:val="19"/>
          <w:szCs w:val="19"/>
          <w:color w:val="auto"/>
        </w:rPr>
      </w:pPr>
    </w:p>
    <w:p>
      <w:pPr>
        <w:jc w:val="both"/>
        <w:ind w:firstLine="882"/>
        <w:spacing w:after="0" w:line="237" w:lineRule="auto"/>
        <w:tabs>
          <w:tab w:leader="none" w:pos="1739"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If the Optionee is an executive officer, as determined annually by the Chief Executive Office of the Company, age 65 or older with at least ten years of continuous service with either or both of the Company or a Subsidiary and the Optionee’s employment terminates for reason other than Cause, or death or “Long-term Disability”, any unvested Options shall continue to vest according to the terms of the Agreement and the Optionee shall have the right to exercise the Options according to the terms of the Agreement; and</w:t>
      </w:r>
    </w:p>
    <w:p>
      <w:pPr>
        <w:spacing w:after="0" w:line="177" w:lineRule="exact"/>
        <w:rPr>
          <w:rFonts w:ascii="Arial" w:cs="Arial" w:eastAsia="Arial" w:hAnsi="Arial"/>
          <w:sz w:val="21"/>
          <w:szCs w:val="21"/>
          <w:color w:val="auto"/>
        </w:rPr>
      </w:pPr>
    </w:p>
    <w:p>
      <w:pPr>
        <w:jc w:val="both"/>
        <w:ind w:firstLine="882"/>
        <w:spacing w:after="0" w:line="263" w:lineRule="auto"/>
        <w:tabs>
          <w:tab w:leader="none" w:pos="172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If the Optionee’s employment terminates by reason of death or “Long-term Disability”, of the Optionee, the Option shall vest in full, as of the date of death or the date of such termination and be exercisable pursuant to the terms of Section 5, and the Optionee or his/her personal representatives, heirs, legatees or distributees shall have the right to exercise the Option granted hereunder at any time within the lesser of: (1) the term of the Option or, (ii) a three (3) year period commencing on the date next following the date of such termination. For purposes of this Agreement, “Long-term Disability” shall mean that the Optionee is unable to engage in any substantial gainful activity by reason of any medically determinable physical or mental impairment that can be expected to result in death or can be expected to last for a continuous period of not less than twelve months; and</w:t>
      </w:r>
    </w:p>
    <w:p>
      <w:pPr>
        <w:spacing w:after="0" w:line="158" w:lineRule="exact"/>
        <w:rPr>
          <w:rFonts w:ascii="Arial" w:cs="Arial" w:eastAsia="Arial" w:hAnsi="Arial"/>
          <w:sz w:val="19"/>
          <w:szCs w:val="19"/>
          <w:color w:val="auto"/>
        </w:rPr>
      </w:pPr>
    </w:p>
    <w:p>
      <w:pPr>
        <w:jc w:val="both"/>
        <w:ind w:firstLine="882"/>
        <w:spacing w:after="0" w:line="254" w:lineRule="auto"/>
        <w:tabs>
          <w:tab w:leader="none" w:pos="1739"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If the Optionee’s employment terminates by reason of a workforce reduction, the Options shall continue to vest and be exercisable according to their terms;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that, if such termination occurs within one year from the effective date of the grant, the number of Options that will vest in full shall be reduced to be proportionate to that portion of the year between such effective date and the date of termination, and the balance of the grant shall be immediately cancelled;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3" w:name="page144"/>
    <w:bookmarkEnd w:id="143"/>
    <w:p>
      <w:pPr>
        <w:jc w:val="both"/>
        <w:ind w:firstLine="882"/>
        <w:spacing w:after="0" w:line="251" w:lineRule="auto"/>
        <w:tabs>
          <w:tab w:leader="none" w:pos="1728" w:val="left"/>
        </w:tabs>
        <w:numPr>
          <w:ilvl w:val="1"/>
          <w:numId w:val="202"/>
        </w:numPr>
        <w:rPr>
          <w:rFonts w:ascii="Arial" w:cs="Arial" w:eastAsia="Arial" w:hAnsi="Arial"/>
          <w:sz w:val="20"/>
          <w:szCs w:val="20"/>
          <w:color w:val="auto"/>
        </w:rPr>
      </w:pPr>
      <w:r>
        <w:rPr>
          <w:rFonts w:ascii="Arial" w:cs="Arial" w:eastAsia="Arial" w:hAnsi="Arial"/>
          <w:sz w:val="20"/>
          <w:szCs w:val="20"/>
          <w:color w:val="auto"/>
        </w:rPr>
        <w:t>If the Optionee’s employment terminates voluntarily other than as provided for in Sections (a), (b), (c) or (d) above, or as a result of involuntary termination other than for Cause or as provided for in Sections (c) and (d) above, no additional Options shall vest for the benefit of the Optionee after the termination date, and the Options shall be exercisable by the Optionee, with respect to those Shares which had already vested only, within a three (3) month period after such termination or the term of the Options, whichever is less, but only to the extent exercisable immediately prior to the date of termination; and</w:t>
      </w:r>
    </w:p>
    <w:p>
      <w:pPr>
        <w:spacing w:after="0" w:line="165" w:lineRule="exact"/>
        <w:rPr>
          <w:rFonts w:ascii="Arial" w:cs="Arial" w:eastAsia="Arial" w:hAnsi="Arial"/>
          <w:sz w:val="20"/>
          <w:szCs w:val="20"/>
          <w:color w:val="auto"/>
        </w:rPr>
      </w:pPr>
    </w:p>
    <w:p>
      <w:pPr>
        <w:ind w:firstLine="882"/>
        <w:spacing w:after="0" w:line="253" w:lineRule="auto"/>
        <w:tabs>
          <w:tab w:leader="none" w:pos="1705" w:val="left"/>
        </w:tabs>
        <w:numPr>
          <w:ilvl w:val="1"/>
          <w:numId w:val="202"/>
        </w:numPr>
        <w:rPr>
          <w:rFonts w:ascii="Arial" w:cs="Arial" w:eastAsia="Arial" w:hAnsi="Arial"/>
          <w:sz w:val="21"/>
          <w:szCs w:val="21"/>
          <w:color w:val="auto"/>
        </w:rPr>
      </w:pPr>
      <w:r>
        <w:rPr>
          <w:rFonts w:ascii="Arial" w:cs="Arial" w:eastAsia="Arial" w:hAnsi="Arial"/>
          <w:sz w:val="21"/>
          <w:szCs w:val="21"/>
          <w:color w:val="auto"/>
        </w:rPr>
        <w:t>If the Optionee’s employment is terminated for Cause, the Options shall terminate and no longer be exercisable for either the vested or the unvested Options; and</w:t>
      </w:r>
    </w:p>
    <w:p>
      <w:pPr>
        <w:spacing w:after="0" w:line="162" w:lineRule="exact"/>
        <w:rPr>
          <w:rFonts w:ascii="Arial" w:cs="Arial" w:eastAsia="Arial" w:hAnsi="Arial"/>
          <w:sz w:val="21"/>
          <w:szCs w:val="21"/>
          <w:color w:val="auto"/>
        </w:rPr>
      </w:pPr>
    </w:p>
    <w:p>
      <w:pPr>
        <w:jc w:val="both"/>
        <w:ind w:firstLine="882"/>
        <w:spacing w:after="0" w:line="236" w:lineRule="auto"/>
        <w:tabs>
          <w:tab w:leader="none" w:pos="1739" w:val="left"/>
        </w:tabs>
        <w:numPr>
          <w:ilvl w:val="1"/>
          <w:numId w:val="202"/>
        </w:numPr>
        <w:rPr>
          <w:rFonts w:ascii="Arial" w:cs="Arial" w:eastAsia="Arial" w:hAnsi="Arial"/>
          <w:sz w:val="21"/>
          <w:szCs w:val="21"/>
          <w:color w:val="auto"/>
        </w:rPr>
      </w:pPr>
      <w:r>
        <w:rPr>
          <w:rFonts w:ascii="Arial" w:cs="Arial" w:eastAsia="Arial" w:hAnsi="Arial"/>
          <w:sz w:val="21"/>
          <w:szCs w:val="21"/>
          <w:color w:val="auto"/>
        </w:rPr>
        <w:t>Any other agreement between the Optionee and the Company notwithstanding, if there is a termination of Optionee’s employment either by the Company without “Cause” or by the Optionee for reasons that would constitute “constructive termination” under applicable law during the period from the earlier of the occurrence of any of the events that would cause a “Change in Control” (as defined below) or the date of the agreement by the Company to enter into a transaction which results in a “Change in Control” or within two years following a “Change in Control”, the Options shall immediately vest and be payable in full pursuant to the terms of Section 5.</w:t>
      </w:r>
    </w:p>
    <w:p>
      <w:pPr>
        <w:spacing w:after="0" w:line="177" w:lineRule="exact"/>
        <w:rPr>
          <w:rFonts w:ascii="Arial" w:cs="Arial" w:eastAsia="Arial" w:hAnsi="Arial"/>
          <w:sz w:val="21"/>
          <w:szCs w:val="21"/>
          <w:color w:val="auto"/>
        </w:rPr>
      </w:pPr>
    </w:p>
    <w:p>
      <w:pPr>
        <w:jc w:val="both"/>
        <w:ind w:firstLine="882"/>
        <w:spacing w:after="0" w:line="274" w:lineRule="auto"/>
        <w:tabs>
          <w:tab w:leader="none" w:pos="173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“Cause” for the purposes hereof, shall mean the Optionee has (1) engaged in gross negligence or willful misconduct in the performance of his or her duties and responsibilities respecting his or her position with the Company or a Subsidiary; (2) willfully refused, without proper legal reason, to perform the duties and responsibilities respecting his or her position with the Company or a Subsidiary; (3) breached any material policy or code of conduct established by the Company or a Subsidiary and affecting the Optionee;</w:t>
      </w:r>
    </w:p>
    <w:p>
      <w:pPr>
        <w:spacing w:after="0" w:line="3" w:lineRule="exact"/>
        <w:rPr>
          <w:rFonts w:ascii="Arial" w:cs="Arial" w:eastAsia="Arial" w:hAnsi="Arial"/>
          <w:sz w:val="18"/>
          <w:szCs w:val="18"/>
          <w:color w:val="auto"/>
        </w:rPr>
      </w:pPr>
    </w:p>
    <w:p>
      <w:pPr>
        <w:jc w:val="both"/>
        <w:ind w:firstLine="3"/>
        <w:spacing w:after="0" w:line="235" w:lineRule="auto"/>
        <w:tabs>
          <w:tab w:leader="none" w:pos="293" w:val="left"/>
        </w:tabs>
        <w:numPr>
          <w:ilvl w:val="0"/>
          <w:numId w:val="203"/>
        </w:numPr>
        <w:rPr>
          <w:rFonts w:ascii="Arial" w:cs="Arial" w:eastAsia="Arial" w:hAnsi="Arial"/>
          <w:sz w:val="21"/>
          <w:szCs w:val="21"/>
          <w:color w:val="auto"/>
        </w:rPr>
      </w:pPr>
      <w:r>
        <w:rPr>
          <w:rFonts w:ascii="Arial" w:cs="Arial" w:eastAsia="Arial" w:hAnsi="Arial"/>
          <w:sz w:val="21"/>
          <w:szCs w:val="21"/>
          <w:color w:val="auto"/>
        </w:rPr>
        <w:t>engaged in conduct that Optionee knows or should know is materially injurious to the Company or a Subsidiary; (5) been convicted of a felony or a misdemeanor involving moral turpitude; or (6) engaged in an act of dishonest or impropriety which materially impairs the Optionee’s effectiveness in his or her position with the Company or a Subsidiary.</w:t>
      </w:r>
    </w:p>
    <w:p>
      <w:pPr>
        <w:spacing w:after="0" w:line="177" w:lineRule="exact"/>
        <w:rPr>
          <w:rFonts w:ascii="Arial" w:cs="Arial" w:eastAsia="Arial" w:hAnsi="Arial"/>
          <w:sz w:val="21"/>
          <w:szCs w:val="21"/>
          <w:color w:val="auto"/>
        </w:rPr>
      </w:pPr>
    </w:p>
    <w:p>
      <w:pPr>
        <w:jc w:val="both"/>
        <w:ind w:firstLine="882"/>
        <w:spacing w:after="0" w:line="242" w:lineRule="auto"/>
        <w:tabs>
          <w:tab w:leader="none" w:pos="1693" w:val="left"/>
        </w:tabs>
        <w:numPr>
          <w:ilvl w:val="1"/>
          <w:numId w:val="203"/>
        </w:numPr>
        <w:rPr>
          <w:rFonts w:ascii="Arial" w:cs="Arial" w:eastAsia="Arial" w:hAnsi="Arial"/>
          <w:sz w:val="21"/>
          <w:szCs w:val="21"/>
          <w:color w:val="auto"/>
        </w:rPr>
      </w:pPr>
      <w:r>
        <w:rPr>
          <w:rFonts w:ascii="Arial" w:cs="Arial" w:eastAsia="Arial" w:hAnsi="Arial"/>
          <w:sz w:val="21"/>
          <w:szCs w:val="21"/>
          <w:color w:val="auto"/>
        </w:rPr>
        <w:t>“Long-term Disability” for the purposes hereof, shall mean that the Optionee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73" w:lineRule="exact"/>
        <w:rPr>
          <w:rFonts w:ascii="Arial" w:cs="Arial" w:eastAsia="Arial" w:hAnsi="Arial"/>
          <w:sz w:val="21"/>
          <w:szCs w:val="21"/>
          <w:color w:val="auto"/>
        </w:rPr>
      </w:pPr>
    </w:p>
    <w:p>
      <w:pPr>
        <w:ind w:left="1700" w:hanging="818"/>
        <w:spacing w:after="0"/>
        <w:tabs>
          <w:tab w:leader="none" w:pos="170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“Change in Control” for the purposes of this Agreement, shall mean the earliest date on which:</w:t>
      </w:r>
    </w:p>
    <w:p>
      <w:pPr>
        <w:spacing w:after="0" w:line="197" w:lineRule="exact"/>
        <w:rPr>
          <w:rFonts w:ascii="Arial" w:cs="Arial" w:eastAsia="Arial" w:hAnsi="Arial"/>
          <w:sz w:val="21"/>
          <w:szCs w:val="21"/>
          <w:color w:val="auto"/>
        </w:rPr>
      </w:pPr>
    </w:p>
    <w:p>
      <w:pPr>
        <w:jc w:val="both"/>
        <w:ind w:left="1740" w:hanging="535"/>
        <w:spacing w:after="0" w:line="238" w:lineRule="auto"/>
        <w:tabs>
          <w:tab w:leader="none" w:pos="1740" w:val="left"/>
        </w:tabs>
        <w:numPr>
          <w:ilvl w:val="2"/>
          <w:numId w:val="203"/>
        </w:numPr>
        <w:rPr>
          <w:rFonts w:ascii="Arial" w:cs="Arial" w:eastAsia="Arial" w:hAnsi="Arial"/>
          <w:sz w:val="21"/>
          <w:szCs w:val="21"/>
          <w:color w:val="auto"/>
        </w:rPr>
      </w:pPr>
      <w:r>
        <w:rPr>
          <w:rFonts w:ascii="Arial" w:cs="Arial" w:eastAsia="Arial" w:hAnsi="Arial"/>
          <w:sz w:val="21"/>
          <w:szCs w:val="21"/>
          <w:color w:val="auto"/>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4" w:name="page145"/>
    <w:bookmarkEnd w:id="144"/>
    <w:p>
      <w:pPr>
        <w:jc w:val="both"/>
        <w:ind w:left="1740" w:hanging="535"/>
        <w:spacing w:after="0" w:line="237" w:lineRule="auto"/>
        <w:tabs>
          <w:tab w:leader="none" w:pos="174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75" w:lineRule="exact"/>
        <w:rPr>
          <w:rFonts w:ascii="Arial" w:cs="Arial" w:eastAsia="Arial" w:hAnsi="Arial"/>
          <w:sz w:val="21"/>
          <w:szCs w:val="21"/>
          <w:color w:val="auto"/>
        </w:rPr>
      </w:pPr>
    </w:p>
    <w:p>
      <w:pPr>
        <w:jc w:val="both"/>
        <w:ind w:left="1740" w:hanging="535"/>
        <w:spacing w:after="0" w:line="261" w:lineRule="auto"/>
        <w:tabs>
          <w:tab w:leader="none" w:pos="174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less than a majority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majority ownership continuity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w:t>
      </w:r>
    </w:p>
    <w:p>
      <w:pPr>
        <w:spacing w:after="0" w:line="156" w:lineRule="exact"/>
        <w:rPr>
          <w:rFonts w:ascii="Arial" w:cs="Arial" w:eastAsia="Arial" w:hAnsi="Arial"/>
          <w:sz w:val="19"/>
          <w:szCs w:val="19"/>
          <w:color w:val="auto"/>
        </w:rPr>
      </w:pPr>
    </w:p>
    <w:p>
      <w:pPr>
        <w:ind w:left="1740" w:hanging="535"/>
        <w:spacing w:after="0" w:line="253" w:lineRule="auto"/>
        <w:tabs>
          <w:tab w:leader="none" w:pos="174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 tender offer or exchange offer is made and consummated by a Person other than the Company for the ownership of 20% or more of the voting securities of the Company then outstanding; or</w:t>
      </w:r>
    </w:p>
    <w:p>
      <w:pPr>
        <w:spacing w:after="0" w:line="162" w:lineRule="exact"/>
        <w:rPr>
          <w:rFonts w:ascii="Arial" w:cs="Arial" w:eastAsia="Arial" w:hAnsi="Arial"/>
          <w:sz w:val="21"/>
          <w:szCs w:val="21"/>
          <w:color w:val="auto"/>
        </w:rPr>
      </w:pPr>
    </w:p>
    <w:p>
      <w:pPr>
        <w:jc w:val="both"/>
        <w:ind w:left="1740" w:hanging="535"/>
        <w:spacing w:after="0" w:line="238" w:lineRule="auto"/>
        <w:tabs>
          <w:tab w:leader="none" w:pos="174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Optionee, or a group of Persons which includes the Optionee, acquiring more than 20%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1" w:lineRule="exact"/>
        <w:rPr>
          <w:sz w:val="20"/>
          <w:szCs w:val="20"/>
          <w:color w:val="auto"/>
        </w:rPr>
      </w:pPr>
    </w:p>
    <w:p>
      <w:pPr>
        <w:ind w:firstLine="882"/>
        <w:spacing w:after="0" w:line="259" w:lineRule="auto"/>
        <w:tabs>
          <w:tab w:leader="none" w:pos="1757" w:val="left"/>
        </w:tabs>
        <w:numPr>
          <w:ilvl w:val="0"/>
          <w:numId w:val="2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5" w:name="page146"/>
    <w:bookmarkEnd w:id="145"/>
    <w:p>
      <w:pPr>
        <w:jc w:val="both"/>
        <w:ind w:firstLine="882"/>
        <w:spacing w:after="0" w:line="244" w:lineRule="auto"/>
        <w:tabs>
          <w:tab w:leader="none" w:pos="1745" w:val="left"/>
        </w:tabs>
        <w:numPr>
          <w:ilvl w:val="0"/>
          <w:numId w:val="2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0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60" w:hanging="878"/>
        <w:spacing w:after="0"/>
        <w:tabs>
          <w:tab w:leader="none" w:pos="1760" w:val="left"/>
        </w:tabs>
        <w:numPr>
          <w:ilvl w:val="1"/>
          <w:numId w:val="20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firstLine="882"/>
        <w:spacing w:after="0" w:line="276" w:lineRule="auto"/>
        <w:tabs>
          <w:tab w:leader="none" w:pos="1757"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Paragraph 9 hereof, this Agreement shall inure to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w:t>
      </w:r>
    </w:p>
    <w:p>
      <w:pPr>
        <w:spacing w:after="0" w:line="2" w:lineRule="exact"/>
        <w:rPr>
          <w:rFonts w:ascii="Arial" w:cs="Arial" w:eastAsia="Arial" w:hAnsi="Arial"/>
          <w:sz w:val="18"/>
          <w:szCs w:val="18"/>
          <w:b w:val="1"/>
          <w:bCs w:val="1"/>
          <w:color w:val="auto"/>
        </w:rPr>
      </w:pPr>
    </w:p>
    <w:p>
      <w:pPr>
        <w:jc w:val="both"/>
        <w:ind w:firstLine="3"/>
        <w:spacing w:after="0" w:line="233" w:lineRule="auto"/>
        <w:tabs>
          <w:tab w:leader="none" w:pos="266" w:val="left"/>
        </w:tabs>
        <w:numPr>
          <w:ilvl w:val="0"/>
          <w:numId w:val="208"/>
        </w:numPr>
        <w:rPr>
          <w:rFonts w:ascii="Arial" w:cs="Arial" w:eastAsia="Arial" w:hAnsi="Arial"/>
          <w:sz w:val="21"/>
          <w:szCs w:val="21"/>
          <w:color w:val="auto"/>
        </w:rPr>
      </w:pPr>
      <w:r>
        <w:rPr>
          <w:rFonts w:ascii="Arial" w:cs="Arial" w:eastAsia="Arial" w:hAnsi="Arial"/>
          <w:sz w:val="21"/>
          <w:szCs w:val="21"/>
          <w:color w:val="auto"/>
        </w:rPr>
        <w:t>by will or the laws of descent and distribution; or (ii) pursuant to the qualified domestic relations order (as defined by the Internal Revenue Code); or (iii) with respect to grants of nonqualified stock options, by transfer by an Optionee to a member of the Optionee’s Immediate Family, or to a partnership or limited liability company whose only partners or shareholders are the Optionee and members of his Immediate Family. However, any grant transferred shall continue to be subject to all terms and conditions contained in the Agreement.</w:t>
      </w:r>
    </w:p>
    <w:p>
      <w:pPr>
        <w:spacing w:after="0" w:line="173" w:lineRule="exact"/>
        <w:rPr>
          <w:rFonts w:ascii="Arial" w:cs="Arial" w:eastAsia="Arial" w:hAnsi="Arial"/>
          <w:sz w:val="21"/>
          <w:szCs w:val="21"/>
          <w:color w:val="auto"/>
        </w:rPr>
      </w:pPr>
    </w:p>
    <w:p>
      <w:pPr>
        <w:ind w:left="1760" w:hanging="878"/>
        <w:spacing w:after="0"/>
        <w:tabs>
          <w:tab w:leader="none" w:pos="1760" w:val="left"/>
        </w:tabs>
        <w:numPr>
          <w:ilvl w:val="1"/>
          <w:numId w:val="20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firstLine="882"/>
        <w:spacing w:after="0" w:line="245" w:lineRule="auto"/>
        <w:tabs>
          <w:tab w:leader="none" w:pos="1728" w:val="left"/>
        </w:tabs>
        <w:numPr>
          <w:ilvl w:val="0"/>
          <w:numId w:val="209"/>
        </w:numPr>
        <w:rPr>
          <w:rFonts w:ascii="Arial" w:cs="Arial" w:eastAsia="Arial" w:hAnsi="Arial"/>
          <w:sz w:val="20"/>
          <w:szCs w:val="20"/>
          <w:color w:val="auto"/>
        </w:rPr>
      </w:pPr>
      <w:r>
        <w:rPr>
          <w:rFonts w:ascii="Arial" w:cs="Arial" w:eastAsia="Arial" w:hAnsi="Arial"/>
          <w:sz w:val="20"/>
          <w:szCs w:val="20"/>
          <w:color w:val="auto"/>
        </w:rPr>
        <w:t>Regardless of any action the Company or Optionee's employer (the “Employer”) takes with respect to any or all income tax (including foreign, federal, state and local tax), social insurance, payroll tax, payment on account or other tax-related items related to Optionee's participation in the Plan and legally applicable to Optionee (“Tax-Related Items”), Optionee acknowledges that the ultimate liability for all Tax-Related Items legally due by Optionee is and remains Optionee's responsibility and may exceed the amount actually withheld by the Company and/or the Employer. Optionee further acknowledges that the Company and/or the Employer (i) make no representations or undertakings regarding the treatment of any Tax-Related Items in connection with any aspect of the Option, including but not limited to, the grant, vesting, exercise of the Option, the issuance of Shares upon exercise, the subsequent sale of Shares acquired pursuant to the exercise of the Option and the receipt of any dividends; and (ii) do not commit to and are under no obligation to structure the terms of the grant or any aspect of the Option to reduce or eliminate Optionee's liability for Tax-Related Items or achieve any particular tax result. Further, if Optionee has become subject to tax in more than one jurisdiction, Optionee acknowledges that the Company and/or the Employer (or former employer, as applicable) may be required to withhold or account for Tax-Related Items in more than one jurisdiction.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6" w:name="page147"/>
    <w:bookmarkEnd w:id="146"/>
    <w:p>
      <w:pPr>
        <w:jc w:val="both"/>
        <w:ind w:firstLine="882"/>
        <w:spacing w:after="0" w:line="261" w:lineRule="auto"/>
        <w:tabs>
          <w:tab w:leader="none" w:pos="173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(“Tax Date”), as applicable, Optionee will pay or make adequate arrangements satisfactory to the Company and/or the Employer to satisfy all Tax-Related Items. In this regard, Optionee authorizes the Company and/or the Employer or their respective agents, at their discretion, to satisfy the obligations with regard to all Tax-Related Items by one or a combination of the following: (i) accept a cash payment in U.S. Dollars in the amount of Tax-Related Items, (ii) withhold whole Shares which would otherwise be delivered to Optionee having an aggregate Fair Market Value, determined as of the Tax Date, or withhold an amount of cash from Optionee's wages or other cash compensation which would otherwise be payable to Optionee by the Company and/or the Employer, equal to the amount necessary to satisfy any such obligations, (iii) withhold from proceeds of the sale of Shares acquired upon exercise of the Option either through a voluntary sale or through a mandatory sale arranged by the Company (on Optionee's behalf pursuant to this authorization), or (iv) a cash payment to the Company by a broker-dealer acceptable to the Company to whom Optionee have submitted an irrevocable notice of exercise.</w:t>
      </w:r>
    </w:p>
    <w:p>
      <w:pPr>
        <w:spacing w:after="0" w:line="156" w:lineRule="exact"/>
        <w:rPr>
          <w:rFonts w:ascii="Arial" w:cs="Arial" w:eastAsia="Arial" w:hAnsi="Arial"/>
          <w:sz w:val="19"/>
          <w:szCs w:val="19"/>
          <w:color w:val="auto"/>
        </w:rPr>
      </w:pPr>
    </w:p>
    <w:p>
      <w:pPr>
        <w:jc w:val="both"/>
        <w:ind w:firstLine="882"/>
        <w:spacing w:after="0" w:line="246" w:lineRule="auto"/>
        <w:tabs>
          <w:tab w:leader="none" w:pos="172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To avoid negative accounting treatment, the Company may withhold or account for Tax-Related Items by considering applicable minimum statutory withholding rates. If the obligation for Tax-Related Items is satisfied by withholding in Shares, for tax purposes, Optionee are deemed to have been issued the full number of Shares subject to the Option, notwithstanding that a number of Shares are held back solely for the purpose of paying the Tax-Related Items. Finally, Optionee shall pay to the Company or the Employer any amount of Tax-Related Items that the Company or the Employer may be required to withhold as a result of Optionee's participation in the Plan that cannot be satisfied by the means previously described. The Company shall have sole discretion to deliver the Shares if Optionee fails to comply with his or her obligations in connection with the Tax-Related Items as described in this section and Optionee unconditionally consents to and approves any such action taken by the Company. Optionee (or any beneficiary or person entitled to act on Optionee's behalf) shall provide the Company with any forms, documents or other information reasonably required by the Company.</w:t>
      </w:r>
    </w:p>
    <w:p>
      <w:pPr>
        <w:spacing w:after="0" w:line="169" w:lineRule="exact"/>
        <w:rPr>
          <w:sz w:val="20"/>
          <w:szCs w:val="20"/>
          <w:color w:val="auto"/>
        </w:rPr>
      </w:pPr>
    </w:p>
    <w:p>
      <w:pPr>
        <w:ind w:left="1760" w:hanging="878"/>
        <w:spacing w:after="0"/>
        <w:tabs>
          <w:tab w:leader="none" w:pos="1760" w:val="left"/>
        </w:tabs>
        <w:numPr>
          <w:ilvl w:val="0"/>
          <w:numId w:val="2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Consent to Collection, Processing and Transfer of Personal Data.</w:t>
      </w:r>
    </w:p>
    <w:p>
      <w:pPr>
        <w:spacing w:after="0" w:line="230" w:lineRule="exact"/>
        <w:rPr>
          <w:sz w:val="20"/>
          <w:szCs w:val="20"/>
          <w:color w:val="auto"/>
        </w:rPr>
      </w:pPr>
    </w:p>
    <w:p>
      <w:pPr>
        <w:jc w:val="both"/>
        <w:ind w:firstLine="882"/>
        <w:spacing w:after="0" w:line="248" w:lineRule="auto"/>
        <w:tabs>
          <w:tab w:leader="none" w:pos="1728" w:val="left"/>
        </w:tabs>
        <w:numPr>
          <w:ilvl w:val="0"/>
          <w:numId w:val="212"/>
        </w:numPr>
        <w:rPr>
          <w:rFonts w:ascii="Arial" w:cs="Arial" w:eastAsia="Arial" w:hAnsi="Arial"/>
          <w:sz w:val="20"/>
          <w:szCs w:val="20"/>
          <w:color w:val="auto"/>
        </w:rPr>
      </w:pPr>
      <w:r>
        <w:rPr>
          <w:rFonts w:ascii="Arial" w:cs="Arial" w:eastAsia="Arial" w:hAnsi="Arial"/>
          <w:sz w:val="20"/>
          <w:szCs w:val="20"/>
          <w:color w:val="auto"/>
        </w:rPr>
        <w:t>Pursuant to applicable personal data protection laws, the Company and the Employer (if different) hereby notify the Optionee of the following in relation to the Optionee's personal data and the collection, processing and transfer of such data in relation to the Company’s grant of this Option and the Optionee's participation in the Plan. The collection, processing and transfer of the Optionee's personal data are necessary for the Company’s administration of the Plan and the Optionee's participation in the Plan. The Optionee's denial and/or objection to the collection, processing and transfer of personal data may affect the Optionee's participation in the Plan. The Optionee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auto"/>
        </w:rPr>
      </w:pPr>
    </w:p>
    <w:p>
      <w:pPr>
        <w:jc w:val="both"/>
        <w:ind w:firstLine="882"/>
        <w:spacing w:after="0" w:line="260" w:lineRule="auto"/>
        <w:tabs>
          <w:tab w:leader="none" w:pos="173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Company and the Employer (if different) hold certain personal information about the Optionee, including the Optionee's name, home address and telephone number, date of birth, social security number or other employee identification number, salary, nationality, job title, any Shares or directorships held in the Company, details of all awards or any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47" w:name="page148"/>
    <w:bookmarkEnd w:id="147"/>
    <w:p>
      <w:pPr>
        <w:jc w:val="both"/>
        <w:spacing w:after="0" w:line="261" w:lineRule="auto"/>
        <w:rPr>
          <w:sz w:val="20"/>
          <w:szCs w:val="20"/>
          <w:color w:val="auto"/>
        </w:rPr>
      </w:pPr>
      <w:r>
        <w:rPr>
          <w:rFonts w:ascii="Arial" w:cs="Arial" w:eastAsia="Arial" w:hAnsi="Arial"/>
          <w:sz w:val="19"/>
          <w:szCs w:val="19"/>
          <w:color w:val="auto"/>
        </w:rPr>
        <w:t>entitlement to Shares awarded, canceled, purchased, vested, unvested or outstanding in the Optionee's favor, for the purpose of managing and administering the Plan (“Data”). The Data may be provided by the Optionee or collected, where lawful, from third parties, and the Company and Employer (if different) will process the Data for the exclusive purpose of implementing, administering and managing the Optionee's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 Optionee's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Optionee's participation in the Plan.</w:t>
      </w:r>
    </w:p>
    <w:p>
      <w:pPr>
        <w:spacing w:after="0" w:line="186" w:lineRule="exact"/>
        <w:rPr>
          <w:sz w:val="20"/>
          <w:szCs w:val="20"/>
          <w:color w:val="auto"/>
        </w:rPr>
      </w:pPr>
    </w:p>
    <w:p>
      <w:pPr>
        <w:jc w:val="both"/>
        <w:ind w:firstLine="882"/>
        <w:spacing w:after="0" w:line="279" w:lineRule="auto"/>
        <w:tabs>
          <w:tab w:leader="none" w:pos="172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and the Employer (if different) will transfer Data amongst themselves as necessary for the purpose of implementation, administration and management of the Optionee's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Optionee hereby authorizes (where required under applicable law) them to receive, possess, use, retain and transfer the Data, in electronic or other form, for purposes of implementing, administering and managing the Optionee's participation in the Plan, including any requisite transfer of such Data as may be required for the administration of the Plan and/or the subsequent holding of Shares on the Optionee's behalf to a broker or other third party with whom the Optionee may elect to deposit any Shares acquired pursuant to the Plan.</w:t>
      </w:r>
    </w:p>
    <w:p>
      <w:pPr>
        <w:spacing w:after="0" w:line="142" w:lineRule="exact"/>
        <w:rPr>
          <w:rFonts w:ascii="Arial" w:cs="Arial" w:eastAsia="Arial" w:hAnsi="Arial"/>
          <w:sz w:val="18"/>
          <w:szCs w:val="18"/>
          <w:color w:val="auto"/>
        </w:rPr>
      </w:pPr>
    </w:p>
    <w:p>
      <w:pPr>
        <w:jc w:val="both"/>
        <w:ind w:firstLine="882"/>
        <w:spacing w:after="0" w:line="249" w:lineRule="auto"/>
        <w:tabs>
          <w:tab w:leader="none" w:pos="1739"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Optionee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Optionee's participation in the Plan. The Optionee may seek to exercise these rights by contacting the Company’s Corporate Secretary’s Department</w:t>
      </w:r>
      <w:r>
        <w:rPr>
          <w:rFonts w:ascii="Arial" w:cs="Arial" w:eastAsia="Arial" w:hAnsi="Arial"/>
          <w:sz w:val="20"/>
          <w:szCs w:val="20"/>
          <w:b w:val="1"/>
          <w:bCs w:val="1"/>
          <w:color w:val="auto"/>
        </w:rPr>
        <w:t>.</w:t>
      </w:r>
    </w:p>
    <w:p>
      <w:pPr>
        <w:spacing w:after="0" w:line="164" w:lineRule="exact"/>
        <w:rPr>
          <w:sz w:val="20"/>
          <w:szCs w:val="20"/>
          <w:color w:val="auto"/>
        </w:rPr>
      </w:pPr>
    </w:p>
    <w:p>
      <w:pPr>
        <w:jc w:val="both"/>
        <w:ind w:firstLine="882"/>
        <w:spacing w:after="0" w:line="238" w:lineRule="auto"/>
        <w:tabs>
          <w:tab w:leader="none" w:pos="1757" w:val="left"/>
        </w:tabs>
        <w:numPr>
          <w:ilvl w:val="0"/>
          <w:numId w:val="2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 acknowledges and agrees that it is the Optionee's express intent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Plan and all other documents, notices and legal proceedings entered into, given or instituted pursuant to the Option, be drawn up in English. If the Optionee has received the Agreement, the Plan or any other documents related to the Options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8" w:name="page149"/>
    <w:bookmarkEnd w:id="148"/>
    <w:p>
      <w:pPr>
        <w:ind w:left="1760" w:hanging="878"/>
        <w:spacing w:after="0"/>
        <w:tabs>
          <w:tab w:leader="none" w:pos="1760"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Grant</w:t>
      </w:r>
      <w:r>
        <w:rPr>
          <w:rFonts w:ascii="Arial" w:cs="Arial" w:eastAsia="Arial" w:hAnsi="Arial"/>
          <w:sz w:val="21"/>
          <w:szCs w:val="21"/>
          <w:u w:val="single" w:color="auto"/>
          <w:color w:val="auto"/>
        </w:rPr>
        <w:t>.</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of Options, Optionee acknowledges that:</w:t>
      </w:r>
    </w:p>
    <w:p>
      <w:pPr>
        <w:spacing w:after="0" w:line="224" w:lineRule="exact"/>
        <w:rPr>
          <w:sz w:val="20"/>
          <w:szCs w:val="20"/>
          <w:color w:val="auto"/>
        </w:rPr>
      </w:pPr>
    </w:p>
    <w:p>
      <w:pPr>
        <w:ind w:firstLine="882"/>
        <w:spacing w:after="0" w:line="278" w:lineRule="auto"/>
        <w:tabs>
          <w:tab w:leader="none" w:pos="1728"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4" w:lineRule="exact"/>
        <w:rPr>
          <w:rFonts w:ascii="Arial" w:cs="Arial" w:eastAsia="Arial" w:hAnsi="Arial"/>
          <w:sz w:val="20"/>
          <w:szCs w:val="20"/>
          <w:color w:val="auto"/>
        </w:rPr>
      </w:pPr>
    </w:p>
    <w:p>
      <w:pPr>
        <w:ind w:firstLine="882"/>
        <w:spacing w:after="0" w:line="253" w:lineRule="auto"/>
        <w:tabs>
          <w:tab w:leader="none" w:pos="173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grant of Options is a one-time benefit and does not create any contractual or other right to receive an award or benefits in lieu of an award in the future; future awards, if any, will be at the sole discretion of the Company.</w:t>
      </w:r>
    </w:p>
    <w:p>
      <w:pPr>
        <w:spacing w:after="0" w:line="188" w:lineRule="exact"/>
        <w:rPr>
          <w:rFonts w:ascii="Arial" w:cs="Arial" w:eastAsia="Arial" w:hAnsi="Arial"/>
          <w:sz w:val="21"/>
          <w:szCs w:val="21"/>
          <w:color w:val="auto"/>
        </w:rPr>
      </w:pPr>
    </w:p>
    <w:p>
      <w:pPr>
        <w:ind w:left="1740" w:hanging="858"/>
        <w:spacing w:after="0"/>
        <w:tabs>
          <w:tab w:leader="none" w:pos="174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Optionee is voluntarily participating in the Plan.</w:t>
      </w:r>
    </w:p>
    <w:p>
      <w:pPr>
        <w:spacing w:after="0" w:line="223" w:lineRule="exact"/>
        <w:rPr>
          <w:rFonts w:ascii="Arial" w:cs="Arial" w:eastAsia="Arial" w:hAnsi="Arial"/>
          <w:sz w:val="21"/>
          <w:szCs w:val="21"/>
          <w:color w:val="auto"/>
        </w:rPr>
      </w:pPr>
    </w:p>
    <w:p>
      <w:pPr>
        <w:ind w:firstLine="882"/>
        <w:spacing w:after="0" w:line="253" w:lineRule="auto"/>
        <w:tabs>
          <w:tab w:leader="none" w:pos="173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An Option is an extraordinary item that does not constitute compensation of any kind for services of any kind rendered to the Employer, and which is outside the scope of the Optionee's employment contract, if any.</w:t>
      </w:r>
    </w:p>
    <w:p>
      <w:pPr>
        <w:spacing w:after="0" w:line="188" w:lineRule="exact"/>
        <w:rPr>
          <w:rFonts w:ascii="Arial" w:cs="Arial" w:eastAsia="Arial" w:hAnsi="Arial"/>
          <w:sz w:val="21"/>
          <w:szCs w:val="21"/>
          <w:color w:val="auto"/>
        </w:rPr>
      </w:pPr>
    </w:p>
    <w:p>
      <w:pPr>
        <w:jc w:val="both"/>
        <w:ind w:firstLine="882"/>
        <w:spacing w:after="0" w:line="238" w:lineRule="auto"/>
        <w:tabs>
          <w:tab w:leader="none" w:pos="1728"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Options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204" w:lineRule="exact"/>
        <w:rPr>
          <w:rFonts w:ascii="Arial" w:cs="Arial" w:eastAsia="Arial" w:hAnsi="Arial"/>
          <w:sz w:val="21"/>
          <w:szCs w:val="21"/>
          <w:color w:val="auto"/>
        </w:rPr>
      </w:pPr>
    </w:p>
    <w:p>
      <w:pPr>
        <w:ind w:firstLine="882"/>
        <w:spacing w:after="0" w:line="253" w:lineRule="auto"/>
        <w:tabs>
          <w:tab w:leader="none" w:pos="1705"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Options will not be interpreted to form an employment contract or relationship with the Company; and furthermore, the Options will not be interpreted to form an employment contract with any Subsidiary.</w:t>
      </w:r>
    </w:p>
    <w:p>
      <w:pPr>
        <w:spacing w:after="0" w:line="188" w:lineRule="exact"/>
        <w:rPr>
          <w:rFonts w:ascii="Arial" w:cs="Arial" w:eastAsia="Arial" w:hAnsi="Arial"/>
          <w:sz w:val="21"/>
          <w:szCs w:val="21"/>
          <w:color w:val="auto"/>
        </w:rPr>
      </w:pPr>
    </w:p>
    <w:p>
      <w:pPr>
        <w:jc w:val="both"/>
        <w:ind w:firstLine="882"/>
        <w:spacing w:after="0" w:line="242" w:lineRule="auto"/>
        <w:tabs>
          <w:tab w:leader="none" w:pos="173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This Agreement shall not confer upon the Optionee any right to continuation of employment by the Employer, nor shall this Agreement interfere in any way with the Employer’s right to terminate the Optionee's employment at any time, as may be permitted under local law.</w:t>
      </w:r>
    </w:p>
    <w:p>
      <w:pPr>
        <w:spacing w:after="0" w:line="199" w:lineRule="exact"/>
        <w:rPr>
          <w:rFonts w:ascii="Arial" w:cs="Arial" w:eastAsia="Arial" w:hAnsi="Arial"/>
          <w:sz w:val="21"/>
          <w:szCs w:val="21"/>
          <w:color w:val="auto"/>
        </w:rPr>
      </w:pPr>
    </w:p>
    <w:p>
      <w:pPr>
        <w:ind w:firstLine="882"/>
        <w:spacing w:after="0" w:line="253" w:lineRule="auto"/>
        <w:tabs>
          <w:tab w:leader="none" w:pos="173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 if the value of the Shares does not increase after the time of grant, this Option will have no value.</w:t>
      </w:r>
    </w:p>
    <w:p>
      <w:pPr>
        <w:spacing w:after="0" w:line="188" w:lineRule="exact"/>
        <w:rPr>
          <w:rFonts w:ascii="Arial" w:cs="Arial" w:eastAsia="Arial" w:hAnsi="Arial"/>
          <w:sz w:val="21"/>
          <w:szCs w:val="21"/>
          <w:color w:val="auto"/>
        </w:rPr>
      </w:pPr>
    </w:p>
    <w:p>
      <w:pPr>
        <w:ind w:left="1700" w:hanging="818"/>
        <w:spacing w:after="0"/>
        <w:tabs>
          <w:tab w:leader="none" w:pos="17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the Options vest and the Optionee obtains Shares, the value of those Shares acquired may increase or decrease in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value.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9" w:name="page150"/>
    <w:bookmarkEnd w:id="149"/>
    <w:p>
      <w:pPr>
        <w:jc w:val="both"/>
        <w:ind w:firstLine="882"/>
        <w:spacing w:after="0" w:line="249" w:lineRule="auto"/>
        <w:tabs>
          <w:tab w:leader="none" w:pos="169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In consideration of the grant of the Options, no claim or entitlement to compensation or damages shall arise from termination of the Options or diminution in value of the Options or Shares acquired upon exercise of the Option resulting from termination of the Optionee's employment (for any reason whatsoever and whether or not in breach of local labor laws) and the Optionee irrevocably releases the Company and the Employer (if different) from any such claim that may arise; if, notwithstanding the foregoing, any such claim is found by a court of competent jurisdiction to have arisen, then, by accepting this Option, the Optionee will be deemed irrevocably to have waived the Optionee's entitlement to pursue such claim.</w:t>
      </w:r>
    </w:p>
    <w:p>
      <w:pPr>
        <w:spacing w:after="0" w:line="171" w:lineRule="exact"/>
        <w:rPr>
          <w:rFonts w:ascii="Arial" w:cs="Arial" w:eastAsia="Arial" w:hAnsi="Arial"/>
          <w:sz w:val="20"/>
          <w:szCs w:val="20"/>
          <w:color w:val="auto"/>
        </w:rPr>
      </w:pPr>
    </w:p>
    <w:p>
      <w:pPr>
        <w:jc w:val="both"/>
        <w:ind w:firstLine="882"/>
        <w:spacing w:after="0" w:line="247" w:lineRule="auto"/>
        <w:tabs>
          <w:tab w:leader="none" w:pos="173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In the event of involuntary termination of Optionee’s employment (whether or not in breach of local labor laws), Optionee’s right to receive Options and vest under the Plan, if any, will terminate effective as of the date that Optionee is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Optionee’s right to exercise Options and vesting in Options after termination of employment, if any will be measured by the date of termination of Optionee’s active employment and will not be extended by a notice period mandated under local law; the Committee shall have the exclusive discretion to determine when the Optionee is no longer actively employed for purposes of the award of the Options.</w:t>
      </w:r>
    </w:p>
    <w:p>
      <w:pPr>
        <w:spacing w:after="0" w:line="173" w:lineRule="exact"/>
        <w:rPr>
          <w:rFonts w:ascii="Arial" w:cs="Arial" w:eastAsia="Arial" w:hAnsi="Arial"/>
          <w:sz w:val="20"/>
          <w:szCs w:val="20"/>
          <w:color w:val="auto"/>
        </w:rPr>
      </w:pPr>
    </w:p>
    <w:p>
      <w:pPr>
        <w:ind w:firstLine="882"/>
        <w:spacing w:after="0" w:line="253" w:lineRule="auto"/>
        <w:tabs>
          <w:tab w:leader="none" w:pos="1693"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Options and benefits under the Plan, if any, will not automatically transfer to another company in the case of a merger, take-over or transfer of liability.</w:t>
      </w:r>
    </w:p>
    <w:p>
      <w:pPr>
        <w:spacing w:after="0" w:line="363" w:lineRule="exact"/>
        <w:rPr>
          <w:sz w:val="20"/>
          <w:szCs w:val="20"/>
          <w:color w:val="auto"/>
        </w:rPr>
      </w:pPr>
    </w:p>
    <w:p>
      <w:pPr>
        <w:jc w:val="both"/>
        <w:ind w:firstLine="882"/>
        <w:spacing w:after="0"/>
        <w:tabs>
          <w:tab w:leader="none" w:pos="1757" w:val="left"/>
        </w:tabs>
        <w:numPr>
          <w:ilvl w:val="0"/>
          <w:numId w:val="2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Option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auto"/>
        </w:rPr>
      </w:pPr>
    </w:p>
    <w:p>
      <w:pPr>
        <w:jc w:val="both"/>
        <w:ind w:firstLine="882"/>
        <w:spacing w:after="0"/>
        <w:tabs>
          <w:tab w:leader="none" w:pos="1757" w:val="left"/>
        </w:tabs>
        <w:numPr>
          <w:ilvl w:val="0"/>
          <w:numId w:val="2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 Providing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is not providing any tax, legal or financial advice, nor is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any recommendations regarding Optionee’s participation in the Plan, or Optionee’s acquisition or sale of the Shares underlying the Option. Optionee is hereby advised to consult with his or her own personal tax, legal and financial advisors regarding his or her participation in the Plan before taking any action related to the Plan.</w:t>
      </w:r>
    </w:p>
    <w:p>
      <w:pPr>
        <w:spacing w:after="0" w:line="171" w:lineRule="exact"/>
        <w:rPr>
          <w:rFonts w:ascii="Arial" w:cs="Arial" w:eastAsia="Arial" w:hAnsi="Arial"/>
          <w:sz w:val="21"/>
          <w:szCs w:val="21"/>
          <w:b w:val="1"/>
          <w:bCs w:val="1"/>
          <w:color w:val="auto"/>
        </w:rPr>
      </w:pPr>
    </w:p>
    <w:p>
      <w:pPr>
        <w:ind w:firstLine="882"/>
        <w:spacing w:after="0" w:line="259" w:lineRule="auto"/>
        <w:tabs>
          <w:tab w:leader="none" w:pos="1757" w:val="left"/>
        </w:tabs>
        <w:numPr>
          <w:ilvl w:val="0"/>
          <w:numId w:val="2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validity, construction and effect of this Award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the laws of the State of Delaware, without reference to principles of conflict of laws.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0" w:name="page151"/>
    <w:bookmarkEnd w:id="150"/>
    <w:p>
      <w:pPr>
        <w:jc w:val="both"/>
        <w:ind w:firstLine="882"/>
        <w:spacing w:after="0" w:line="264" w:lineRule="auto"/>
        <w:tabs>
          <w:tab w:leader="none" w:pos="1757" w:val="left"/>
        </w:tabs>
        <w:numPr>
          <w:ilvl w:val="0"/>
          <w:numId w:val="2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 Terms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Agreement to the contrary, the Option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special terms and conditions for the Optionee's country of residence (and country of employment, if different), as are set forth in the Appendix to this Agreement (the “Appendix”). Further, if the Optionee transfers residency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 or to facilitate the operation and administration of the Option and the Plan (or the Company may establish alternative terms and conditions as may be necessary or advisable to accommodate the Optionee's transfer). In all circumstances, the Appendix shall constitute part of this Agreement.</w:t>
      </w:r>
    </w:p>
    <w:p>
      <w:pPr>
        <w:spacing w:after="0" w:line="150" w:lineRule="exact"/>
        <w:rPr>
          <w:rFonts w:ascii="Arial" w:cs="Arial" w:eastAsia="Arial" w:hAnsi="Arial"/>
          <w:sz w:val="19"/>
          <w:szCs w:val="19"/>
          <w:b w:val="1"/>
          <w:bCs w:val="1"/>
          <w:color w:val="auto"/>
        </w:rPr>
      </w:pPr>
    </w:p>
    <w:p>
      <w:pPr>
        <w:jc w:val="both"/>
        <w:ind w:firstLine="882"/>
        <w:spacing w:after="0" w:line="253" w:lineRule="auto"/>
        <w:tabs>
          <w:tab w:leader="none" w:pos="1757" w:val="left"/>
        </w:tabs>
        <w:numPr>
          <w:ilvl w:val="0"/>
          <w:numId w:val="2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the Options,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acquired pursuant to the Options, and the Optionee's participation in the Plan, to the extent the Company determines, in its sole discretion, that such other requirements are necessary or advisable in order to comply with local law or to facilitate the operation and administration of the Options and the Plan. Such requirements may include (but are not limited to) requiring the Optionee to sign any agreements or undertakings that may be necessary to accomplish the foregoing.</w:t>
      </w:r>
    </w:p>
    <w:p>
      <w:pPr>
        <w:spacing w:after="0" w:line="163"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____________________________________________</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14" w:right="239" w:bottom="1440" w:gutter="0" w:footer="0" w:header="0"/>
        </w:sectPr>
      </w:pPr>
    </w:p>
    <w:bookmarkStart w:id="151" w:name="page152"/>
    <w:bookmarkEnd w:id="151"/>
    <w:p>
      <w:pPr>
        <w:jc w:val="right"/>
        <w:ind w:right="40"/>
        <w:spacing w:after="0"/>
        <w:rPr>
          <w:sz w:val="20"/>
          <w:szCs w:val="20"/>
          <w:color w:val="auto"/>
        </w:rPr>
      </w:pPr>
      <w:r>
        <w:rPr>
          <w:rFonts w:ascii="Arial" w:cs="Arial" w:eastAsia="Arial" w:hAnsi="Arial"/>
          <w:sz w:val="21"/>
          <w:szCs w:val="21"/>
          <w:color w:val="auto"/>
        </w:rPr>
        <w:t>Exhibit 10.41</w:t>
      </w:r>
    </w:p>
    <w:p>
      <w:pPr>
        <w:spacing w:after="0" w:line="192"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CAMERON INTERNATIONAL CORPORATION</w:t>
      </w:r>
    </w:p>
    <w:p>
      <w:pPr>
        <w:spacing w:after="0" w:line="11" w:lineRule="exact"/>
        <w:rPr>
          <w:sz w:val="20"/>
          <w:szCs w:val="20"/>
          <w:color w:val="auto"/>
        </w:rPr>
      </w:pPr>
    </w:p>
    <w:p>
      <w:pPr>
        <w:ind w:left="3440"/>
        <w:spacing w:after="0"/>
        <w:rPr>
          <w:sz w:val="20"/>
          <w:szCs w:val="20"/>
          <w:color w:val="auto"/>
        </w:rPr>
      </w:pPr>
      <w:r>
        <w:rPr>
          <w:rFonts w:ascii="Arial" w:cs="Arial" w:eastAsia="Arial" w:hAnsi="Arial"/>
          <w:sz w:val="21"/>
          <w:szCs w:val="21"/>
          <w:b w:val="1"/>
          <w:bCs w:val="1"/>
          <w:i w:val="1"/>
          <w:iCs w:val="1"/>
          <w:color w:val="auto"/>
        </w:rPr>
        <w:t>NON-QUALIFIED STOCK OPTION AGREEMENT</w:t>
      </w:r>
    </w:p>
    <w:p>
      <w:pPr>
        <w:jc w:val="center"/>
        <w:ind w:right="40"/>
        <w:spacing w:after="0"/>
        <w:rPr>
          <w:sz w:val="20"/>
          <w:szCs w:val="20"/>
          <w:color w:val="auto"/>
        </w:rPr>
      </w:pPr>
      <w:r>
        <w:rPr>
          <w:rFonts w:ascii="Arial" w:cs="Arial" w:eastAsia="Arial" w:hAnsi="Arial"/>
          <w:sz w:val="17"/>
          <w:szCs w:val="17"/>
          <w:b w:val="1"/>
          <w:bCs w:val="1"/>
          <w:i w:val="1"/>
          <w:iCs w:val="1"/>
          <w:u w:val="single" w:color="auto"/>
          <w:color w:val="auto"/>
        </w:rPr>
        <w:t>(Including Non-Compete, Non-Solicitation, and Confidentiality Agreements)</w:t>
      </w:r>
    </w:p>
    <w:p>
      <w:pPr>
        <w:spacing w:after="0" w:line="189"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21"/>
          <w:szCs w:val="21"/>
          <w:b w:val="1"/>
          <w:bCs w:val="1"/>
          <w:color w:val="auto"/>
        </w:rPr>
        <w:t>Effective Date: [</w:t>
      </w:r>
      <w:r>
        <w:rPr>
          <w:sz w:val="20"/>
          <w:szCs w:val="20"/>
          <w:color w:val="auto"/>
        </w:rPr>
        <w:tab/>
      </w:r>
      <w:r>
        <w:rPr>
          <w:rFonts w:ascii="Arial" w:cs="Arial" w:eastAsia="Arial" w:hAnsi="Arial"/>
          <w:sz w:val="19"/>
          <w:szCs w:val="19"/>
          <w:b w:val="1"/>
          <w:bCs w:val="1"/>
          <w:color w:val="auto"/>
        </w:rPr>
        <w:t>], 2014</w:t>
      </w:r>
    </w:p>
    <w:p>
      <w:pPr>
        <w:spacing w:after="0" w:line="198" w:lineRule="exact"/>
        <w:rPr>
          <w:sz w:val="20"/>
          <w:szCs w:val="20"/>
          <w:color w:val="auto"/>
        </w:rPr>
      </w:pPr>
    </w:p>
    <w:p>
      <w:pPr>
        <w:jc w:val="both"/>
        <w:ind w:right="40" w:firstLine="882"/>
        <w:spacing w:after="0" w:line="247" w:lineRule="auto"/>
        <w:tabs>
          <w:tab w:leader="none" w:pos="1653"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As an additional incentive and inducement to you to remain in the employment of Cameron International</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(the “Company”) or one of its Subsidiaries and to acquire an ownership position in the Company, thereby aligning your interests with those of the Company and its stockholders, the Company hereby grants to you, the “Optionee”, the option to purchase common stock of the Company from the Company (the “Options”) at the times and upon the terms and conditions set forth on the attached Notice of Grant of Stock Options and this Option Agreement (the “Agreement”), subject to your acceptance of this Agreement in writing or electronically in the manner prescribed by the Company or its third party administrator. The Options are not intended to be incentive stock options granted in accordance with Code Section 422. For purposes of this Agreement, “Employer” means the Company or Subsidiary that employs the Participant on the applicable date. All capitalized terms not defined in this Award Agreement shall have the same meaning as set forth in the Plan.</w:t>
      </w:r>
    </w:p>
    <w:p>
      <w:pPr>
        <w:spacing w:after="0" w:line="169" w:lineRule="exact"/>
        <w:rPr>
          <w:rFonts w:ascii="Arial" w:cs="Arial" w:eastAsia="Arial" w:hAnsi="Arial"/>
          <w:sz w:val="20"/>
          <w:szCs w:val="20"/>
          <w:b w:val="1"/>
          <w:bCs w:val="1"/>
          <w:color w:val="auto"/>
        </w:rPr>
      </w:pPr>
    </w:p>
    <w:p>
      <w:pPr>
        <w:jc w:val="both"/>
        <w:ind w:right="40" w:firstLine="882"/>
        <w:spacing w:after="0"/>
        <w:tabs>
          <w:tab w:leader="none" w:pos="1653" w:val="left"/>
        </w:tabs>
        <w:numPr>
          <w:ilvl w:val="0"/>
          <w:numId w:val="2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Equity Incentive Plan </w:t>
      </w:r>
      <w:r>
        <w:rPr>
          <w:rFonts w:ascii="Arial" w:cs="Arial" w:eastAsia="Arial" w:hAnsi="Arial"/>
          <w:sz w:val="21"/>
          <w:szCs w:val="21"/>
          <w:color w:val="auto"/>
        </w:rPr>
        <w:t>(the “Plan”), as indicated in your Notice of Grant of Stock Options. A copy of the Plan is available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Corporate Secretary upon request. In the event there is a conflict between the terms of the Plan and this Agreement, the terms of the Plan shall control.</w:t>
      </w:r>
    </w:p>
    <w:p>
      <w:pPr>
        <w:spacing w:after="0" w:line="171" w:lineRule="exact"/>
        <w:rPr>
          <w:rFonts w:ascii="Arial" w:cs="Arial" w:eastAsia="Arial" w:hAnsi="Arial"/>
          <w:sz w:val="21"/>
          <w:szCs w:val="21"/>
          <w:b w:val="1"/>
          <w:bCs w:val="1"/>
          <w:color w:val="auto"/>
        </w:rPr>
      </w:pPr>
    </w:p>
    <w:p>
      <w:pPr>
        <w:ind w:left="1660" w:hanging="778"/>
        <w:spacing w:after="0"/>
        <w:tabs>
          <w:tab w:leader="none" w:pos="1660" w:val="left"/>
        </w:tabs>
        <w:numPr>
          <w:ilvl w:val="0"/>
          <w:numId w:val="2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the Shares of the Company’s common stock subject to the Agreement shall</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73" w:lineRule="exact"/>
        <w:rPr>
          <w:rFonts w:ascii="Arial" w:cs="Arial" w:eastAsia="Arial" w:hAnsi="Arial"/>
          <w:sz w:val="19"/>
          <w:szCs w:val="19"/>
          <w:b w:val="1"/>
          <w:bCs w:val="1"/>
          <w:color w:val="auto"/>
        </w:rPr>
      </w:pPr>
    </w:p>
    <w:p>
      <w:pPr>
        <w:ind w:left="1660" w:hanging="778"/>
        <w:spacing w:after="0"/>
        <w:tabs>
          <w:tab w:leader="none" w:pos="1660" w:val="left"/>
        </w:tabs>
        <w:numPr>
          <w:ilvl w:val="0"/>
          <w:numId w:val="2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pursuant to this Agreement may be exercised, in whole or in part, but only as to the</w:t>
      </w:r>
    </w:p>
    <w:p>
      <w:pPr>
        <w:spacing w:after="0" w:line="38" w:lineRule="exact"/>
        <w:rPr>
          <w:sz w:val="20"/>
          <w:szCs w:val="20"/>
          <w:color w:val="auto"/>
        </w:rPr>
      </w:pPr>
    </w:p>
    <w:p>
      <w:pPr>
        <w:jc w:val="both"/>
        <w:ind w:right="40"/>
        <w:spacing w:after="0" w:line="259" w:lineRule="auto"/>
        <w:rPr>
          <w:sz w:val="20"/>
          <w:szCs w:val="20"/>
          <w:color w:val="auto"/>
        </w:rPr>
      </w:pPr>
      <w:r>
        <w:rPr>
          <w:rFonts w:ascii="Arial" w:cs="Arial" w:eastAsia="Arial" w:hAnsi="Arial"/>
          <w:sz w:val="20"/>
          <w:szCs w:val="20"/>
          <w:color w:val="auto"/>
        </w:rPr>
        <w:t xml:space="preserve">number of Options as to which the right to exercise has vested at the time of exercise, during the period beginning </w:t>
      </w:r>
      <w:r>
        <w:rPr>
          <w:rFonts w:ascii="Arial" w:cs="Arial" w:eastAsia="Arial" w:hAnsi="Arial"/>
          <w:sz w:val="20"/>
          <w:szCs w:val="20"/>
          <w:b w:val="1"/>
          <w:bCs w:val="1"/>
          <w:color w:val="auto"/>
        </w:rPr>
        <w:t>[ ], 2015</w:t>
      </w:r>
      <w:r>
        <w:rPr>
          <w:rFonts w:ascii="Arial" w:cs="Arial" w:eastAsia="Arial" w:hAnsi="Arial"/>
          <w:sz w:val="20"/>
          <w:szCs w:val="20"/>
          <w:color w:val="auto"/>
        </w:rPr>
        <w:t xml:space="preserve"> (one year from the date on which they were granted), and ending </w:t>
      </w:r>
      <w:r>
        <w:rPr>
          <w:rFonts w:ascii="Arial" w:cs="Arial" w:eastAsia="Arial" w:hAnsi="Arial"/>
          <w:sz w:val="20"/>
          <w:szCs w:val="20"/>
          <w:b w:val="1"/>
          <w:bCs w:val="1"/>
          <w:color w:val="auto"/>
        </w:rPr>
        <w:t>[ ], 2024</w:t>
      </w:r>
      <w:r>
        <w:rPr>
          <w:rFonts w:ascii="Arial" w:cs="Arial" w:eastAsia="Arial" w:hAnsi="Arial"/>
          <w:sz w:val="20"/>
          <w:szCs w:val="20"/>
          <w:color w:val="auto"/>
        </w:rPr>
        <w:t xml:space="preserve"> (ten years from the date on which Option was granted.)</w:t>
      </w:r>
    </w:p>
    <w:p>
      <w:pPr>
        <w:spacing w:after="0" w:line="151" w:lineRule="exact"/>
        <w:rPr>
          <w:sz w:val="20"/>
          <w:szCs w:val="20"/>
          <w:color w:val="auto"/>
        </w:rPr>
      </w:pPr>
    </w:p>
    <w:p>
      <w:pPr>
        <w:jc w:val="both"/>
        <w:ind w:right="40" w:firstLine="878"/>
        <w:spacing w:after="0" w:line="263" w:lineRule="auto"/>
        <w:rPr>
          <w:sz w:val="20"/>
          <w:szCs w:val="20"/>
          <w:color w:val="auto"/>
        </w:rPr>
      </w:pPr>
      <w:r>
        <w:rPr>
          <w:rFonts w:ascii="Arial" w:cs="Arial" w:eastAsia="Arial" w:hAnsi="Arial"/>
          <w:sz w:val="19"/>
          <w:szCs w:val="19"/>
          <w:b w:val="1"/>
          <w:bCs w:val="1"/>
          <w:color w:val="auto"/>
        </w:rPr>
        <w:t>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Exercise of Option.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herein may be exercised as to vested Options, in whole or in part,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an electronic or written form as prescribed by the Company or its designated third party administrator. Payment of the purchase price of the Shares that the Optionee desires to purchase shall be tendered in full at the time of giving notice by (i) cash, check in U.S. Dollars, or bank draft payable and acceptable to the Company (or the equivalent thereof acceptable to the Company), (ii) Shares theretofore owned and held by the Optionee, (iii) a combination of cash and Shares theretofore owned and held by the Optionee, or (iv) the Optionee delivering to the Company a properly executed exercise notice together with</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52" w:name="page153"/>
    <w:bookmarkEnd w:id="152"/>
    <w:p>
      <w:pPr>
        <w:jc w:val="both"/>
        <w:ind w:right="40"/>
        <w:spacing w:after="0" w:line="280" w:lineRule="auto"/>
        <w:rPr>
          <w:sz w:val="20"/>
          <w:szCs w:val="20"/>
          <w:color w:val="auto"/>
        </w:rPr>
      </w:pPr>
      <w:r>
        <w:rPr>
          <w:rFonts w:ascii="Arial" w:cs="Arial" w:eastAsia="Arial" w:hAnsi="Arial"/>
          <w:sz w:val="19"/>
          <w:szCs w:val="19"/>
          <w:color w:val="auto"/>
        </w:rPr>
        <w:t>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w:t>
      </w:r>
    </w:p>
    <w:p>
      <w:pPr>
        <w:spacing w:after="0" w:line="134" w:lineRule="exact"/>
        <w:rPr>
          <w:sz w:val="20"/>
          <w:szCs w:val="20"/>
          <w:color w:val="auto"/>
        </w:rPr>
      </w:pPr>
    </w:p>
    <w:p>
      <w:pPr>
        <w:jc w:val="both"/>
        <w:ind w:right="40" w:firstLine="882"/>
        <w:spacing w:after="0" w:line="245" w:lineRule="auto"/>
        <w:tabs>
          <w:tab w:leader="none" w:pos="1653"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Changes in the Company’s Capital Structure.</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of Shares subject to the Option and the price per Share</w:t>
      </w:r>
      <w:r>
        <w:rPr>
          <w:rFonts w:ascii="Arial" w:cs="Arial" w:eastAsia="Arial" w:hAnsi="Arial"/>
          <w:sz w:val="21"/>
          <w:szCs w:val="21"/>
          <w:b w:val="1"/>
          <w:bCs w:val="1"/>
          <w:color w:val="auto"/>
        </w:rPr>
        <w:t xml:space="preserve"> </w:t>
      </w:r>
      <w:r>
        <w:rPr>
          <w:rFonts w:ascii="Arial" w:cs="Arial" w:eastAsia="Arial" w:hAnsi="Arial"/>
          <w:sz w:val="21"/>
          <w:szCs w:val="21"/>
          <w:color w:val="auto"/>
        </w:rPr>
        <w:t>payable upon exercise of the Option shall be subject to the provisions of Section 12.2 of the Plan relating to adjustments to corporate capitalization.</w:t>
      </w:r>
    </w:p>
    <w:p>
      <w:pPr>
        <w:spacing w:after="0" w:line="164" w:lineRule="exact"/>
        <w:rPr>
          <w:rFonts w:ascii="Arial" w:cs="Arial" w:eastAsia="Arial" w:hAnsi="Arial"/>
          <w:sz w:val="21"/>
          <w:szCs w:val="21"/>
          <w:b w:val="1"/>
          <w:bCs w:val="1"/>
          <w:color w:val="auto"/>
        </w:rPr>
      </w:pPr>
    </w:p>
    <w:p>
      <w:pPr>
        <w:ind w:left="1660" w:hanging="778"/>
        <w:spacing w:after="0"/>
        <w:tabs>
          <w:tab w:leader="none" w:pos="1660"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right="40" w:firstLine="882"/>
        <w:spacing w:after="0" w:line="260" w:lineRule="auto"/>
        <w:tabs>
          <w:tab w:leader="none" w:pos="172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The Optionee acknowledges that the Optionee is in possession of and has access to confidential information, including material relating to the business, products and/or services of the Company and that he or she will continue to have such possession and access during employment by the Company or Employer. The Optionee also acknowledges that the Company’s (or Employer’s) business, products and services are highly specialized and that it is essential that they be protected, and, accordingly, </w:t>
      </w:r>
      <w:r>
        <w:rPr>
          <w:rFonts w:ascii="Arial" w:cs="Arial" w:eastAsia="Arial" w:hAnsi="Arial"/>
          <w:sz w:val="19"/>
          <w:szCs w:val="19"/>
          <w:b w:val="1"/>
          <w:bCs w:val="1"/>
          <w:color w:val="auto"/>
        </w:rPr>
        <w:t>the</w:t>
      </w:r>
    </w:p>
    <w:p>
      <w:pPr>
        <w:spacing w:after="0" w:line="1" w:lineRule="exact"/>
        <w:rPr>
          <w:rFonts w:ascii="Arial" w:cs="Arial" w:eastAsia="Arial" w:hAnsi="Arial"/>
          <w:sz w:val="19"/>
          <w:szCs w:val="19"/>
          <w:color w:val="auto"/>
        </w:rPr>
      </w:pPr>
    </w:p>
    <w:p>
      <w:pPr>
        <w:jc w:val="both"/>
        <w:ind w:right="40"/>
        <w:spacing w:after="0" w:line="277" w:lineRule="auto"/>
        <w:rPr>
          <w:rFonts w:ascii="Arial" w:cs="Arial" w:eastAsia="Arial" w:hAnsi="Arial"/>
          <w:sz w:val="19"/>
          <w:szCs w:val="19"/>
          <w:color w:val="auto"/>
        </w:rPr>
      </w:pPr>
      <w:r>
        <w:rPr>
          <w:rFonts w:ascii="Arial" w:cs="Arial" w:eastAsia="Arial" w:hAnsi="Arial"/>
          <w:sz w:val="18"/>
          <w:szCs w:val="18"/>
          <w:b w:val="1"/>
          <w:bCs w:val="1"/>
          <w:color w:val="auto"/>
        </w:rPr>
        <w:t>Optionee agrees that as partial consideration for the Option granted herein that should the Optionee engage in any “Detrimental Activity,” as defined below, at any time during his or her employment or during a period of one year following his or her termination the Company or Employer shall be entitled to: (i) cancel any unexercised portion of the Option grant; (ii) recover from the Optionee the value of any portion of the Option grant that has been exercised; (iii) seek injunctive relief against the Optionee pursuant to the provision of subsection (c) below; (iv) recover all damages, court costs, and attorneys’ fees incurred by the Company or Employer in enforcing the provisions of this Option grant, and (v) set-off any such sums to which the Company or Employer is entitled hereunder against any sum which may be owed the Optionee by the Company or Employer.</w:t>
      </w:r>
    </w:p>
    <w:p>
      <w:pPr>
        <w:spacing w:after="0" w:line="144" w:lineRule="exact"/>
        <w:rPr>
          <w:rFonts w:ascii="Arial" w:cs="Arial" w:eastAsia="Arial" w:hAnsi="Arial"/>
          <w:sz w:val="19"/>
          <w:szCs w:val="19"/>
          <w:color w:val="auto"/>
        </w:rPr>
      </w:pPr>
    </w:p>
    <w:p>
      <w:pPr>
        <w:jc w:val="both"/>
        <w:ind w:right="40" w:firstLine="882"/>
        <w:spacing w:after="0" w:line="259" w:lineRule="auto"/>
        <w:tabs>
          <w:tab w:leader="none" w:pos="173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“Detrimental Activity” for the purposes hereof, other than with respect to involuntary termination without Cause, termination in connection with or as a result of a “Change of Control” (as defined in Section 8(j) hereof), or termination following a reduction in job responsibilities, shall include: (i) rendering of services for any person or organization, or engaging directly or indirectly in any business, which is or becomes competitive with the Company or Employer or any Subsidiary; (ii) disclosing to anyone outside the Company or any Subsidiary, or using in other than the Company’s or any Subsidiary’s business, without prior written authorization from the Company or Employer or any Subsidiary, any confidential information including material relating to the business, products or services of the Company or Employer or any Subsidiary acquired by the Optionee during employment with the Company or Employer or any Subsidiary; (iii) soliciting, interfering, inducing, or attempting to cause any employee of the Company or Employer or any Subsidiary to leave his or her employment, whether done on Optionee’s own account or on account of any person, organization or business which is or becomes competitive with the Company or Employer or any Subsidiary, or (iv) directly or indirectly soliciting the trade or business of any customer of the Company or Employer or any Subsidiary. “Detrimental Activity” for the purposes hereof with respect to involuntary termination without Cause, termination in connection with or as a result of a “Change of Control”, or termination following a reduction in job responsibilities, shall include only part (ii) of the preceding sentence.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53" w:name="page154"/>
    <w:bookmarkEnd w:id="153"/>
    <w:p>
      <w:pPr>
        <w:jc w:val="both"/>
        <w:ind w:right="40" w:firstLine="882"/>
        <w:spacing w:after="0" w:line="249" w:lineRule="auto"/>
        <w:tabs>
          <w:tab w:leader="none" w:pos="1728" w:val="left"/>
        </w:tabs>
        <w:numPr>
          <w:ilvl w:val="0"/>
          <w:numId w:val="223"/>
        </w:numPr>
        <w:rPr>
          <w:rFonts w:ascii="Arial" w:cs="Arial" w:eastAsia="Arial" w:hAnsi="Arial"/>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Employer for which it would have no other adequate remedy, the Optionee agrees that the foregoing covenants may be enforced by the Company or Employer in the event of breach by him/her by injunction relief and restraining order, without the necessity of posting a bond, and that such enforcement shall not be the Company's or Employer’s exclusive remedy for a breach but instead shall be in addition to all other rights and remedies available to the Company or Employer.</w:t>
      </w:r>
    </w:p>
    <w:p>
      <w:pPr>
        <w:spacing w:after="0" w:line="196" w:lineRule="exact"/>
        <w:rPr>
          <w:rFonts w:ascii="Arial" w:cs="Arial" w:eastAsia="Arial" w:hAnsi="Arial"/>
          <w:sz w:val="20"/>
          <w:szCs w:val="20"/>
          <w:color w:val="auto"/>
        </w:rPr>
      </w:pPr>
    </w:p>
    <w:p>
      <w:pPr>
        <w:jc w:val="both"/>
        <w:ind w:right="40" w:firstLine="882"/>
        <w:spacing w:after="0" w:line="237" w:lineRule="auto"/>
        <w:tabs>
          <w:tab w:leader="none" w:pos="1739"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covenants and the provisions of this Section 7 are severable and separate, and the unenforceability of any specific covenant or provision shall not affect the enforceability of any other covenant or provision. Moreover, in the event any arbitrator or court of competent jurisdiction shall determine that the scope or time set forth are unreasonable, then it is the intention of the parties that such restrictions be enforced to the fullest extent which the panel or court deems reasonable, and this Agreement shall thereby be reformed.</w:t>
      </w:r>
    </w:p>
    <w:p>
      <w:pPr>
        <w:spacing w:after="0" w:line="203" w:lineRule="exact"/>
        <w:rPr>
          <w:rFonts w:ascii="Arial" w:cs="Arial" w:eastAsia="Arial" w:hAnsi="Arial"/>
          <w:sz w:val="21"/>
          <w:szCs w:val="21"/>
          <w:color w:val="auto"/>
        </w:rPr>
      </w:pPr>
    </w:p>
    <w:p>
      <w:pPr>
        <w:jc w:val="both"/>
        <w:ind w:right="40" w:firstLine="882"/>
        <w:spacing w:after="0" w:line="238" w:lineRule="auto"/>
        <w:tabs>
          <w:tab w:leader="none" w:pos="1728" w:val="left"/>
        </w:tabs>
        <w:numPr>
          <w:ilvl w:val="0"/>
          <w:numId w:val="223"/>
        </w:numPr>
        <w:rPr>
          <w:rFonts w:ascii="Arial" w:cs="Arial" w:eastAsia="Arial" w:hAnsi="Arial"/>
          <w:sz w:val="21"/>
          <w:szCs w:val="21"/>
          <w:color w:val="auto"/>
        </w:rPr>
      </w:pPr>
      <w:r>
        <w:rPr>
          <w:rFonts w:ascii="Arial" w:cs="Arial" w:eastAsia="Arial" w:hAnsi="Arial"/>
          <w:sz w:val="21"/>
          <w:szCs w:val="21"/>
          <w:color w:val="auto"/>
        </w:rPr>
        <w:t>Each of the covenants in this Section 7 shall be construed as an agreement independent of any other provision in this Agreement, and the existence of any claim or cause of action of the Optionee against the Company or Employer, whether predicated on this Agreement or otherwise, shall not constitute a defense to the enforcement by the Company or Employer of such covenants or provisions.</w:t>
      </w:r>
    </w:p>
    <w:p>
      <w:pPr>
        <w:spacing w:after="0" w:line="173" w:lineRule="exact"/>
        <w:rPr>
          <w:sz w:val="20"/>
          <w:szCs w:val="20"/>
          <w:color w:val="auto"/>
        </w:rPr>
      </w:pPr>
    </w:p>
    <w:p>
      <w:pPr>
        <w:ind w:left="1660" w:hanging="778"/>
        <w:spacing w:after="0"/>
        <w:tabs>
          <w:tab w:leader="none" w:pos="1660" w:val="left"/>
        </w:tabs>
        <w:numPr>
          <w:ilvl w:val="0"/>
          <w:numId w:val="2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4" w:lineRule="exact"/>
        <w:rPr>
          <w:sz w:val="20"/>
          <w:szCs w:val="20"/>
          <w:color w:val="auto"/>
        </w:rPr>
      </w:pPr>
    </w:p>
    <w:p>
      <w:pPr>
        <w:jc w:val="both"/>
        <w:ind w:right="40" w:firstLine="882"/>
        <w:spacing w:after="0" w:line="248" w:lineRule="auto"/>
        <w:tabs>
          <w:tab w:leader="none" w:pos="1728" w:val="left"/>
        </w:tabs>
        <w:numPr>
          <w:ilvl w:val="0"/>
          <w:numId w:val="225"/>
        </w:numPr>
        <w:rPr>
          <w:rFonts w:ascii="Arial" w:cs="Arial" w:eastAsia="Arial" w:hAnsi="Arial"/>
          <w:sz w:val="20"/>
          <w:szCs w:val="20"/>
          <w:color w:val="auto"/>
        </w:rPr>
      </w:pPr>
      <w:r>
        <w:rPr>
          <w:rFonts w:ascii="Arial" w:cs="Arial" w:eastAsia="Arial" w:hAnsi="Arial"/>
          <w:sz w:val="20"/>
          <w:szCs w:val="20"/>
          <w:color w:val="auto"/>
        </w:rPr>
        <w:t>If the Optionee’s employment terminates at age 60 or older, for reasons other than “Cause” (</w:t>
      </w:r>
      <w:r>
        <w:rPr>
          <w:rFonts w:ascii="Arial" w:cs="Arial" w:eastAsia="Arial" w:hAnsi="Arial"/>
          <w:sz w:val="20"/>
          <w:szCs w:val="20"/>
          <w:i w:val="1"/>
          <w:iCs w:val="1"/>
          <w:color w:val="auto"/>
        </w:rPr>
        <w:t>as defined below</w:t>
      </w:r>
      <w:r>
        <w:rPr>
          <w:rFonts w:ascii="Arial" w:cs="Arial" w:eastAsia="Arial" w:hAnsi="Arial"/>
          <w:sz w:val="20"/>
          <w:szCs w:val="20"/>
          <w:color w:val="auto"/>
        </w:rPr>
        <w:t xml:space="preserve">), and the Optionee has at least ten years of continuous employment with either or both the Company or a Subsidiary, any unvested Options shall continue to vest and be payable according to the terms of the Agreement; </w:t>
      </w:r>
      <w:r>
        <w:rPr>
          <w:rFonts w:ascii="Arial" w:cs="Arial" w:eastAsia="Arial" w:hAnsi="Arial"/>
          <w:sz w:val="20"/>
          <w:szCs w:val="20"/>
          <w:u w:val="single" w:color="auto"/>
          <w:color w:val="auto"/>
        </w:rPr>
        <w:t>excep</w:t>
      </w:r>
      <w:r>
        <w:rPr>
          <w:rFonts w:ascii="Arial" w:cs="Arial" w:eastAsia="Arial" w:hAnsi="Arial"/>
          <w:sz w:val="20"/>
          <w:szCs w:val="20"/>
          <w:color w:val="auto"/>
        </w:rPr>
        <w:t>t that if such termination occurs within one year from grant date, the number of Options that will continue to vest shall be reduced to be proportionate to the ratio of the number of days between grant date and termination date and 365, with the balance of the Option immediately cancelled. The Optionee shall have the right to exercise the Option at any time within the lesser of: (i) the term of the option, or (ii) a three (3) year period commencing on the day next following such termination.</w:t>
      </w:r>
    </w:p>
    <w:p>
      <w:pPr>
        <w:spacing w:after="0" w:line="171" w:lineRule="exact"/>
        <w:rPr>
          <w:rFonts w:ascii="Arial" w:cs="Arial" w:eastAsia="Arial" w:hAnsi="Arial"/>
          <w:sz w:val="20"/>
          <w:szCs w:val="20"/>
          <w:color w:val="auto"/>
        </w:rPr>
      </w:pPr>
    </w:p>
    <w:p>
      <w:pPr>
        <w:jc w:val="both"/>
        <w:ind w:right="40" w:firstLine="882"/>
        <w:spacing w:after="0" w:line="237" w:lineRule="auto"/>
        <w:tabs>
          <w:tab w:leader="none" w:pos="1739" w:val="left"/>
        </w:tabs>
        <w:numPr>
          <w:ilvl w:val="0"/>
          <w:numId w:val="225"/>
        </w:numPr>
        <w:rPr>
          <w:rFonts w:ascii="Arial" w:cs="Arial" w:eastAsia="Arial" w:hAnsi="Arial"/>
          <w:sz w:val="21"/>
          <w:szCs w:val="21"/>
          <w:color w:val="auto"/>
        </w:rPr>
      </w:pPr>
      <w:r>
        <w:rPr>
          <w:rFonts w:ascii="Arial" w:cs="Arial" w:eastAsia="Arial" w:hAnsi="Arial"/>
          <w:sz w:val="21"/>
          <w:szCs w:val="21"/>
          <w:color w:val="auto"/>
        </w:rPr>
        <w:t>If the Optionee is an executive officer, categorized as a Tier 1 Executive Officer at the time of grant or at the time of termination, age 65 or older with at least ten years of continuous employment with either or both of the Company or a Subsidiary and the Optionee’s employment terminates for reason other than Cause, or death or “Long-term Disability” (</w:t>
      </w:r>
      <w:r>
        <w:rPr>
          <w:rFonts w:ascii="Arial" w:cs="Arial" w:eastAsia="Arial" w:hAnsi="Arial"/>
          <w:sz w:val="21"/>
          <w:szCs w:val="21"/>
          <w:i w:val="1"/>
          <w:iCs w:val="1"/>
          <w:color w:val="auto"/>
        </w:rPr>
        <w:t>as defined below</w:t>
      </w:r>
      <w:r>
        <w:rPr>
          <w:rFonts w:ascii="Arial" w:cs="Arial" w:eastAsia="Arial" w:hAnsi="Arial"/>
          <w:sz w:val="21"/>
          <w:szCs w:val="21"/>
          <w:color w:val="auto"/>
        </w:rPr>
        <w:t>), any unvested Options shall continue to vest according to the terms of the Agreement and Optionee shall have the right to exercise the Options for the full term of this Agreement.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32" w:right="199" w:bottom="1440" w:gutter="0" w:footer="0" w:header="0"/>
        </w:sectPr>
      </w:pPr>
    </w:p>
    <w:bookmarkStart w:id="154" w:name="page155"/>
    <w:bookmarkEnd w:id="154"/>
    <w:p>
      <w:pPr>
        <w:jc w:val="both"/>
        <w:ind w:right="40" w:firstLine="882"/>
        <w:spacing w:after="0" w:line="237" w:lineRule="auto"/>
        <w:tabs>
          <w:tab w:leader="none" w:pos="1728" w:val="left"/>
        </w:tabs>
        <w:numPr>
          <w:ilvl w:val="1"/>
          <w:numId w:val="226"/>
        </w:numPr>
        <w:rPr>
          <w:rFonts w:ascii="Arial" w:cs="Arial" w:eastAsia="Arial" w:hAnsi="Arial"/>
          <w:sz w:val="21"/>
          <w:szCs w:val="21"/>
          <w:color w:val="auto"/>
        </w:rPr>
      </w:pPr>
      <w:r>
        <w:rPr>
          <w:rFonts w:ascii="Arial" w:cs="Arial" w:eastAsia="Arial" w:hAnsi="Arial"/>
          <w:sz w:val="21"/>
          <w:szCs w:val="21"/>
          <w:color w:val="auto"/>
        </w:rPr>
        <w:t>If the Optionee’s employment terminates by reason of death or “Long-term Disability”, of the Optionee, the Option shall vest in full, as of the date of death or the date of such termination and be exercisable pursuant to the terms of Section 4, and the Optionee or his/her personal representatives, heirs, legatees or distributees shall have the right to exercise the Option granted hereunder at any time within the lesser of: (1) the term of the Option or, (ii) a three (3) year period commencing on the date next following the date of such termination.</w:t>
      </w:r>
    </w:p>
    <w:p>
      <w:pPr>
        <w:spacing w:after="0" w:line="177" w:lineRule="exact"/>
        <w:rPr>
          <w:rFonts w:ascii="Arial" w:cs="Arial" w:eastAsia="Arial" w:hAnsi="Arial"/>
          <w:sz w:val="21"/>
          <w:szCs w:val="21"/>
          <w:color w:val="auto"/>
        </w:rPr>
      </w:pPr>
    </w:p>
    <w:p>
      <w:pPr>
        <w:jc w:val="both"/>
        <w:ind w:right="40" w:firstLine="882"/>
        <w:spacing w:after="0" w:line="265" w:lineRule="auto"/>
        <w:tabs>
          <w:tab w:leader="none" w:pos="1739" w:val="left"/>
        </w:tabs>
        <w:numPr>
          <w:ilvl w:val="1"/>
          <w:numId w:val="226"/>
        </w:numPr>
        <w:rPr>
          <w:rFonts w:ascii="Arial" w:cs="Arial" w:eastAsia="Arial" w:hAnsi="Arial"/>
          <w:sz w:val="19"/>
          <w:szCs w:val="19"/>
          <w:color w:val="auto"/>
        </w:rPr>
      </w:pPr>
      <w:r>
        <w:rPr>
          <w:rFonts w:ascii="Arial" w:cs="Arial" w:eastAsia="Arial" w:hAnsi="Arial"/>
          <w:sz w:val="19"/>
          <w:szCs w:val="19"/>
          <w:color w:val="auto"/>
        </w:rPr>
        <w:t xml:space="preserve">If the Optionee’s employment terminates by reason of a workforce reduction, the Options shall continue to vest and be exercisable according to their terms;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that, unless the Optionee is an executive officer categorized as a Tier 1 Executive Officer at the time of grant or the time of termination, age 65 or older and has at least ten years of continuous employment with either or both of the Company or a Subsidiary at the time of termination, if such termination occurs within one year from the grant date, the number of Options that will vest in full shall be reduced to be proportionate to the ratio of the number of days between the grant date and the date of termination and 365, with the balance of the Option immediately cancelled.</w:t>
      </w:r>
    </w:p>
    <w:p>
      <w:pPr>
        <w:spacing w:after="0" w:line="154" w:lineRule="exact"/>
        <w:rPr>
          <w:rFonts w:ascii="Arial" w:cs="Arial" w:eastAsia="Arial" w:hAnsi="Arial"/>
          <w:sz w:val="19"/>
          <w:szCs w:val="19"/>
          <w:color w:val="auto"/>
        </w:rPr>
      </w:pPr>
    </w:p>
    <w:p>
      <w:pPr>
        <w:jc w:val="both"/>
        <w:ind w:right="40" w:firstLine="882"/>
        <w:spacing w:after="0" w:line="254" w:lineRule="auto"/>
        <w:tabs>
          <w:tab w:leader="none" w:pos="1728" w:val="left"/>
        </w:tabs>
        <w:numPr>
          <w:ilvl w:val="1"/>
          <w:numId w:val="226"/>
        </w:numPr>
        <w:rPr>
          <w:rFonts w:ascii="Arial" w:cs="Arial" w:eastAsia="Arial" w:hAnsi="Arial"/>
          <w:sz w:val="20"/>
          <w:szCs w:val="20"/>
          <w:color w:val="auto"/>
        </w:rPr>
      </w:pPr>
      <w:r>
        <w:rPr>
          <w:rFonts w:ascii="Arial" w:cs="Arial" w:eastAsia="Arial" w:hAnsi="Arial"/>
          <w:sz w:val="20"/>
          <w:szCs w:val="20"/>
          <w:color w:val="auto"/>
        </w:rPr>
        <w:t>If the Optionee’s employment terminates other than as provided for in Sections (a), (b), (c) or (d) above, no additional Options shall vest for the benefit of the Optionee after the termination date, and the Options shall be exercisable by the Optionee, with respect to those Shares which had already vested only, within a three (3) month period after such termination or the term of the Options, whichever is less, but only to the extent exercisable immediately prior to the date of termination.</w:t>
      </w:r>
    </w:p>
    <w:p>
      <w:pPr>
        <w:spacing w:after="0" w:line="163" w:lineRule="exact"/>
        <w:rPr>
          <w:rFonts w:ascii="Arial" w:cs="Arial" w:eastAsia="Arial" w:hAnsi="Arial"/>
          <w:sz w:val="20"/>
          <w:szCs w:val="20"/>
          <w:color w:val="auto"/>
        </w:rPr>
      </w:pPr>
    </w:p>
    <w:p>
      <w:pPr>
        <w:ind w:right="40" w:firstLine="882"/>
        <w:spacing w:after="0" w:line="253" w:lineRule="auto"/>
        <w:tabs>
          <w:tab w:leader="none" w:pos="1705" w:val="left"/>
        </w:tabs>
        <w:numPr>
          <w:ilvl w:val="1"/>
          <w:numId w:val="226"/>
        </w:numPr>
        <w:rPr>
          <w:rFonts w:ascii="Arial" w:cs="Arial" w:eastAsia="Arial" w:hAnsi="Arial"/>
          <w:sz w:val="21"/>
          <w:szCs w:val="21"/>
          <w:color w:val="auto"/>
        </w:rPr>
      </w:pPr>
      <w:r>
        <w:rPr>
          <w:rFonts w:ascii="Arial" w:cs="Arial" w:eastAsia="Arial" w:hAnsi="Arial"/>
          <w:sz w:val="21"/>
          <w:szCs w:val="21"/>
          <w:color w:val="auto"/>
        </w:rPr>
        <w:t>If the Optionee’s employment is terminated for Cause, the Options shall terminate and no longer be exercisable for either the vested or the unvested Options.</w:t>
      </w:r>
    </w:p>
    <w:p>
      <w:pPr>
        <w:spacing w:after="0" w:line="162" w:lineRule="exact"/>
        <w:rPr>
          <w:rFonts w:ascii="Arial" w:cs="Arial" w:eastAsia="Arial" w:hAnsi="Arial"/>
          <w:sz w:val="21"/>
          <w:szCs w:val="21"/>
          <w:color w:val="auto"/>
        </w:rPr>
      </w:pPr>
    </w:p>
    <w:p>
      <w:pPr>
        <w:jc w:val="both"/>
        <w:ind w:right="40" w:firstLine="882"/>
        <w:spacing w:after="0" w:line="236" w:lineRule="auto"/>
        <w:tabs>
          <w:tab w:leader="none" w:pos="1739" w:val="left"/>
        </w:tabs>
        <w:numPr>
          <w:ilvl w:val="1"/>
          <w:numId w:val="226"/>
        </w:numPr>
        <w:rPr>
          <w:rFonts w:ascii="Arial" w:cs="Arial" w:eastAsia="Arial" w:hAnsi="Arial"/>
          <w:sz w:val="21"/>
          <w:szCs w:val="21"/>
          <w:color w:val="auto"/>
        </w:rPr>
      </w:pPr>
      <w:r>
        <w:rPr>
          <w:rFonts w:ascii="Arial" w:cs="Arial" w:eastAsia="Arial" w:hAnsi="Arial"/>
          <w:sz w:val="21"/>
          <w:szCs w:val="21"/>
          <w:color w:val="auto"/>
        </w:rPr>
        <w:t>Any other agreement between the Optionee and the Company notwithstanding, if there is a termination in connection with a “Change in Control” (</w:t>
      </w:r>
      <w:r>
        <w:rPr>
          <w:rFonts w:ascii="Arial" w:cs="Arial" w:eastAsia="Arial" w:hAnsi="Arial"/>
          <w:sz w:val="21"/>
          <w:szCs w:val="21"/>
          <w:i w:val="1"/>
          <w:iCs w:val="1"/>
          <w:color w:val="auto"/>
        </w:rPr>
        <w:t>as defined below</w:t>
      </w:r>
      <w:r>
        <w:rPr>
          <w:rFonts w:ascii="Arial" w:cs="Arial" w:eastAsia="Arial" w:hAnsi="Arial"/>
          <w:sz w:val="21"/>
          <w:szCs w:val="21"/>
          <w:color w:val="auto"/>
        </w:rPr>
        <w:t>), the Options shall immediately vest and be exercisable in full pursuant to the terms of Section 5. For the purposes of this Award Agreement, a termination in connection with a Change in Control shall mean a Change in Control shall have occurred and there has occurred a termination of the Optionee’s employment with the Company or a Subsidiary either by the Company or a Subsidiary without Cause, or by the Optionee for “Good Reason” (</w:t>
      </w:r>
      <w:r>
        <w:rPr>
          <w:rFonts w:ascii="Arial" w:cs="Arial" w:eastAsia="Arial" w:hAnsi="Arial"/>
          <w:sz w:val="21"/>
          <w:szCs w:val="21"/>
          <w:i w:val="1"/>
          <w:iCs w:val="1"/>
          <w:color w:val="auto"/>
        </w:rPr>
        <w:t>as defined below</w:t>
      </w:r>
      <w:r>
        <w:rPr>
          <w:rFonts w:ascii="Arial" w:cs="Arial" w:eastAsia="Arial" w:hAnsi="Arial"/>
          <w:sz w:val="21"/>
          <w:szCs w:val="21"/>
          <w:color w:val="auto"/>
        </w:rPr>
        <w:t>) during the “Effective Period” (</w:t>
      </w:r>
      <w:r>
        <w:rPr>
          <w:rFonts w:ascii="Arial" w:cs="Arial" w:eastAsia="Arial" w:hAnsi="Arial"/>
          <w:sz w:val="21"/>
          <w:szCs w:val="21"/>
          <w:i w:val="1"/>
          <w:iCs w:val="1"/>
          <w:color w:val="auto"/>
        </w:rPr>
        <w:t>as defined below</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right="40" w:firstLine="882"/>
        <w:spacing w:after="0" w:line="274" w:lineRule="auto"/>
        <w:tabs>
          <w:tab w:leader="none" w:pos="173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“Cause” for the purposes hereof, shall mean the Optionee has (1) engaged in gross negligence or willful misconduct in the performance of his or her duties and responsibilities respecting his or her position with the Company or a Subsidiary; (2) willfully refused, without proper legal reason, to perform the duties and responsibilities respecting his or her position with the Company or a Subsidiary; (3) breached any material policy or code of conduct established by the Company or a Subsidiary and affecting the Optionee;</w:t>
      </w:r>
    </w:p>
    <w:p>
      <w:pPr>
        <w:spacing w:after="0" w:line="3" w:lineRule="exact"/>
        <w:rPr>
          <w:rFonts w:ascii="Arial" w:cs="Arial" w:eastAsia="Arial" w:hAnsi="Arial"/>
          <w:sz w:val="18"/>
          <w:szCs w:val="18"/>
          <w:color w:val="auto"/>
        </w:rPr>
      </w:pPr>
    </w:p>
    <w:p>
      <w:pPr>
        <w:jc w:val="both"/>
        <w:ind w:right="40" w:firstLine="3"/>
        <w:spacing w:after="0" w:line="235" w:lineRule="auto"/>
        <w:tabs>
          <w:tab w:leader="none" w:pos="293" w:val="left"/>
        </w:tabs>
        <w:numPr>
          <w:ilvl w:val="0"/>
          <w:numId w:val="227"/>
        </w:numPr>
        <w:rPr>
          <w:rFonts w:ascii="Arial" w:cs="Arial" w:eastAsia="Arial" w:hAnsi="Arial"/>
          <w:sz w:val="21"/>
          <w:szCs w:val="21"/>
          <w:color w:val="auto"/>
        </w:rPr>
      </w:pPr>
      <w:r>
        <w:rPr>
          <w:rFonts w:ascii="Arial" w:cs="Arial" w:eastAsia="Arial" w:hAnsi="Arial"/>
          <w:sz w:val="21"/>
          <w:szCs w:val="21"/>
          <w:color w:val="auto"/>
        </w:rPr>
        <w:t>engaged in conduct that Optionee knows or should know is materially injurious to the Company or a Subsidiary; (5) been convicted of a felony or a misdemeanor involving moral turpitude; or (6) engaged in an act of dishonest or impropriety which materially impairs the Optionee’s effectiveness in his or her position with the Company or a Subsidiary.</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55" w:name="page156"/>
    <w:bookmarkEnd w:id="155"/>
    <w:p>
      <w:pPr>
        <w:jc w:val="both"/>
        <w:ind w:right="40" w:firstLine="882"/>
        <w:spacing w:after="0" w:line="242" w:lineRule="auto"/>
        <w:tabs>
          <w:tab w:leader="none" w:pos="1693" w:val="left"/>
        </w:tabs>
        <w:numPr>
          <w:ilvl w:val="0"/>
          <w:numId w:val="228"/>
        </w:numPr>
        <w:rPr>
          <w:rFonts w:ascii="Arial" w:cs="Arial" w:eastAsia="Arial" w:hAnsi="Arial"/>
          <w:sz w:val="21"/>
          <w:szCs w:val="21"/>
          <w:color w:val="auto"/>
        </w:rPr>
      </w:pPr>
      <w:r>
        <w:rPr>
          <w:rFonts w:ascii="Arial" w:cs="Arial" w:eastAsia="Arial" w:hAnsi="Arial"/>
          <w:sz w:val="21"/>
          <w:szCs w:val="21"/>
          <w:color w:val="auto"/>
        </w:rPr>
        <w:t>“Long-term Disability” for the purposes hereof, shall mean that the Optionee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73" w:lineRule="exact"/>
        <w:rPr>
          <w:rFonts w:ascii="Arial" w:cs="Arial" w:eastAsia="Arial" w:hAnsi="Arial"/>
          <w:sz w:val="21"/>
          <w:szCs w:val="21"/>
          <w:color w:val="auto"/>
        </w:rPr>
      </w:pPr>
    </w:p>
    <w:p>
      <w:pPr>
        <w:ind w:left="1700" w:hanging="818"/>
        <w:spacing w:after="0"/>
        <w:tabs>
          <w:tab w:leader="none" w:pos="170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“Change in Control” for the purposes of this Agreement, shall mean the earliest date on which:</w:t>
      </w:r>
    </w:p>
    <w:p>
      <w:pPr>
        <w:spacing w:after="0" w:line="197" w:lineRule="exact"/>
        <w:rPr>
          <w:rFonts w:ascii="Arial" w:cs="Arial" w:eastAsia="Arial" w:hAnsi="Arial"/>
          <w:sz w:val="21"/>
          <w:szCs w:val="21"/>
          <w:color w:val="auto"/>
        </w:rPr>
      </w:pPr>
    </w:p>
    <w:p>
      <w:pPr>
        <w:jc w:val="both"/>
        <w:ind w:left="1740" w:right="40" w:hanging="535"/>
        <w:spacing w:after="0" w:line="238" w:lineRule="auto"/>
        <w:tabs>
          <w:tab w:leader="none" w:pos="174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179" w:lineRule="exact"/>
        <w:rPr>
          <w:rFonts w:ascii="Arial" w:cs="Arial" w:eastAsia="Arial" w:hAnsi="Arial"/>
          <w:sz w:val="21"/>
          <w:szCs w:val="21"/>
          <w:color w:val="auto"/>
        </w:rPr>
      </w:pPr>
    </w:p>
    <w:p>
      <w:pPr>
        <w:jc w:val="both"/>
        <w:ind w:left="1740" w:right="40" w:hanging="535"/>
        <w:spacing w:after="0" w:line="237" w:lineRule="auto"/>
        <w:tabs>
          <w:tab w:leader="none" w:pos="174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77" w:lineRule="exact"/>
        <w:rPr>
          <w:rFonts w:ascii="Arial" w:cs="Arial" w:eastAsia="Arial" w:hAnsi="Arial"/>
          <w:sz w:val="21"/>
          <w:szCs w:val="21"/>
          <w:color w:val="auto"/>
        </w:rPr>
      </w:pPr>
    </w:p>
    <w:p>
      <w:pPr>
        <w:jc w:val="both"/>
        <w:ind w:left="1740" w:right="40" w:hanging="535"/>
        <w:spacing w:after="0" w:line="261" w:lineRule="auto"/>
        <w:tabs>
          <w:tab w:leader="none" w:pos="1740"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at least 50%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 or</w:t>
      </w:r>
    </w:p>
    <w:p>
      <w:pPr>
        <w:spacing w:after="0" w:line="156" w:lineRule="exact"/>
        <w:rPr>
          <w:rFonts w:ascii="Arial" w:cs="Arial" w:eastAsia="Arial" w:hAnsi="Arial"/>
          <w:sz w:val="19"/>
          <w:szCs w:val="19"/>
          <w:color w:val="auto"/>
        </w:rPr>
      </w:pPr>
    </w:p>
    <w:p>
      <w:pPr>
        <w:jc w:val="both"/>
        <w:ind w:left="1740" w:right="40" w:hanging="535"/>
        <w:spacing w:after="0" w:line="238" w:lineRule="auto"/>
        <w:tabs>
          <w:tab w:leader="none" w:pos="174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right="40"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Optionee, or a group of Persons which includes the Optionee, acquiring 20% or more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56" w:name="page157"/>
    <w:bookmarkEnd w:id="156"/>
    <w:p>
      <w:pPr>
        <w:jc w:val="both"/>
        <w:ind w:right="40" w:firstLine="882"/>
        <w:spacing w:after="0" w:line="259" w:lineRule="auto"/>
        <w:tabs>
          <w:tab w:leader="none" w:pos="173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“Effective Period” shall mean for the purposes of this Award Agreement the period from (A) the earliest date to occur of any of the following: (1) any of the events set forth under the definition of Change in Control shall have occurred, (2) the receipt by the Company of a Schedule 13D stating the intention of any person to take actions which if accomplished, would constitute a Change in Control; (3) the public announcement by any person of its intention to take any such action, in each case without regard for any contingency or condition which has not been satisfied on such date; (4) the agreement by the Company to enter into a transaction which, if consummated, would result in a Change in Control; or (5) consideration by the Board of a transaction which, if consummated, would result in a Change in Control and continues until (B) the Scheduled Vesting Date, provided that the Change in Control is consummated prior to the last scheduled vesting date. If, however, an Effective Period occurs but the proposed transaction to which it relates ceases to be actively considered or pending, the Effective Period will be deemed not to have commenced for purposes of this Agreement. If, however, an Effective Period occurs with respect to a proposed transaction which ceased to be actively considered but for which active consideration is revived, the Effective Period with respect to the Change in Control that ultimately occurs shall begin on the date upon which consideration was revived and continue until the Scheduled Vesting Date, provided that the consummation of the Change in Control occurs during the term of the Option.</w:t>
      </w:r>
    </w:p>
    <w:p>
      <w:pPr>
        <w:spacing w:after="0" w:line="164" w:lineRule="exact"/>
        <w:rPr>
          <w:rFonts w:ascii="Arial" w:cs="Arial" w:eastAsia="Arial" w:hAnsi="Arial"/>
          <w:sz w:val="19"/>
          <w:szCs w:val="19"/>
          <w:color w:val="auto"/>
        </w:rPr>
      </w:pPr>
    </w:p>
    <w:p>
      <w:pPr>
        <w:jc w:val="both"/>
        <w:ind w:right="40" w:firstLine="882"/>
        <w:spacing w:after="0" w:line="258" w:lineRule="auto"/>
        <w:tabs>
          <w:tab w:leader="none" w:pos="169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“Good Reason” for the purposes of the Award Agreement shall mean the occurrence of any of the following without the Optionee’s express written consent: (1) a material change in the Optionee’s status, title(s) or positions(s) with the Company, including as an officer of the Company, as in effect immediately prior to the Effective Period which in the Optionee’s reasonable judgment, does not represent a promotion, with commensurate adjustment of compensation, from the Optionee’s status, title(s) and positions(s) immediately prior to the Effective Period; or the assignment to the Optionee of any duties or responsibilities which, in the Optionee’s reasonable judgment, are materially inconsistent with such status, title(s) or positions(s); or any removal of the Optionee from or any failure to reappoint or reelect the Optionee to such position(s); provided that the circumstances described in this item (1) do not apply if as a result of the Optionee’s Death, voluntary termination of employment after age 60 with 10 years of service, Long-Term Disability or following receipt by the Optionee of written notice from the Company of the termination of the Optionee’s employment for Cause; (2) a reduction by the Company during the Effective Period in the Optionee’s then current base salary; (3) the failure by the Company to continue in effect any material Plan in which the Optionee was participating immediately prior to the Effective Period other than as a result of the normal expiration or amendment of any such Plan in accordance with its terms; or the taking of any action, or the failure to act, by the Company which would materially adversely affect the Optionee’s continued participation in any such Plan on at least as favorable a basis to the Optionee’s participation as in effect immediately prior to the Effective Period or which would materially reduce the Optionee’s benefits under any such Plan or deprive the Optionee of any material benefit enjoyed by Optionee immediately prior to the Effective Period; or (4) the relocation of the principal place of Optionee’s employment to a location 25 miles further from the Optionee’s principal residence. To qualify as Good Reason, an Optionee must (i) give written notice of an event constituting Good Reason within 90 days of its initial occurrence, (ii) give the Company 30 days in which to cure such condition, and (iii) actually terminate employment within two years following the initial occurrence of the Good Reason condition and prior to the Scheduled Vesting Date.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32" w:right="199" w:bottom="1440" w:gutter="0" w:footer="0" w:header="0"/>
        </w:sectPr>
      </w:pPr>
    </w:p>
    <w:bookmarkStart w:id="157" w:name="page158"/>
    <w:bookmarkEnd w:id="157"/>
    <w:p>
      <w:pPr>
        <w:ind w:right="40" w:firstLine="882"/>
        <w:spacing w:after="0" w:line="259" w:lineRule="auto"/>
        <w:tabs>
          <w:tab w:leader="none" w:pos="1653" w:val="left"/>
        </w:tabs>
        <w:numPr>
          <w:ilvl w:val="0"/>
          <w:numId w:val="2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150" w:lineRule="exact"/>
        <w:rPr>
          <w:rFonts w:ascii="Arial" w:cs="Arial" w:eastAsia="Arial" w:hAnsi="Arial"/>
          <w:sz w:val="21"/>
          <w:szCs w:val="21"/>
          <w:b w:val="1"/>
          <w:bCs w:val="1"/>
          <w:color w:val="auto"/>
        </w:rPr>
      </w:pPr>
    </w:p>
    <w:p>
      <w:pPr>
        <w:jc w:val="both"/>
        <w:ind w:right="40" w:firstLine="882"/>
        <w:spacing w:after="0" w:line="245" w:lineRule="auto"/>
        <w:tabs>
          <w:tab w:leader="none" w:pos="1757" w:val="left"/>
        </w:tabs>
        <w:numPr>
          <w:ilvl w:val="0"/>
          <w:numId w:val="2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0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40" w:hanging="858"/>
        <w:spacing w:after="0"/>
        <w:tabs>
          <w:tab w:leader="none" w:pos="1740" w:val="left"/>
        </w:tabs>
        <w:numPr>
          <w:ilvl w:val="1"/>
          <w:numId w:val="2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right="40" w:firstLine="882"/>
        <w:spacing w:after="0" w:line="276" w:lineRule="auto"/>
        <w:tabs>
          <w:tab w:leader="none" w:pos="1757"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Paragraph 9 hereof, this Agreement shall inure to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w:t>
      </w:r>
    </w:p>
    <w:p>
      <w:pPr>
        <w:spacing w:after="0" w:line="2" w:lineRule="exact"/>
        <w:rPr>
          <w:rFonts w:ascii="Arial" w:cs="Arial" w:eastAsia="Arial" w:hAnsi="Arial"/>
          <w:sz w:val="18"/>
          <w:szCs w:val="18"/>
          <w:b w:val="1"/>
          <w:bCs w:val="1"/>
          <w:color w:val="auto"/>
        </w:rPr>
      </w:pPr>
    </w:p>
    <w:p>
      <w:pPr>
        <w:jc w:val="both"/>
        <w:ind w:right="40" w:firstLine="3"/>
        <w:spacing w:after="0" w:line="246" w:lineRule="auto"/>
        <w:tabs>
          <w:tab w:leader="none" w:pos="26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by will or the laws of descent and distribution; or (ii) pursuant to the qualified domestic relations order (as defined by the Internal Revenue Code); or (iii) with respect to grants of nonqualified stock options, by transfer by an Optionee to a member of the Optionee’s Immediate Family, or to a partnership or limited liability company whose only partners or shareholders are the Optionee and members of his Immediate Family. However, any grant transferred shall continue to be subject to all terms and conditions contained in the Agreement. “Immediate Family” means the spouse, children or grandchildren of the Optionee.</w:t>
      </w:r>
    </w:p>
    <w:p>
      <w:pPr>
        <w:spacing w:after="0" w:line="166" w:lineRule="exact"/>
        <w:rPr>
          <w:rFonts w:ascii="Arial" w:cs="Arial" w:eastAsia="Arial" w:hAnsi="Arial"/>
          <w:sz w:val="20"/>
          <w:szCs w:val="20"/>
          <w:color w:val="auto"/>
        </w:rPr>
      </w:pPr>
    </w:p>
    <w:p>
      <w:pPr>
        <w:ind w:left="1760" w:hanging="878"/>
        <w:spacing w:after="0"/>
        <w:tabs>
          <w:tab w:leader="none" w:pos="1760" w:val="left"/>
        </w:tabs>
        <w:numPr>
          <w:ilvl w:val="1"/>
          <w:numId w:val="23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right="40" w:firstLine="882"/>
        <w:spacing w:after="0" w:line="247" w:lineRule="auto"/>
        <w:tabs>
          <w:tab w:leader="none" w:pos="172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Regardless of any action the Company or Optionee’s employer (the “Employer”) takes with respect to any or all income tax (including foreign, federal, state and local tax), social insurance, payroll tax, payment on account or other tax-related items related to Optionee’s participation in the Plan and legally applicable to Optionee (“Tax-Related Items”), Optionee acknowledges that the ultimate liability for all Tax-Related Items legally due by Optionee is and remains Optionee’s responsibility and may exceed the amount actually withheld by the Company and/or the Employer. Optionee further acknowledges that the Company and/or the Employer (i) make no representations or undertakings regarding the treatment of any Tax-Related Items in connection with any aspect of the Option, including but not limited to, the grant, vesting, exercise of the Option, the issuance of Shares upon exercise, the subsequent sale of Shares acquired pursuant to the exercise of the Option and the receipt of any dividends; and (ii) do not commit to and are under no obligation to structure the terms of the grant or any aspect of the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26" w:right="199" w:bottom="1440" w:gutter="0" w:footer="0" w:header="0"/>
        </w:sectPr>
      </w:pPr>
    </w:p>
    <w:bookmarkStart w:id="158" w:name="page159"/>
    <w:bookmarkEnd w:id="158"/>
    <w:p>
      <w:pPr>
        <w:jc w:val="both"/>
        <w:ind w:right="40"/>
        <w:spacing w:after="0" w:line="260" w:lineRule="auto"/>
        <w:rPr>
          <w:sz w:val="20"/>
          <w:szCs w:val="20"/>
          <w:color w:val="auto"/>
        </w:rPr>
      </w:pPr>
      <w:r>
        <w:rPr>
          <w:rFonts w:ascii="Arial" w:cs="Arial" w:eastAsia="Arial" w:hAnsi="Arial"/>
          <w:sz w:val="20"/>
          <w:szCs w:val="20"/>
          <w:color w:val="auto"/>
        </w:rPr>
        <w:t>Option to reduce or eliminate Optionee’s liability for Tax-Related Items or achieve any particular tax result. Further, if Optionee has become subject to tax in more than one jurisdiction, Optionee acknowledges that the Company and/or the Employer (or former employer, as applicable) may be required to withhold or account for Tax-Related Items in more than one jurisdiction.</w:t>
      </w:r>
    </w:p>
    <w:p>
      <w:pPr>
        <w:spacing w:after="0" w:line="157" w:lineRule="exact"/>
        <w:rPr>
          <w:sz w:val="20"/>
          <w:szCs w:val="20"/>
          <w:color w:val="auto"/>
        </w:rPr>
      </w:pPr>
    </w:p>
    <w:p>
      <w:pPr>
        <w:jc w:val="both"/>
        <w:ind w:right="40" w:firstLine="882"/>
        <w:spacing w:after="0" w:line="261" w:lineRule="auto"/>
        <w:tabs>
          <w:tab w:leader="none" w:pos="173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(“Tax Date”), as applicable, Optionee will pay or make adequate arrangements satisfactory to the Company and/or the Employer to satisfy all Tax-Related Items. In this regard, Optionee authorizes the Company and/or the Employer or their respective agents, at their discretion, to satisfy the obligations with regard to all Tax-Related Items by one or a combination of the following: (i) accept a cash payment in U.S. Dollars in the amount of Tax-Related Items, (ii) withhold whole Shares which would otherwise be delivered to Optionee having an aggregate Fair Market Value, determined as of the Tax Date, or withhold an amount of cash from Optionee’s wages or other cash compensation which would otherwise be payable to Optionee by the Company and/or the Employer, equal to the amount necessary to satisfy any such obligations, (iii) withhold from proceeds of the sale of Shares acquired upon exercise of the Option either through a voluntary sale or through a mandatory sale arranged by the Company (on Optionee’s behalf pursuant to this authorization), or (iv) a cash payment to the Company by a broker-dealer acceptable to the Company to whom Optionee have submitted an irrevocable notice of exercise.</w:t>
      </w:r>
    </w:p>
    <w:p>
      <w:pPr>
        <w:spacing w:after="0" w:line="156" w:lineRule="exact"/>
        <w:rPr>
          <w:rFonts w:ascii="Arial" w:cs="Arial" w:eastAsia="Arial" w:hAnsi="Arial"/>
          <w:sz w:val="19"/>
          <w:szCs w:val="19"/>
          <w:color w:val="auto"/>
        </w:rPr>
      </w:pPr>
    </w:p>
    <w:p>
      <w:pPr>
        <w:jc w:val="both"/>
        <w:ind w:right="40" w:firstLine="882"/>
        <w:spacing w:after="0" w:line="246" w:lineRule="auto"/>
        <w:tabs>
          <w:tab w:leader="none" w:pos="1728"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To avoid negative accounting treatment, the Company may withhold or account for Tax-Related Items by considering applicable minimum statutory withholding rates. If the obligation for Tax-Related Items is satisfied by withholding in Shares, for tax purposes, Optionee are deemed to have been issued the full number of Shares subject to the Option, notwithstanding that a number of Shares are held back solely for the purpose of paying the Tax-Related Items. Finally, Optionee shall pay to the Company or the Employer any amount of Tax-Related Items that the Company or the Employer may be required to withhold as a result of Optionee’s participation in the Plan that cannot be satisfied by the means previously described. The Company shall have sole discretion to deliver the Shares if Optionee fails to comply with his or her obligations in connection with the Tax-Related Items as described in this section and Optionee unconditionally consents to and approves any such action taken by the Company. Optionee (or any beneficiary or person entitled to act on Optionee’s behalf) shall provide the Company with any forms, documents or other information reasonably required by the Company.</w:t>
      </w:r>
    </w:p>
    <w:p>
      <w:pPr>
        <w:spacing w:after="0" w:line="169" w:lineRule="exact"/>
        <w:rPr>
          <w:sz w:val="20"/>
          <w:szCs w:val="20"/>
          <w:color w:val="auto"/>
        </w:rPr>
      </w:pPr>
    </w:p>
    <w:p>
      <w:pPr>
        <w:jc w:val="both"/>
        <w:ind w:right="40" w:firstLine="882"/>
        <w:spacing w:after="0" w:line="247" w:lineRule="auto"/>
        <w:tabs>
          <w:tab w:leader="none" w:pos="1757" w:val="left"/>
        </w:tabs>
        <w:numPr>
          <w:ilvl w:val="0"/>
          <w:numId w:val="2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Repatriation; Compliance with Laws</w:t>
      </w:r>
      <w:r>
        <w:rPr>
          <w:rFonts w:ascii="Arial" w:cs="Arial" w:eastAsia="Arial" w:hAnsi="Arial"/>
          <w:sz w:val="20"/>
          <w:szCs w:val="20"/>
          <w:b w:val="1"/>
          <w:bCs w:val="1"/>
          <w:color w:val="auto"/>
        </w:rPr>
        <w:t xml:space="preserve">. </w:t>
      </w:r>
      <w:r>
        <w:rPr>
          <w:rFonts w:ascii="Arial" w:cs="Arial" w:eastAsia="Arial" w:hAnsi="Arial"/>
          <w:sz w:val="20"/>
          <w:szCs w:val="20"/>
          <w:color w:val="auto"/>
        </w:rPr>
        <w:t>If the Optionee is resident or employed outside of the United States,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repatriate all payments attributable to the Shares and/or cash acquired under the Plan (including, but not limited to, dividends and any proceeds derived from the sale of the Shares acquired pursuant to the Option) in accordance with local foreign exchange rules and regulations in the Optionee’s country of residence (and country of employment, if different). It is the Optionee’s responsibility to comply with all foreign exchange rules and all other local compliance requirements that he or she may be subject to with respect to his or her participation in the Plan. In addition, the Optionee is required to take any and all actions, and consent to any and all actions taken by the Company and its Subsidiaries, as may be necessary to allow the Company and its Subsidiaries to comply with local laws, rules and regulations in the Optionee’s country of residence (and country of employment, if different). The Optionee is also required to take any and all actions as may be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59" w:name="page160"/>
    <w:bookmarkEnd w:id="159"/>
    <w:p>
      <w:pPr>
        <w:ind w:right="40"/>
        <w:spacing w:after="0" w:line="253" w:lineRule="auto"/>
        <w:rPr>
          <w:sz w:val="20"/>
          <w:szCs w:val="20"/>
          <w:color w:val="auto"/>
        </w:rPr>
      </w:pPr>
      <w:r>
        <w:rPr>
          <w:rFonts w:ascii="Arial" w:cs="Arial" w:eastAsia="Arial" w:hAnsi="Arial"/>
          <w:sz w:val="21"/>
          <w:szCs w:val="21"/>
          <w:color w:val="auto"/>
        </w:rPr>
        <w:t>necessary to comply with the Optionee’s personal legal, and tax obligations under local laws, rules and regulations in the Optionee’s country of residence (and country of employment, if different).</w:t>
      </w:r>
    </w:p>
    <w:p>
      <w:pPr>
        <w:spacing w:after="0" w:line="157" w:lineRule="exact"/>
        <w:rPr>
          <w:sz w:val="20"/>
          <w:szCs w:val="20"/>
          <w:color w:val="auto"/>
        </w:rPr>
      </w:pPr>
    </w:p>
    <w:p>
      <w:pPr>
        <w:jc w:val="both"/>
        <w:ind w:right="40" w:firstLine="882"/>
        <w:spacing w:after="0" w:line="236" w:lineRule="auto"/>
        <w:tabs>
          <w:tab w:leader="none" w:pos="1757" w:val="left"/>
        </w:tabs>
        <w:numPr>
          <w:ilvl w:val="0"/>
          <w:numId w:val="2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Securities Matters</w:t>
      </w:r>
      <w:r>
        <w:rPr>
          <w:rFonts w:ascii="Arial" w:cs="Arial" w:eastAsia="Arial" w:hAnsi="Arial"/>
          <w:sz w:val="21"/>
          <w:szCs w:val="21"/>
          <w:color w:val="auto"/>
        </w:rPr>
        <w:t>. The Company shall not be required to deliver any Shares until the requirements of any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state or foreign securities or other laws, rules or regulations (including the rules of any securities exchange) as may be determined by the Company to be applicable are satisfied. If the Optionee is resident or employed outside of the United States, neither the grant of the Options under the Plan nor the issuance of the underlying Shares upon exercise of the Options is intended to be a public offering of securities in the Optionee’s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172" w:lineRule="exact"/>
        <w:rPr>
          <w:rFonts w:ascii="Arial" w:cs="Arial" w:eastAsia="Arial" w:hAnsi="Arial"/>
          <w:sz w:val="21"/>
          <w:szCs w:val="21"/>
          <w:b w:val="1"/>
          <w:bCs w:val="1"/>
          <w:color w:val="auto"/>
        </w:rPr>
      </w:pPr>
    </w:p>
    <w:p>
      <w:pPr>
        <w:jc w:val="both"/>
        <w:ind w:right="40" w:firstLine="882"/>
        <w:spacing w:after="0" w:line="269" w:lineRule="auto"/>
        <w:tabs>
          <w:tab w:leader="none" w:pos="1757" w:val="left"/>
        </w:tabs>
        <w:numPr>
          <w:ilvl w:val="0"/>
          <w:numId w:val="2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Legal Requirements and Risks</w:t>
      </w:r>
      <w:r>
        <w:rPr>
          <w:rFonts w:ascii="Arial" w:cs="Arial" w:eastAsia="Arial" w:hAnsi="Arial"/>
          <w:sz w:val="19"/>
          <w:szCs w:val="19"/>
          <w:b w:val="1"/>
          <w:bCs w:val="1"/>
          <w:color w:val="auto"/>
        </w:rPr>
        <w:t xml:space="preserve">. </w:t>
      </w:r>
      <w:r>
        <w:rPr>
          <w:rFonts w:ascii="Arial" w:cs="Arial" w:eastAsia="Arial" w:hAnsi="Arial"/>
          <w:sz w:val="19"/>
          <w:szCs w:val="19"/>
          <w:color w:val="auto"/>
        </w:rPr>
        <w:t>No employee of the Company or a Subsidiary is permitted to advise the Optionee</w:t>
      </w:r>
      <w:r>
        <w:rPr>
          <w:rFonts w:ascii="Arial" w:cs="Arial" w:eastAsia="Arial" w:hAnsi="Arial"/>
          <w:sz w:val="19"/>
          <w:szCs w:val="19"/>
          <w:b w:val="1"/>
          <w:bCs w:val="1"/>
          <w:color w:val="auto"/>
        </w:rPr>
        <w:t xml:space="preserve"> </w:t>
      </w:r>
      <w:r>
        <w:rPr>
          <w:rFonts w:ascii="Arial" w:cs="Arial" w:eastAsia="Arial" w:hAnsi="Arial"/>
          <w:sz w:val="19"/>
          <w:szCs w:val="19"/>
          <w:color w:val="auto"/>
        </w:rPr>
        <w:t>on whether the Optionee should acquire Shares under the Plan. Acquiring Shares involves a degree of risk. Before deciding to acquire Shares pursuant to the Options, the Optionee should carefully consider all risk factors relevant to the acquisition of Shares under the Plan and the Optionee should carefully review all of the materials related to the Options and the Plan. In addition, the Optionee should consult with the Optionee’s own financial advisor and legal advisor for professional investment advice.</w:t>
      </w:r>
    </w:p>
    <w:p>
      <w:pPr>
        <w:spacing w:after="0" w:line="145" w:lineRule="exact"/>
        <w:rPr>
          <w:rFonts w:ascii="Arial" w:cs="Arial" w:eastAsia="Arial" w:hAnsi="Arial"/>
          <w:sz w:val="19"/>
          <w:szCs w:val="19"/>
          <w:b w:val="1"/>
          <w:bCs w:val="1"/>
          <w:color w:val="auto"/>
        </w:rPr>
      </w:pPr>
    </w:p>
    <w:p>
      <w:pPr>
        <w:ind w:left="1760" w:hanging="878"/>
        <w:spacing w:after="0"/>
        <w:tabs>
          <w:tab w:leader="none" w:pos="1760" w:val="left"/>
        </w:tabs>
        <w:numPr>
          <w:ilvl w:val="0"/>
          <w:numId w:val="2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Consent to Collection, Processing and Transfer of Personal Data.</w:t>
      </w:r>
    </w:p>
    <w:p>
      <w:pPr>
        <w:spacing w:after="0" w:line="204" w:lineRule="exact"/>
        <w:rPr>
          <w:sz w:val="20"/>
          <w:szCs w:val="20"/>
          <w:color w:val="auto"/>
        </w:rPr>
      </w:pPr>
    </w:p>
    <w:p>
      <w:pPr>
        <w:jc w:val="both"/>
        <w:ind w:right="40" w:firstLine="882"/>
        <w:spacing w:after="0" w:line="248" w:lineRule="auto"/>
        <w:tabs>
          <w:tab w:leader="none" w:pos="1728" w:val="left"/>
        </w:tabs>
        <w:numPr>
          <w:ilvl w:val="0"/>
          <w:numId w:val="237"/>
        </w:numPr>
        <w:rPr>
          <w:rFonts w:ascii="Arial" w:cs="Arial" w:eastAsia="Arial" w:hAnsi="Arial"/>
          <w:sz w:val="20"/>
          <w:szCs w:val="20"/>
          <w:color w:val="auto"/>
        </w:rPr>
      </w:pPr>
      <w:r>
        <w:rPr>
          <w:rFonts w:ascii="Arial" w:cs="Arial" w:eastAsia="Arial" w:hAnsi="Arial"/>
          <w:sz w:val="20"/>
          <w:szCs w:val="20"/>
          <w:color w:val="auto"/>
        </w:rPr>
        <w:t>Pursuant to applicable personal data protection laws, the Company and the Employer (if different) hereby notify the Optionee of the following in relation to the Optionee’s personal data and the collection, processing and transfer of such data in relation to the Company’s grant of this Option and the Optionee’s participation in the Plan. The collection, processing and transfer of the Optionee’s personal data are necessary for the Company’s administration of the Plan and the Optionee’s participation in the Plan. The Optionee’s denial and/or objection to the collection, processing and transfer of personal data may affect the Optionee’s participation in the Plan. The Optionee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auto"/>
        </w:rPr>
      </w:pPr>
    </w:p>
    <w:p>
      <w:pPr>
        <w:jc w:val="both"/>
        <w:ind w:right="40" w:firstLine="882"/>
        <w:spacing w:after="0" w:line="247" w:lineRule="auto"/>
        <w:tabs>
          <w:tab w:leader="none" w:pos="173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Company and the Employer (if different) hold certain personal information about the Optionee, including the Optionee’s name, home address and telephone number, date of birth, social security number or other employee identification number, salary, nationality, job title, any Shares or directorships held in the Company, details of all awards or any other entitlement to Shares awarded, canceled, purchased, vested, unvested or outstanding in the Optionee’s favor, for the purpose of managing and administering the Plan (“Data”). The Data may be provided by the Optionee or collected, where lawful, from third parties, and the Company and Employer (if different) will process the Data for the exclusive purpose of implementing, administering and managing the Optionee’s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6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34"/>
        </w:trPr>
        <w:tc>
          <w:tcPr>
            <w:tcW w:w="6780" w:type="dxa"/>
            <w:vAlign w:val="bottom"/>
            <w:tcBorders>
              <w:bottom w:val="single" w:sz="8" w:color="9A9A9A"/>
            </w:tcBorders>
          </w:tcPr>
          <w:p>
            <w:pPr>
              <w:spacing w:after="0"/>
              <w:rPr>
                <w:sz w:val="11"/>
                <w:szCs w:val="11"/>
                <w:color w:val="auto"/>
              </w:rPr>
            </w:pPr>
          </w:p>
        </w:tc>
        <w:tc>
          <w:tcPr>
            <w:tcW w:w="4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60" w:name="page161"/>
    <w:bookmarkEnd w:id="160"/>
    <w:p>
      <w:pPr>
        <w:jc w:val="both"/>
        <w:ind w:right="40"/>
        <w:spacing w:after="0" w:line="238" w:lineRule="auto"/>
        <w:rPr>
          <w:sz w:val="20"/>
          <w:szCs w:val="20"/>
          <w:color w:val="auto"/>
        </w:rPr>
      </w:pPr>
      <w:r>
        <w:rPr>
          <w:rFonts w:ascii="Arial" w:cs="Arial" w:eastAsia="Arial" w:hAnsi="Arial"/>
          <w:sz w:val="21"/>
          <w:szCs w:val="21"/>
          <w:color w:val="auto"/>
        </w:rPr>
        <w:t>Optionee’s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Optionee’s participation in the Plan.</w:t>
      </w:r>
    </w:p>
    <w:p>
      <w:pPr>
        <w:spacing w:after="0" w:line="205" w:lineRule="exact"/>
        <w:rPr>
          <w:sz w:val="20"/>
          <w:szCs w:val="20"/>
          <w:color w:val="auto"/>
        </w:rPr>
      </w:pPr>
    </w:p>
    <w:p>
      <w:pPr>
        <w:jc w:val="both"/>
        <w:ind w:right="40" w:firstLine="882"/>
        <w:spacing w:after="0" w:line="279" w:lineRule="auto"/>
        <w:tabs>
          <w:tab w:leader="none" w:pos="172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 and the Employer (if different) will transfer Data amongst themselves as necessary for the purpose of implementation, administration and management of the Optionee’s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Optionee hereby authorizes (where required under applicable law) them to receive, possess, use, retain and transfer the Data, in electronic or other form, for purposes of implementing, administering and managing the Optionee’s participation in the Plan, including any requisite transfer of such Data as may be required for the administration of the Plan and/or the subsequent holding of Shares on the Optionee’s behalf to a broker or other third party with whom the Optionee may elect to deposit any Shares acquired pursuant to the Plan.</w:t>
      </w:r>
    </w:p>
    <w:p>
      <w:pPr>
        <w:spacing w:after="0" w:line="142" w:lineRule="exact"/>
        <w:rPr>
          <w:rFonts w:ascii="Arial" w:cs="Arial" w:eastAsia="Arial" w:hAnsi="Arial"/>
          <w:sz w:val="18"/>
          <w:szCs w:val="18"/>
          <w:color w:val="auto"/>
        </w:rPr>
      </w:pPr>
    </w:p>
    <w:p>
      <w:pPr>
        <w:jc w:val="both"/>
        <w:ind w:right="40" w:firstLine="882"/>
        <w:spacing w:after="0" w:line="249" w:lineRule="auto"/>
        <w:tabs>
          <w:tab w:leader="none" w:pos="1739"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Optionee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Optionee’s participation in the Plan. The Optionee may seek to exercise these rights by contacting the Company’s Corporate Secretary’s Department</w:t>
      </w:r>
      <w:r>
        <w:rPr>
          <w:rFonts w:ascii="Arial" w:cs="Arial" w:eastAsia="Arial" w:hAnsi="Arial"/>
          <w:sz w:val="20"/>
          <w:szCs w:val="20"/>
          <w:b w:val="1"/>
          <w:bCs w:val="1"/>
          <w:color w:val="auto"/>
        </w:rPr>
        <w:t>.</w:t>
      </w:r>
    </w:p>
    <w:p>
      <w:pPr>
        <w:spacing w:after="0" w:line="164" w:lineRule="exact"/>
        <w:rPr>
          <w:sz w:val="20"/>
          <w:szCs w:val="20"/>
          <w:color w:val="auto"/>
        </w:rPr>
      </w:pPr>
    </w:p>
    <w:p>
      <w:pPr>
        <w:jc w:val="both"/>
        <w:ind w:right="40" w:firstLine="882"/>
        <w:spacing w:after="0" w:line="238" w:lineRule="auto"/>
        <w:tabs>
          <w:tab w:leader="none" w:pos="1757" w:val="left"/>
        </w:tabs>
        <w:numPr>
          <w:ilvl w:val="0"/>
          <w:numId w:val="2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 acknowledges and agrees that it is the Optionee’s express intent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Plan and all other documents, notices and legal proceedings entered into, given or instituted pursuant to the Option, be drawn up in English. If the Optionee has received the Agreement, the Plan or any other documents related to the Options translated into a language other than English, and if the meaning of the translated version is different than the English version, the English version will control.</w:t>
      </w:r>
    </w:p>
    <w:p>
      <w:pPr>
        <w:spacing w:after="0" w:line="172" w:lineRule="exact"/>
        <w:rPr>
          <w:rFonts w:ascii="Arial" w:cs="Arial" w:eastAsia="Arial" w:hAnsi="Arial"/>
          <w:sz w:val="21"/>
          <w:szCs w:val="21"/>
          <w:b w:val="1"/>
          <w:bCs w:val="1"/>
          <w:color w:val="auto"/>
        </w:rPr>
      </w:pPr>
    </w:p>
    <w:p>
      <w:pPr>
        <w:ind w:left="1760" w:hanging="878"/>
        <w:spacing w:after="0"/>
        <w:tabs>
          <w:tab w:leader="none" w:pos="1760" w:val="left"/>
        </w:tabs>
        <w:numPr>
          <w:ilvl w:val="0"/>
          <w:numId w:val="2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Grant</w:t>
      </w:r>
      <w:r>
        <w:rPr>
          <w:rFonts w:ascii="Arial" w:cs="Arial" w:eastAsia="Arial" w:hAnsi="Arial"/>
          <w:sz w:val="21"/>
          <w:szCs w:val="21"/>
          <w:u w:val="single" w:color="auto"/>
          <w:color w:val="auto"/>
        </w:rPr>
        <w: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of Options, Optionee acknowledges that:</w:t>
      </w:r>
    </w:p>
    <w:p>
      <w:pPr>
        <w:spacing w:after="0" w:line="224" w:lineRule="exact"/>
        <w:rPr>
          <w:sz w:val="20"/>
          <w:szCs w:val="20"/>
          <w:color w:val="auto"/>
        </w:rPr>
      </w:pPr>
    </w:p>
    <w:p>
      <w:pPr>
        <w:ind w:right="40" w:firstLine="882"/>
        <w:spacing w:after="0" w:line="278" w:lineRule="auto"/>
        <w:tabs>
          <w:tab w:leader="none" w:pos="1728"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4" w:lineRule="exact"/>
        <w:rPr>
          <w:rFonts w:ascii="Arial" w:cs="Arial" w:eastAsia="Arial" w:hAnsi="Arial"/>
          <w:sz w:val="20"/>
          <w:szCs w:val="20"/>
          <w:color w:val="auto"/>
        </w:rPr>
      </w:pPr>
    </w:p>
    <w:p>
      <w:pPr>
        <w:ind w:right="40" w:firstLine="882"/>
        <w:spacing w:after="0" w:line="253" w:lineRule="auto"/>
        <w:tabs>
          <w:tab w:leader="none" w:pos="1739" w:val="left"/>
        </w:tabs>
        <w:numPr>
          <w:ilvl w:val="0"/>
          <w:numId w:val="240"/>
        </w:numPr>
        <w:rPr>
          <w:rFonts w:ascii="Arial" w:cs="Arial" w:eastAsia="Arial" w:hAnsi="Arial"/>
          <w:sz w:val="21"/>
          <w:szCs w:val="21"/>
          <w:color w:val="auto"/>
        </w:rPr>
      </w:pPr>
      <w:r>
        <w:rPr>
          <w:rFonts w:ascii="Arial" w:cs="Arial" w:eastAsia="Arial" w:hAnsi="Arial"/>
          <w:sz w:val="21"/>
          <w:szCs w:val="21"/>
          <w:color w:val="auto"/>
        </w:rPr>
        <w:t>The grant of Options is a one-time benefit and does not create any contractual or other right to receive an award or benefits in lieu of an award in the future; future awards, if any, will be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34"/>
        </w:trPr>
        <w:tc>
          <w:tcPr>
            <w:tcW w:w="6760" w:type="dxa"/>
            <w:vAlign w:val="bottom"/>
            <w:tcBorders>
              <w:bottom w:val="single" w:sz="8" w:color="9A9A9A"/>
            </w:tcBorders>
          </w:tcPr>
          <w:p>
            <w:pPr>
              <w:spacing w:after="0"/>
              <w:rPr>
                <w:sz w:val="11"/>
                <w:szCs w:val="11"/>
                <w:color w:val="auto"/>
              </w:rPr>
            </w:pPr>
          </w:p>
        </w:tc>
        <w:tc>
          <w:tcPr>
            <w:tcW w:w="4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61" w:name="page162"/>
    <w:bookmarkEnd w:id="161"/>
    <w:p>
      <w:pPr>
        <w:ind w:left="1740" w:hanging="858"/>
        <w:spacing w:after="0"/>
        <w:tabs>
          <w:tab w:leader="none" w:pos="174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Optionee is voluntarily participating in the Plan.</w:t>
      </w:r>
    </w:p>
    <w:p>
      <w:pPr>
        <w:spacing w:after="0" w:line="223" w:lineRule="exact"/>
        <w:rPr>
          <w:rFonts w:ascii="Arial" w:cs="Arial" w:eastAsia="Arial" w:hAnsi="Arial"/>
          <w:sz w:val="21"/>
          <w:szCs w:val="21"/>
          <w:color w:val="auto"/>
        </w:rPr>
      </w:pPr>
    </w:p>
    <w:p>
      <w:pPr>
        <w:ind w:right="40" w:firstLine="882"/>
        <w:spacing w:after="0" w:line="253" w:lineRule="auto"/>
        <w:tabs>
          <w:tab w:leader="none" w:pos="1739" w:val="left"/>
        </w:tabs>
        <w:numPr>
          <w:ilvl w:val="0"/>
          <w:numId w:val="241"/>
        </w:numPr>
        <w:rPr>
          <w:rFonts w:ascii="Arial" w:cs="Arial" w:eastAsia="Arial" w:hAnsi="Arial"/>
          <w:sz w:val="21"/>
          <w:szCs w:val="21"/>
          <w:color w:val="auto"/>
        </w:rPr>
      </w:pPr>
      <w:r>
        <w:rPr>
          <w:rFonts w:ascii="Arial" w:cs="Arial" w:eastAsia="Arial" w:hAnsi="Arial"/>
          <w:sz w:val="21"/>
          <w:szCs w:val="21"/>
          <w:color w:val="auto"/>
        </w:rPr>
        <w:t>An Option is an extraordinary item that does not constitute compensation of any kind for services of any kind rendered to the Employer, and which is outside the scope of the Optionee’s employment contract, if any.</w:t>
      </w:r>
    </w:p>
    <w:p>
      <w:pPr>
        <w:spacing w:after="0" w:line="188" w:lineRule="exact"/>
        <w:rPr>
          <w:rFonts w:ascii="Arial" w:cs="Arial" w:eastAsia="Arial" w:hAnsi="Arial"/>
          <w:sz w:val="21"/>
          <w:szCs w:val="21"/>
          <w:color w:val="auto"/>
        </w:rPr>
      </w:pPr>
    </w:p>
    <w:p>
      <w:pPr>
        <w:jc w:val="both"/>
        <w:ind w:right="40" w:firstLine="882"/>
        <w:spacing w:after="0" w:line="238" w:lineRule="auto"/>
        <w:tabs>
          <w:tab w:leader="none" w:pos="1728"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Options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204" w:lineRule="exact"/>
        <w:rPr>
          <w:rFonts w:ascii="Arial" w:cs="Arial" w:eastAsia="Arial" w:hAnsi="Arial"/>
          <w:sz w:val="21"/>
          <w:szCs w:val="21"/>
          <w:color w:val="auto"/>
        </w:rPr>
      </w:pPr>
    </w:p>
    <w:p>
      <w:pPr>
        <w:ind w:right="40" w:firstLine="882"/>
        <w:spacing w:after="0" w:line="253" w:lineRule="auto"/>
        <w:tabs>
          <w:tab w:leader="none" w:pos="170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Options will not be interpreted to form an employment contract or relationship with the Company; and furthermore, the Options will not be interpreted to form an employment contract with any Subsidiary.</w:t>
      </w:r>
    </w:p>
    <w:p>
      <w:pPr>
        <w:spacing w:after="0" w:line="188" w:lineRule="exact"/>
        <w:rPr>
          <w:rFonts w:ascii="Arial" w:cs="Arial" w:eastAsia="Arial" w:hAnsi="Arial"/>
          <w:sz w:val="21"/>
          <w:szCs w:val="21"/>
          <w:color w:val="auto"/>
        </w:rPr>
      </w:pPr>
    </w:p>
    <w:p>
      <w:pPr>
        <w:jc w:val="both"/>
        <w:ind w:right="40" w:firstLine="882"/>
        <w:spacing w:after="0" w:line="242" w:lineRule="auto"/>
        <w:tabs>
          <w:tab w:leader="none" w:pos="1739"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This Agreement shall not confer upon the Optionee any right to continuation of employment by the Employer, nor shall this Agreement interfere in any way with the Employer’s right to terminate the Optionee’s employment at any time, as may be permitted under local law.</w:t>
      </w:r>
    </w:p>
    <w:p>
      <w:pPr>
        <w:spacing w:after="0" w:line="199" w:lineRule="exact"/>
        <w:rPr>
          <w:rFonts w:ascii="Arial" w:cs="Arial" w:eastAsia="Arial" w:hAnsi="Arial"/>
          <w:sz w:val="21"/>
          <w:szCs w:val="21"/>
          <w:color w:val="auto"/>
        </w:rPr>
      </w:pPr>
    </w:p>
    <w:p>
      <w:pPr>
        <w:ind w:right="40" w:firstLine="882"/>
        <w:spacing w:after="0" w:line="253" w:lineRule="auto"/>
        <w:tabs>
          <w:tab w:leader="none" w:pos="1739"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 if the value of the Shares does not increase after the time of grant, this Option will have no value.</w:t>
      </w:r>
    </w:p>
    <w:p>
      <w:pPr>
        <w:spacing w:after="0" w:line="188" w:lineRule="exact"/>
        <w:rPr>
          <w:rFonts w:ascii="Arial" w:cs="Arial" w:eastAsia="Arial" w:hAnsi="Arial"/>
          <w:sz w:val="21"/>
          <w:szCs w:val="21"/>
          <w:color w:val="auto"/>
        </w:rPr>
      </w:pPr>
    </w:p>
    <w:p>
      <w:pPr>
        <w:ind w:left="1700" w:hanging="818"/>
        <w:spacing w:after="0"/>
        <w:tabs>
          <w:tab w:leader="none" w:pos="17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the Options vest and the Optionee obtains Shares, the value of those Shares acquired may increase or decrease in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value.</w:t>
      </w:r>
    </w:p>
    <w:p>
      <w:pPr>
        <w:spacing w:after="0" w:line="179" w:lineRule="exact"/>
        <w:rPr>
          <w:rFonts w:ascii="Arial" w:cs="Arial" w:eastAsia="Arial" w:hAnsi="Arial"/>
          <w:sz w:val="18"/>
          <w:szCs w:val="18"/>
          <w:color w:val="auto"/>
        </w:rPr>
      </w:pPr>
    </w:p>
    <w:p>
      <w:pPr>
        <w:jc w:val="both"/>
        <w:ind w:right="40" w:firstLine="882"/>
        <w:spacing w:after="0" w:line="249" w:lineRule="auto"/>
        <w:tabs>
          <w:tab w:leader="none" w:pos="169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In consideration of the grant of the Options, no claim or entitlement to compensation or damages shall arise from termination of the Options or diminution in value of the Options or Shares acquired upon exercise of the Option resulting from termination of the Optionee’s employment (for any reason whatsoever and whether or not in breach of local labor laws) and the Optionee irrevocably releases the Company and the Employer (if different) from any such claim that may arise; if, notwithstanding the foregoing, any such claim is found by a court of competent jurisdiction to have arisen, then, by accepting this Option, the Optionee will be deemed irrevocably to have waived the Optionee’s entitlement to pursue such claim.</w:t>
      </w:r>
    </w:p>
    <w:p>
      <w:pPr>
        <w:spacing w:after="0" w:line="170" w:lineRule="exact"/>
        <w:rPr>
          <w:rFonts w:ascii="Arial" w:cs="Arial" w:eastAsia="Arial" w:hAnsi="Arial"/>
          <w:sz w:val="20"/>
          <w:szCs w:val="20"/>
          <w:color w:val="auto"/>
        </w:rPr>
      </w:pPr>
    </w:p>
    <w:p>
      <w:pPr>
        <w:jc w:val="both"/>
        <w:ind w:right="40" w:firstLine="882"/>
        <w:spacing w:after="0" w:line="247" w:lineRule="auto"/>
        <w:tabs>
          <w:tab w:leader="none" w:pos="1739"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In the event of involuntary termination of Optionee’s employment (whether or not in breach of local labor laws), Optionee’s right to receive Options and vest under the Plan, if any, will terminate effective as of the date that Optionee is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Optionee’s right to exercise Options and vesting in Options after termination of employment, if any will be measured by the date of termination of Optionee’s active employment and will not be extended by a notice period mandated under local law; the Committee shall have the exclusive discretion to determine when the Optionee is no longer actively employed for purposes of the award of the Options.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Non-Qualified Stock Option Agreement</w:t>
            </w:r>
          </w:p>
        </w:tc>
        <w:tc>
          <w:tcPr>
            <w:tcW w:w="4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34"/>
        </w:trPr>
        <w:tc>
          <w:tcPr>
            <w:tcW w:w="6760" w:type="dxa"/>
            <w:vAlign w:val="bottom"/>
            <w:tcBorders>
              <w:bottom w:val="single" w:sz="8" w:color="9A9A9A"/>
            </w:tcBorders>
          </w:tcPr>
          <w:p>
            <w:pPr>
              <w:spacing w:after="0"/>
              <w:rPr>
                <w:sz w:val="11"/>
                <w:szCs w:val="11"/>
                <w:color w:val="auto"/>
              </w:rPr>
            </w:pPr>
          </w:p>
        </w:tc>
        <w:tc>
          <w:tcPr>
            <w:tcW w:w="4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62" w:name="page163"/>
    <w:bookmarkEnd w:id="162"/>
    <w:p>
      <w:pPr>
        <w:ind w:firstLine="882"/>
        <w:spacing w:after="0" w:line="253" w:lineRule="auto"/>
        <w:tabs>
          <w:tab w:leader="none" w:pos="1693"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The Options and benefits under the Plan, if any, will not automatically transfer to another company in the case of a merger, take-over or transfer of liability.</w:t>
      </w:r>
    </w:p>
    <w:p>
      <w:pPr>
        <w:spacing w:after="0" w:line="183" w:lineRule="exact"/>
        <w:rPr>
          <w:sz w:val="20"/>
          <w:szCs w:val="20"/>
          <w:color w:val="auto"/>
        </w:rPr>
      </w:pPr>
    </w:p>
    <w:p>
      <w:pPr>
        <w:jc w:val="both"/>
        <w:ind w:firstLine="882"/>
        <w:spacing w:after="0"/>
        <w:tabs>
          <w:tab w:leader="none" w:pos="1757" w:val="left"/>
        </w:tabs>
        <w:numPr>
          <w:ilvl w:val="0"/>
          <w:numId w:val="2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Option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auto"/>
        </w:rPr>
      </w:pPr>
    </w:p>
    <w:p>
      <w:pPr>
        <w:jc w:val="both"/>
        <w:ind w:firstLine="882"/>
        <w:spacing w:after="0"/>
        <w:tabs>
          <w:tab w:leader="none" w:pos="1757" w:val="left"/>
        </w:tabs>
        <w:numPr>
          <w:ilvl w:val="0"/>
          <w:numId w:val="2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 Providing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is not providing any tax, legal or financial advice, nor is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any recommendations regarding Optionee’s participation in the Plan, or Optionee’s acquisition or sale of the Shares underlying the Option. Optionee is hereby advised to consult with his or her own personal tax, legal and financial advisors regarding his or her participation in the Plan before taking any action related to the Plan.</w:t>
      </w:r>
    </w:p>
    <w:p>
      <w:pPr>
        <w:spacing w:after="0" w:line="171" w:lineRule="exact"/>
        <w:rPr>
          <w:rFonts w:ascii="Arial" w:cs="Arial" w:eastAsia="Arial" w:hAnsi="Arial"/>
          <w:sz w:val="21"/>
          <w:szCs w:val="21"/>
          <w:b w:val="1"/>
          <w:bCs w:val="1"/>
          <w:color w:val="auto"/>
        </w:rPr>
      </w:pPr>
    </w:p>
    <w:p>
      <w:pPr>
        <w:jc w:val="both"/>
        <w:ind w:firstLine="882"/>
        <w:spacing w:after="0"/>
        <w:tabs>
          <w:tab w:leader="none" w:pos="1757" w:val="left"/>
        </w:tabs>
        <w:numPr>
          <w:ilvl w:val="0"/>
          <w:numId w:val="2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validity, construction and effect of this Award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the laws of the State of Delaware, without reference to principles of conflict of laws. Any dispute concerning this Agreement will be resolved exclusively in the state or federal courts in Harris County, Texas, and the Optionee agrees to exclusive venue and jurisdiction in such courts as a condition of receiving this Award.</w:t>
      </w:r>
    </w:p>
    <w:p>
      <w:pPr>
        <w:spacing w:after="0" w:line="196" w:lineRule="exact"/>
        <w:rPr>
          <w:rFonts w:ascii="Arial" w:cs="Arial" w:eastAsia="Arial" w:hAnsi="Arial"/>
          <w:sz w:val="21"/>
          <w:szCs w:val="21"/>
          <w:b w:val="1"/>
          <w:bCs w:val="1"/>
          <w:color w:val="auto"/>
        </w:rPr>
      </w:pPr>
    </w:p>
    <w:p>
      <w:pPr>
        <w:jc w:val="both"/>
        <w:ind w:firstLine="882"/>
        <w:spacing w:after="0" w:line="264" w:lineRule="auto"/>
        <w:tabs>
          <w:tab w:leader="none" w:pos="1757" w:val="left"/>
        </w:tabs>
        <w:numPr>
          <w:ilvl w:val="0"/>
          <w:numId w:val="2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 Terms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Agreement to the contrary, the Option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special terms and conditions for the Optionee’s country of residence (and country of employment, if different), as are set forth in the Appendix to this Agreement (the “Appendix”). Further, if the Optionee transfers residency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 or to facilitate the operation and administration of the Option and the Plan (or the Company may establish alternative terms and conditions as may be necessary or advisable to accommodate the Optionee’s transfer). In all circumstances, the Appendix shall constitute part of this Agreement.</w:t>
      </w:r>
    </w:p>
    <w:p>
      <w:pPr>
        <w:spacing w:after="0" w:line="152" w:lineRule="exact"/>
        <w:rPr>
          <w:rFonts w:ascii="Arial" w:cs="Arial" w:eastAsia="Arial" w:hAnsi="Arial"/>
          <w:sz w:val="19"/>
          <w:szCs w:val="19"/>
          <w:b w:val="1"/>
          <w:bCs w:val="1"/>
          <w:color w:val="auto"/>
        </w:rPr>
      </w:pPr>
    </w:p>
    <w:p>
      <w:pPr>
        <w:jc w:val="both"/>
        <w:ind w:firstLine="882"/>
        <w:spacing w:after="0" w:line="253" w:lineRule="auto"/>
        <w:tabs>
          <w:tab w:leader="none" w:pos="1757" w:val="left"/>
        </w:tabs>
        <w:numPr>
          <w:ilvl w:val="0"/>
          <w:numId w:val="2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the Options,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acquired pursuant to the Options, and the Optionee’s participation in the Plan, to the extent the Company determines, in its sole discretion, that such other requirements are necessary or advisable in order to comply with local law or to facilitate the operation and administration of the Options and the Plan. Such requirements may include (but are not limited to) requiring the Optionee to sign any agreements or undertakings that may be necessary to accomplish the foregoing.</w:t>
      </w:r>
    </w:p>
    <w:p>
      <w:pPr>
        <w:spacing w:after="0" w:line="163"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____________________________________________</w:t>
      </w:r>
    </w:p>
    <w:p>
      <w:pPr>
        <w:sectPr>
          <w:pgSz w:w="11900" w:h="16838" w:orient="portrait"/>
          <w:cols w:equalWidth="0" w:num="1">
            <w:col w:w="11420"/>
          </w:cols>
          <w:pgMar w:left="240" w:top="532"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auto"/>
        </w:rPr>
        <w:t>Non-Qualified Stock Option Agreement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12</w:t>
      </w:r>
    </w:p>
    <w:p>
      <w:pPr>
        <w:sectPr>
          <w:pgSz w:w="11900" w:h="16838" w:orient="portrait"/>
          <w:cols w:equalWidth="0" w:num="2">
            <w:col w:w="10560" w:space="720"/>
            <w:col w:w="140"/>
          </w:cols>
          <w:pgMar w:left="240" w:top="532" w:right="23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21"/>
          <w:szCs w:val="21"/>
          <w:color w:val="auto"/>
        </w:rPr>
        <w:t>Exhibit 10.42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INCENTIVE STOCK OPTION AGREEMENT</w:t>
      </w:r>
    </w:p>
    <w:p>
      <w:pPr>
        <w:spacing w:after="0" w:line="174" w:lineRule="exact"/>
        <w:rPr>
          <w:sz w:val="20"/>
          <w:szCs w:val="20"/>
          <w:color w:val="auto"/>
        </w:rPr>
      </w:pPr>
    </w:p>
    <w:tbl>
      <w:tblPr>
        <w:tblLayout w:type="fixed"/>
        <w:tblInd w:w="452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21"/>
                <w:szCs w:val="21"/>
                <w:b w:val="1"/>
                <w:bCs w:val="1"/>
                <w:color w:val="auto"/>
              </w:rPr>
              <w:t>Effective Date: [</w:t>
            </w:r>
          </w:p>
        </w:tc>
        <w:tc>
          <w:tcPr>
            <w:tcW w:w="740" w:type="dxa"/>
            <w:vAlign w:val="bottom"/>
          </w:tcPr>
          <w:p>
            <w:pPr>
              <w:jc w:val="right"/>
              <w:spacing w:after="0"/>
              <w:rPr>
                <w:sz w:val="20"/>
                <w:szCs w:val="20"/>
                <w:color w:val="auto"/>
              </w:rPr>
            </w:pPr>
            <w:r>
              <w:rPr>
                <w:rFonts w:ascii="Arial" w:cs="Arial" w:eastAsia="Arial" w:hAnsi="Arial"/>
                <w:sz w:val="21"/>
                <w:szCs w:val="21"/>
                <w:b w:val="1"/>
                <w:bCs w:val="1"/>
                <w:color w:val="auto"/>
              </w:rPr>
              <w:t>], 2010</w:t>
            </w:r>
          </w:p>
        </w:tc>
      </w:tr>
    </w:tbl>
    <w:p>
      <w:pPr>
        <w:spacing w:after="0" w:line="169" w:lineRule="exact"/>
        <w:rPr>
          <w:sz w:val="20"/>
          <w:szCs w:val="20"/>
          <w:color w:val="auto"/>
        </w:rPr>
      </w:pPr>
    </w:p>
    <w:p>
      <w:pPr>
        <w:jc w:val="both"/>
        <w:ind w:firstLine="882"/>
        <w:spacing w:after="0" w:line="251" w:lineRule="auto"/>
        <w:tabs>
          <w:tab w:leader="none" w:pos="1653" w:val="left"/>
        </w:tabs>
        <w:numPr>
          <w:ilvl w:val="0"/>
          <w:numId w:val="2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As an additional incentive and inducement to you to remain in the employment of the Company or one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its direct or indirect subsidiaries and to acquire an ownership position in the Company, thereby aligning your interests with those of the Company and its stockholders, the Company hereby grants to you, the “Optionee”, the option to purchase common stock of the Company from the Company at the times and upon the terms and conditions set forth on the attached Notice of Grant of Stock Options and Option Agreement (the “Agreement”). If Optionee completes, signs, and returns one copy of this Agreement to the Company in Houston, Texas, U.S.A., this Agreement will become effective as of </w:t>
      </w:r>
      <w:r>
        <w:rPr>
          <w:rFonts w:ascii="Arial" w:cs="Arial" w:eastAsia="Arial" w:hAnsi="Arial"/>
          <w:sz w:val="20"/>
          <w:szCs w:val="20"/>
          <w:b w:val="1"/>
          <w:bCs w:val="1"/>
          <w:color w:val="auto"/>
        </w:rPr>
        <w:t>October 20, 2011</w:t>
      </w:r>
      <w:r>
        <w:rPr>
          <w:rFonts w:ascii="Arial" w:cs="Arial" w:eastAsia="Arial" w:hAnsi="Arial"/>
          <w:sz w:val="20"/>
          <w:szCs w:val="20"/>
          <w:color w:val="auto"/>
        </w:rPr>
        <w:t>.</w:t>
      </w:r>
    </w:p>
    <w:p>
      <w:pPr>
        <w:spacing w:after="0" w:line="158" w:lineRule="exact"/>
        <w:rPr>
          <w:rFonts w:ascii="Arial" w:cs="Arial" w:eastAsia="Arial" w:hAnsi="Arial"/>
          <w:sz w:val="20"/>
          <w:szCs w:val="20"/>
          <w:b w:val="1"/>
          <w:bCs w:val="1"/>
          <w:color w:val="auto"/>
        </w:rPr>
      </w:pPr>
    </w:p>
    <w:p>
      <w:pPr>
        <w:jc w:val="both"/>
        <w:ind w:firstLine="882"/>
        <w:spacing w:after="0" w:line="245" w:lineRule="auto"/>
        <w:tabs>
          <w:tab w:leader="none" w:pos="1653" w:val="left"/>
        </w:tabs>
        <w:numPr>
          <w:ilvl w:val="0"/>
          <w:numId w:val="2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2005 Equity Incentive Plan </w:t>
      </w:r>
      <w:r>
        <w:rPr>
          <w:rFonts w:ascii="Arial" w:cs="Arial" w:eastAsia="Arial" w:hAnsi="Arial"/>
          <w:sz w:val="21"/>
          <w:szCs w:val="21"/>
          <w:color w:val="auto"/>
        </w:rPr>
        <w:t>(the "Plan"), a copy of which is attached hereto, and in the event there is a conflict between the terms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Agreement, the terms of the Plan shall control.</w:t>
      </w:r>
    </w:p>
    <w:p>
      <w:pPr>
        <w:spacing w:after="0" w:line="164" w:lineRule="exact"/>
        <w:rPr>
          <w:rFonts w:ascii="Arial" w:cs="Arial" w:eastAsia="Arial" w:hAnsi="Arial"/>
          <w:sz w:val="21"/>
          <w:szCs w:val="21"/>
          <w:b w:val="1"/>
          <w:bCs w:val="1"/>
          <w:color w:val="auto"/>
        </w:rPr>
      </w:pPr>
    </w:p>
    <w:p>
      <w:pPr>
        <w:ind w:firstLine="882"/>
        <w:spacing w:after="0" w:line="259" w:lineRule="auto"/>
        <w:tabs>
          <w:tab w:leader="none" w:pos="1653" w:val="left"/>
        </w:tabs>
        <w:numPr>
          <w:ilvl w:val="0"/>
          <w:numId w:val="2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Purchase Price</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purchase price of the Shares of the Company’s common stock subject to the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50" w:lineRule="exact"/>
        <w:rPr>
          <w:rFonts w:ascii="Arial" w:cs="Arial" w:eastAsia="Arial" w:hAnsi="Arial"/>
          <w:sz w:val="21"/>
          <w:szCs w:val="21"/>
          <w:b w:val="1"/>
          <w:bCs w:val="1"/>
          <w:color w:val="auto"/>
        </w:rPr>
      </w:pPr>
    </w:p>
    <w:p>
      <w:pPr>
        <w:ind w:left="1660" w:hanging="778"/>
        <w:spacing w:after="0"/>
        <w:tabs>
          <w:tab w:leader="none" w:pos="1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pursuant to the Agreement (“Option”) may be exercised, in whole or in part, but only as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to the number of Shares as to which the right to exercise has vested at the time of exercise, during the period beginning </w:t>
      </w:r>
      <w:r>
        <w:rPr>
          <w:rFonts w:ascii="Arial" w:cs="Arial" w:eastAsia="Arial" w:hAnsi="Arial"/>
          <w:sz w:val="20"/>
          <w:szCs w:val="20"/>
          <w:b w:val="1"/>
          <w:bCs w:val="1"/>
          <w:color w:val="auto"/>
        </w:rPr>
        <w:t>[ ], 2011</w:t>
      </w:r>
      <w:r>
        <w:rPr>
          <w:rFonts w:ascii="Arial" w:cs="Arial" w:eastAsia="Arial" w:hAnsi="Arial"/>
          <w:sz w:val="20"/>
          <w:szCs w:val="20"/>
          <w:color w:val="auto"/>
        </w:rPr>
        <w:t xml:space="preserve"> (one year from the date on which it was granted), and ending </w:t>
      </w:r>
      <w:r>
        <w:rPr>
          <w:rFonts w:ascii="Arial" w:cs="Arial" w:eastAsia="Arial" w:hAnsi="Arial"/>
          <w:sz w:val="20"/>
          <w:szCs w:val="20"/>
          <w:b w:val="1"/>
          <w:bCs w:val="1"/>
          <w:color w:val="auto"/>
        </w:rPr>
        <w:t>[ ], 2017</w:t>
      </w:r>
      <w:r>
        <w:rPr>
          <w:rFonts w:ascii="Arial" w:cs="Arial" w:eastAsia="Arial" w:hAnsi="Arial"/>
          <w:sz w:val="20"/>
          <w:szCs w:val="20"/>
          <w:color w:val="auto"/>
        </w:rPr>
        <w:t xml:space="preserve"> (</w:t>
      </w:r>
      <w:r>
        <w:rPr>
          <w:rFonts w:ascii="Arial" w:cs="Arial" w:eastAsia="Arial" w:hAnsi="Arial"/>
          <w:sz w:val="20"/>
          <w:szCs w:val="20"/>
          <w:b w:val="1"/>
          <w:bCs w:val="1"/>
          <w:color w:val="auto"/>
        </w:rPr>
        <w:t>seven</w:t>
      </w:r>
      <w:r>
        <w:rPr>
          <w:rFonts w:ascii="Arial" w:cs="Arial" w:eastAsia="Arial" w:hAnsi="Arial"/>
          <w:sz w:val="20"/>
          <w:szCs w:val="20"/>
          <w:color w:val="auto"/>
        </w:rPr>
        <w:t xml:space="preserve"> years from the date on which Option was granted.)</w:t>
      </w:r>
    </w:p>
    <w:p>
      <w:pPr>
        <w:spacing w:after="0" w:line="151"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19"/>
          <w:szCs w:val="19"/>
          <w:b w:val="1"/>
          <w:bCs w:val="1"/>
          <w:color w:val="auto"/>
        </w:rPr>
        <w:t>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Exercise of Option.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granted herein may be exercised as to vested Shares, in whole or in part, from time</w:t>
      </w:r>
      <w:r>
        <w:rPr>
          <w:rFonts w:ascii="Arial" w:cs="Arial" w:eastAsia="Arial" w:hAnsi="Arial"/>
          <w:sz w:val="19"/>
          <w:szCs w:val="19"/>
          <w:b w:val="1"/>
          <w:bCs w:val="1"/>
          <w:color w:val="auto"/>
        </w:rPr>
        <w:t xml:space="preserve"> </w:t>
      </w:r>
      <w:r>
        <w:rPr>
          <w:rFonts w:ascii="Arial" w:cs="Arial" w:eastAsia="Arial" w:hAnsi="Arial"/>
          <w:sz w:val="19"/>
          <w:szCs w:val="19"/>
          <w:color w:val="auto"/>
        </w:rPr>
        <w:t>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 form substantially similar to the form attached hereto. Payment of the purchase price of the Shares that the Optionee desires to purchase shall be tendered in full at the time of giving notice by (i) cash, check, or bank draft payable and acceptable to the Company (or the equivalent thereof acceptable to the Company), (ii) Shares theretofore owned and held by the Optionee for more than six months, (iii) a combination of cash and Shares theretofore owned and held by the Optionee for more than six months, or (iv) 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297815</wp:posOffset>
            </wp:positionV>
            <wp:extent cx="729424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64" w:name="page165"/>
    <w:bookmarkEnd w:id="164"/>
    <w:p>
      <w:pPr>
        <w:jc w:val="both"/>
        <w:spacing w:after="0" w:line="237" w:lineRule="auto"/>
        <w:rPr>
          <w:sz w:val="20"/>
          <w:szCs w:val="20"/>
          <w:color w:val="auto"/>
        </w:rPr>
      </w:pPr>
      <w:r>
        <w:rPr>
          <w:rFonts w:ascii="Arial" w:cs="Arial" w:eastAsia="Arial" w:hAnsi="Arial"/>
          <w:sz w:val="21"/>
          <w:szCs w:val="21"/>
          <w:color w:val="auto"/>
        </w:rPr>
        <w:t>The notice shall state a requested delivery date for the Share certificate or certificates at least fifteen days after the delivery of such notice; provided, however, that if the Optionee is exercising any Option granted pursuant to this Agreement in connection with a broker's transaction described in 5(iv) above, such notice shall state a requested date of delivery to the broker of such Share certificate or certificates which shall be no later than five business days after delivery of such notice or such greater or lesser time as may be required or permitted by law.</w:t>
      </w:r>
    </w:p>
    <w:p>
      <w:pPr>
        <w:spacing w:after="0" w:line="171" w:lineRule="exact"/>
        <w:rPr>
          <w:sz w:val="20"/>
          <w:szCs w:val="20"/>
          <w:color w:val="auto"/>
        </w:rPr>
      </w:pPr>
    </w:p>
    <w:p>
      <w:pPr>
        <w:jc w:val="both"/>
        <w:ind w:firstLine="882"/>
        <w:spacing w:after="0"/>
        <w:tabs>
          <w:tab w:leader="none" w:pos="1653" w:val="left"/>
        </w:tabs>
        <w:numPr>
          <w:ilvl w:val="0"/>
          <w:numId w:val="2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Shares Subject to Listing and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 granted herein shall be subject to the listing,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qualification of the Shares subject to such Option upon any securities exchange or under any applicable state or federal law. This Option may not be exercised in whole or in part unless such listing, registration or qualification shall have been effected or obtained free of any conditions not reasonably acceptable to the Board of Directors.</w:t>
      </w:r>
    </w:p>
    <w:p>
      <w:pPr>
        <w:spacing w:after="0" w:line="171" w:lineRule="exact"/>
        <w:rPr>
          <w:rFonts w:ascii="Arial" w:cs="Arial" w:eastAsia="Arial" w:hAnsi="Arial"/>
          <w:sz w:val="21"/>
          <w:szCs w:val="21"/>
          <w:b w:val="1"/>
          <w:bCs w:val="1"/>
          <w:color w:val="auto"/>
        </w:rPr>
      </w:pPr>
    </w:p>
    <w:p>
      <w:pPr>
        <w:jc w:val="both"/>
        <w:ind w:firstLine="882"/>
        <w:spacing w:after="0" w:line="266" w:lineRule="auto"/>
        <w:tabs>
          <w:tab w:leader="none" w:pos="1653" w:val="left"/>
        </w:tabs>
        <w:numPr>
          <w:ilvl w:val="0"/>
          <w:numId w:val="2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in the Company's Capital 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subject to the Option and the price per Share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upon exercise of the Option shall be subject to the provisions of the Plan relating to adjustments to corporate capitalization, provided; however, that in the event of any reorganization, recapitalization, dividend or distribution (whether in cash, shares or other property, other than a regular cash dividend), stock split, reverse stock split or other similar change in corporate structure affecting the Shares subject to the Option, the Option shall be appropriately adjusted to reflect such change, but only so far as is necessary to maintain the proportionate interest of the Participant and preserve, without exceeding, the value of such Option.</w:t>
      </w:r>
    </w:p>
    <w:p>
      <w:pPr>
        <w:spacing w:after="0" w:line="149" w:lineRule="exact"/>
        <w:rPr>
          <w:rFonts w:ascii="Arial" w:cs="Arial" w:eastAsia="Arial" w:hAnsi="Arial"/>
          <w:sz w:val="19"/>
          <w:szCs w:val="19"/>
          <w:b w:val="1"/>
          <w:bCs w:val="1"/>
          <w:color w:val="auto"/>
        </w:rPr>
      </w:pPr>
    </w:p>
    <w:p>
      <w:pPr>
        <w:ind w:left="1660" w:hanging="778"/>
        <w:spacing w:after="0"/>
        <w:tabs>
          <w:tab w:leader="none" w:pos="1660" w:val="left"/>
        </w:tabs>
        <w:numPr>
          <w:ilvl w:val="0"/>
          <w:numId w:val="2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firstLine="882"/>
        <w:spacing w:after="0" w:line="246" w:lineRule="auto"/>
        <w:tabs>
          <w:tab w:leader="none" w:pos="1728"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Optionee acknowledges that the Optionee is in possession of and has access to confidential information, including material relating to the business, products or services of the Company and that he or she will continue to have such possession and access during employment by the Company. The Optionee also acknowledges that the Company’s business, products and services are highly specialized and that it is essential that they be protected, and, accordingly, the Optionee agrees that as partial consideration for the Option granted herein that should the Optionee engage in any “Detrimental Activity,” as defined below, at any time during his or her employment or during a period of one year following his or her termination the Company shall be entitled to: (i) cancel any un-exercised portion of the Option; (ii) recover from the Optionee the value of any portion of the Option that has been exercised; (iii) seek injunctive relief against the Optionee; (iv) recover all damages, court costs, and attorneys’ fees incurred by the Company in enforcing the provisions of this Option grant, and (v) set-off any such sums to which the Company is entitled hereunder against any sum which may be owed the Optionee by the Company.</w:t>
      </w:r>
    </w:p>
    <w:p>
      <w:pPr>
        <w:spacing w:after="0" w:line="175" w:lineRule="exact"/>
        <w:rPr>
          <w:rFonts w:ascii="Arial" w:cs="Arial" w:eastAsia="Arial" w:hAnsi="Arial"/>
          <w:sz w:val="20"/>
          <w:szCs w:val="20"/>
          <w:color w:val="auto"/>
        </w:rPr>
      </w:pPr>
    </w:p>
    <w:p>
      <w:pPr>
        <w:jc w:val="both"/>
        <w:ind w:firstLine="882"/>
        <w:spacing w:after="0" w:line="238" w:lineRule="auto"/>
        <w:tabs>
          <w:tab w:leader="none" w:pos="1739" w:val="left"/>
        </w:tabs>
        <w:numPr>
          <w:ilvl w:val="0"/>
          <w:numId w:val="246"/>
        </w:numPr>
        <w:rPr>
          <w:rFonts w:ascii="Arial" w:cs="Arial" w:eastAsia="Arial" w:hAnsi="Arial"/>
          <w:sz w:val="21"/>
          <w:szCs w:val="21"/>
          <w:color w:val="auto"/>
        </w:rPr>
      </w:pPr>
      <w:r>
        <w:rPr>
          <w:rFonts w:ascii="Arial" w:cs="Arial" w:eastAsia="Arial" w:hAnsi="Arial"/>
          <w:sz w:val="21"/>
          <w:szCs w:val="21"/>
          <w:color w:val="auto"/>
        </w:rPr>
        <w:t>“Detrimental Activity” for the purposes hereof, other than with respect to involuntary termination without cause, termination in connection with or as a result of a “Change of Control” (as defined in Section 10(b) hereof), or termination following a reduction in job responsibilities, shall include: (i) rendering of services for any person or organization, or engaging directly or indirectly in any business, which is or becomes competitive with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65" w:name="page166"/>
    <w:bookmarkEnd w:id="165"/>
    <w:p>
      <w:pPr>
        <w:jc w:val="both"/>
        <w:spacing w:after="0" w:line="247" w:lineRule="auto"/>
        <w:rPr>
          <w:sz w:val="20"/>
          <w:szCs w:val="20"/>
          <w:color w:val="auto"/>
        </w:rPr>
      </w:pPr>
      <w:r>
        <w:rPr>
          <w:rFonts w:ascii="Arial" w:cs="Arial" w:eastAsia="Arial" w:hAnsi="Arial"/>
          <w:sz w:val="20"/>
          <w:szCs w:val="20"/>
          <w:color w:val="auto"/>
        </w:rPr>
        <w:t>Company; (ii) disclosing to anyone outside the Company, or using in other than the Company’s business, without prior written authorization from the Company, any confidential information including material relating to the business, products or services of the Company acquired by the Optionee during employment with the Company; (iii) soliciting, interfering, inducing, or attempting to cause any employee of the Company to leave his or her employment, whether done on Optionee’s own account or on account of any person, organization or business which is or becomes competitive with the Company, or (iv) directly or indirectly soliciting the trade or business of any customer of the Company. “Detrimental Activity” for the purposes hereof with respect to involuntary termination without cause, termination in connection with or as a result of a “Change of Control”, or termination following a reduction in job responsibilities, shall include only part (ii) of the preceding sentence.</w:t>
      </w:r>
    </w:p>
    <w:p>
      <w:pPr>
        <w:spacing w:after="0" w:line="168" w:lineRule="exact"/>
        <w:rPr>
          <w:sz w:val="20"/>
          <w:szCs w:val="20"/>
          <w:color w:val="auto"/>
        </w:rPr>
      </w:pPr>
    </w:p>
    <w:p>
      <w:pPr>
        <w:ind w:left="1660" w:hanging="778"/>
        <w:spacing w:after="0"/>
        <w:tabs>
          <w:tab w:leader="none" w:pos="1660" w:val="left"/>
        </w:tabs>
        <w:numPr>
          <w:ilvl w:val="0"/>
          <w:numId w:val="2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4" w:lineRule="exact"/>
        <w:rPr>
          <w:sz w:val="20"/>
          <w:szCs w:val="20"/>
          <w:color w:val="auto"/>
        </w:rPr>
      </w:pPr>
    </w:p>
    <w:p>
      <w:pPr>
        <w:jc w:val="both"/>
        <w:ind w:firstLine="882"/>
        <w:spacing w:after="0" w:line="249" w:lineRule="auto"/>
        <w:tabs>
          <w:tab w:leader="none" w:pos="172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If the Optionee’s employment terminates, for reasons other than cause (as defined below), at age 60 or older and the Optionee has at least ten years of service with the Company, any unvested shares shall continue to vest according to the terms of the Option except that if such termination occurs within one year from grant date, the number of shares that will continue to vest shall be reduced to be proportionate to that portion of the year between grant date and termination date; and the Optionee shall have the right to exercise the Option at any time within the lesser of: (i) the term of the option, or (ii) a three (3) year period commencing on the day next following such termination, or one (1) year from the last date of vesting, whichever is greater; and</w:t>
      </w:r>
    </w:p>
    <w:p>
      <w:pPr>
        <w:spacing w:after="0" w:line="170" w:lineRule="exact"/>
        <w:rPr>
          <w:rFonts w:ascii="Arial" w:cs="Arial" w:eastAsia="Arial" w:hAnsi="Arial"/>
          <w:sz w:val="20"/>
          <w:szCs w:val="20"/>
          <w:color w:val="auto"/>
        </w:rPr>
      </w:pPr>
    </w:p>
    <w:p>
      <w:pPr>
        <w:jc w:val="both"/>
        <w:ind w:firstLine="882"/>
        <w:spacing w:after="0" w:line="238" w:lineRule="auto"/>
        <w:tabs>
          <w:tab w:leader="none" w:pos="1739" w:val="left"/>
        </w:tabs>
        <w:numPr>
          <w:ilvl w:val="0"/>
          <w:numId w:val="248"/>
        </w:numPr>
        <w:rPr>
          <w:rFonts w:ascii="Arial" w:cs="Arial" w:eastAsia="Arial" w:hAnsi="Arial"/>
          <w:sz w:val="21"/>
          <w:szCs w:val="21"/>
          <w:color w:val="auto"/>
        </w:rPr>
      </w:pPr>
      <w:r>
        <w:rPr>
          <w:rFonts w:ascii="Arial" w:cs="Arial" w:eastAsia="Arial" w:hAnsi="Arial"/>
          <w:sz w:val="21"/>
          <w:szCs w:val="21"/>
          <w:color w:val="auto"/>
        </w:rPr>
        <w:t>If the Optionee is an Executive Officer, the Optionee’s employment terminates, for reason other than cause (as defined below), at age 65 or older and the Optionee has at least ten years of service with the Company, any unvested shares shall continue to vest according to the terms of the Option and the Optionee shall have the right to exercise the Option according to the terms of the Option; and</w:t>
      </w:r>
    </w:p>
    <w:p>
      <w:pPr>
        <w:spacing w:after="0" w:line="179" w:lineRule="exact"/>
        <w:rPr>
          <w:rFonts w:ascii="Arial" w:cs="Arial" w:eastAsia="Arial" w:hAnsi="Arial"/>
          <w:sz w:val="21"/>
          <w:szCs w:val="21"/>
          <w:color w:val="auto"/>
        </w:rPr>
      </w:pPr>
    </w:p>
    <w:p>
      <w:pPr>
        <w:jc w:val="both"/>
        <w:ind w:firstLine="882"/>
        <w:spacing w:after="0" w:line="248" w:lineRule="auto"/>
        <w:tabs>
          <w:tab w:leader="none" w:pos="172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If the Optionee’s employment terminates by reason of death or “long-term disability”, as defined below, of the Optionee, the Option shall vest in full, and the Optionee or his/her personal representatives, heirs, legatees or distributees shall have the right to exercise the Option granted hereunder at any time within the lesser of: (1) the term of the Option or, (ii) a three (3) year period commencing on the date next following such termination, but in either case, never less than 12 months from the date of such termination. For purposes of this Stock Option Agreement, “long-term disability”shall mean that the Optionee is unable to engage in any substantial gainful activity by reason of any medically determinable physical or mental impairment that can be expected to result in death or can be expected to last for a continuous period of not less than twelve months; and</w:t>
      </w:r>
    </w:p>
    <w:p>
      <w:pPr>
        <w:spacing w:after="0" w:line="171" w:lineRule="exact"/>
        <w:rPr>
          <w:rFonts w:ascii="Arial" w:cs="Arial" w:eastAsia="Arial" w:hAnsi="Arial"/>
          <w:sz w:val="20"/>
          <w:szCs w:val="20"/>
          <w:color w:val="auto"/>
        </w:rPr>
      </w:pPr>
    </w:p>
    <w:p>
      <w:pPr>
        <w:jc w:val="both"/>
        <w:ind w:firstLine="882"/>
        <w:spacing w:after="0" w:line="238" w:lineRule="auto"/>
        <w:tabs>
          <w:tab w:leader="none" w:pos="1739" w:val="left"/>
        </w:tabs>
        <w:numPr>
          <w:ilvl w:val="0"/>
          <w:numId w:val="248"/>
        </w:numPr>
        <w:rPr>
          <w:rFonts w:ascii="Arial" w:cs="Arial" w:eastAsia="Arial" w:hAnsi="Arial"/>
          <w:sz w:val="21"/>
          <w:szCs w:val="21"/>
          <w:color w:val="auto"/>
        </w:rPr>
      </w:pPr>
      <w:r>
        <w:rPr>
          <w:rFonts w:ascii="Arial" w:cs="Arial" w:eastAsia="Arial" w:hAnsi="Arial"/>
          <w:sz w:val="21"/>
          <w:szCs w:val="21"/>
          <w:color w:val="auto"/>
        </w:rPr>
        <w:t>If the Optionee’s employment terminates by reason of a workforce reduction, any unvested Shares shall continue to vest according to the terms of the option except that if such termination occurs within one year from grant date, the number of shares that will continue to vest shall be reduced to be proportionate to that portion of the year between the grant date and termination date; and the Optionee shall have the right to exercise the Option granted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66" w:name="page167"/>
    <w:bookmarkEnd w:id="166"/>
    <w:p>
      <w:pPr>
        <w:spacing w:after="0" w:line="253" w:lineRule="auto"/>
        <w:rPr>
          <w:sz w:val="20"/>
          <w:szCs w:val="20"/>
          <w:color w:val="auto"/>
        </w:rPr>
      </w:pPr>
      <w:r>
        <w:rPr>
          <w:rFonts w:ascii="Arial" w:cs="Arial" w:eastAsia="Arial" w:hAnsi="Arial"/>
          <w:sz w:val="21"/>
          <w:szCs w:val="21"/>
          <w:color w:val="auto"/>
        </w:rPr>
        <w:t>at any time within the lesser of: (i) the term of the Option, or (ii) a three(3) year period commencing on the day next following such termination, or one (1) year from the last date of vesting, whichever is greater; and</w:t>
      </w:r>
    </w:p>
    <w:p>
      <w:pPr>
        <w:spacing w:after="0" w:line="163" w:lineRule="exact"/>
        <w:rPr>
          <w:sz w:val="20"/>
          <w:szCs w:val="20"/>
          <w:color w:val="auto"/>
        </w:rPr>
      </w:pPr>
    </w:p>
    <w:p>
      <w:pPr>
        <w:jc w:val="both"/>
        <w:ind w:firstLine="882"/>
        <w:spacing w:after="0" w:line="251" w:lineRule="auto"/>
        <w:tabs>
          <w:tab w:leader="none" w:pos="1728" w:val="left"/>
        </w:tabs>
        <w:numPr>
          <w:ilvl w:val="0"/>
          <w:numId w:val="249"/>
        </w:numPr>
        <w:rPr>
          <w:rFonts w:ascii="Arial" w:cs="Arial" w:eastAsia="Arial" w:hAnsi="Arial"/>
          <w:sz w:val="20"/>
          <w:szCs w:val="20"/>
          <w:color w:val="auto"/>
        </w:rPr>
      </w:pPr>
      <w:r>
        <w:rPr>
          <w:rFonts w:ascii="Arial" w:cs="Arial" w:eastAsia="Arial" w:hAnsi="Arial"/>
          <w:sz w:val="20"/>
          <w:szCs w:val="20"/>
          <w:color w:val="auto"/>
        </w:rPr>
        <w:t>If the Optionee’s employment terminates voluntarily other than as provided for in Sections (a), (b), (c) or (d) above, or as a result of involuntary termination other than for cause or as provided for in Sections (c) and (d) above, no additional Shares shall vest for the benefit of the Optionee after the termination date, and the Option shall be exercisable by the Optionee, with respect to those Shares which had already vested only, within a three (3) month period after such termination or the term of the Option, whichever is less, but only to the extent it was exercisable immediately prior to the date of termination; and</w:t>
      </w:r>
    </w:p>
    <w:p>
      <w:pPr>
        <w:spacing w:after="0" w:line="160" w:lineRule="exact"/>
        <w:rPr>
          <w:rFonts w:ascii="Arial" w:cs="Arial" w:eastAsia="Arial" w:hAnsi="Arial"/>
          <w:sz w:val="20"/>
          <w:szCs w:val="20"/>
          <w:color w:val="auto"/>
        </w:rPr>
      </w:pPr>
    </w:p>
    <w:p>
      <w:pPr>
        <w:jc w:val="both"/>
        <w:ind w:firstLine="882"/>
        <w:spacing w:after="0" w:line="248" w:lineRule="auto"/>
        <w:tabs>
          <w:tab w:leader="none" w:pos="1705"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If the Optionee’s employment is terminated for </w:t>
      </w:r>
      <w:r>
        <w:rPr>
          <w:rFonts w:ascii="Arial" w:cs="Arial" w:eastAsia="Arial" w:hAnsi="Arial"/>
          <w:sz w:val="20"/>
          <w:szCs w:val="20"/>
          <w:b w:val="1"/>
          <w:bCs w:val="1"/>
          <w:color w:val="auto"/>
        </w:rPr>
        <w:t>“</w:t>
      </w:r>
      <w:r>
        <w:rPr>
          <w:rFonts w:ascii="Arial" w:cs="Arial" w:eastAsia="Arial" w:hAnsi="Arial"/>
          <w:sz w:val="20"/>
          <w:szCs w:val="20"/>
          <w:color w:val="auto"/>
        </w:rPr>
        <w:t>cause</w:t>
      </w:r>
      <w:r>
        <w:rPr>
          <w:rFonts w:ascii="Arial" w:cs="Arial" w:eastAsia="Arial" w:hAnsi="Arial"/>
          <w:sz w:val="20"/>
          <w:szCs w:val="20"/>
          <w:b w:val="1"/>
          <w:bCs w:val="1"/>
          <w:color w:val="auto"/>
        </w:rPr>
        <w:t>”</w:t>
      </w:r>
      <w:r>
        <w:rPr>
          <w:rFonts w:ascii="Arial" w:cs="Arial" w:eastAsia="Arial" w:hAnsi="Arial"/>
          <w:sz w:val="20"/>
          <w:szCs w:val="20"/>
          <w:color w:val="auto"/>
        </w:rPr>
        <w:t xml:space="preserve">, the Option shall terminate and no longer be exercisable for either the vested or the unvested Shares. For purposes of the Option, “cause” shall mean the Optionee has (1) engaged in gross negligence or willful misconduct in the performance of his or her duties and responsibilities respecting his or her position with the Company, (2) willfully refused, without proper legal reason, to perform the duties and responsibilities respecting his or her position with the Company, (3) breached any material policy or code of conduct established by the Company and affecting the Optionee, (4) engaged in conduct that Optionee knows or should know is materially injurious to the Company, (5) been convicted of a felony or a misdemeanor involving moral turpitude, or (6) engaged in an act of dishonest or impropriety which materially impairs the Optionee’s effectiveness in his </w:t>
      </w:r>
      <w:r>
        <w:rPr>
          <w:rFonts w:ascii="Arial" w:cs="Arial" w:eastAsia="Arial" w:hAnsi="Arial"/>
          <w:sz w:val="20"/>
          <w:szCs w:val="20"/>
          <w:b w:val="1"/>
          <w:bCs w:val="1"/>
          <w:color w:val="auto"/>
        </w:rPr>
        <w:t>or her</w:t>
      </w:r>
      <w:r>
        <w:rPr>
          <w:rFonts w:ascii="Arial" w:cs="Arial" w:eastAsia="Arial" w:hAnsi="Arial"/>
          <w:sz w:val="20"/>
          <w:szCs w:val="20"/>
          <w:color w:val="auto"/>
        </w:rPr>
        <w:t xml:space="preserve"> position with the Company.</w:t>
      </w:r>
    </w:p>
    <w:p>
      <w:pPr>
        <w:spacing w:after="0" w:line="166" w:lineRule="exact"/>
        <w:rPr>
          <w:sz w:val="20"/>
          <w:szCs w:val="20"/>
          <w:color w:val="auto"/>
        </w:rPr>
      </w:pPr>
    </w:p>
    <w:p>
      <w:pPr>
        <w:ind w:left="1760" w:hanging="878"/>
        <w:spacing w:after="0"/>
        <w:tabs>
          <w:tab w:leader="none" w:pos="1760" w:val="left"/>
        </w:tabs>
        <w:numPr>
          <w:ilvl w:val="0"/>
          <w:numId w:val="2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p>
    <w:p>
      <w:pPr>
        <w:spacing w:after="0" w:line="204" w:lineRule="exact"/>
        <w:rPr>
          <w:sz w:val="20"/>
          <w:szCs w:val="20"/>
          <w:color w:val="auto"/>
        </w:rPr>
      </w:pPr>
    </w:p>
    <w:p>
      <w:pPr>
        <w:ind w:firstLine="882"/>
        <w:spacing w:after="0" w:line="253" w:lineRule="auto"/>
        <w:tabs>
          <w:tab w:leader="none" w:pos="1728" w:val="left"/>
        </w:tabs>
        <w:numPr>
          <w:ilvl w:val="1"/>
          <w:numId w:val="251"/>
        </w:numPr>
        <w:rPr>
          <w:rFonts w:ascii="Arial" w:cs="Arial" w:eastAsia="Arial" w:hAnsi="Arial"/>
          <w:sz w:val="21"/>
          <w:szCs w:val="21"/>
          <w:color w:val="auto"/>
        </w:rPr>
      </w:pPr>
      <w:r>
        <w:rPr>
          <w:rFonts w:ascii="Arial" w:cs="Arial" w:eastAsia="Arial" w:hAnsi="Arial"/>
          <w:sz w:val="21"/>
          <w:szCs w:val="21"/>
          <w:color w:val="auto"/>
        </w:rPr>
        <w:t>Notwithstanding Section 11.2 of the Plan, upon a “Change of Control” of the Company, the Option granted hereunder shall immediately and fully vest and become fully exercisable.</w:t>
      </w:r>
    </w:p>
    <w:p>
      <w:pPr>
        <w:spacing w:after="0" w:line="162" w:lineRule="exact"/>
        <w:rPr>
          <w:rFonts w:ascii="Arial" w:cs="Arial" w:eastAsia="Arial" w:hAnsi="Arial"/>
          <w:sz w:val="21"/>
          <w:szCs w:val="21"/>
          <w:color w:val="auto"/>
        </w:rPr>
      </w:pPr>
    </w:p>
    <w:p>
      <w:pPr>
        <w:ind w:left="1740" w:hanging="858"/>
        <w:spacing w:after="0"/>
        <w:tabs>
          <w:tab w:leader="none" w:pos="1740" w:val="left"/>
        </w:tabs>
        <w:numPr>
          <w:ilvl w:val="1"/>
          <w:numId w:val="251"/>
        </w:numPr>
        <w:rPr>
          <w:rFonts w:ascii="Arial" w:cs="Arial" w:eastAsia="Arial" w:hAnsi="Arial"/>
          <w:sz w:val="21"/>
          <w:szCs w:val="21"/>
          <w:color w:val="auto"/>
        </w:rPr>
      </w:pPr>
      <w:r>
        <w:rPr>
          <w:rFonts w:ascii="Arial" w:cs="Arial" w:eastAsia="Arial" w:hAnsi="Arial"/>
          <w:sz w:val="21"/>
          <w:szCs w:val="21"/>
          <w:color w:val="auto"/>
        </w:rPr>
        <w:t>“Change of Control” for the purposes of this Option, shall mean the earliest date on which:</w:t>
      </w:r>
    </w:p>
    <w:p>
      <w:pPr>
        <w:spacing w:after="0" w:line="197" w:lineRule="exact"/>
        <w:rPr>
          <w:rFonts w:ascii="Arial" w:cs="Arial" w:eastAsia="Arial" w:hAnsi="Arial"/>
          <w:sz w:val="21"/>
          <w:szCs w:val="21"/>
          <w:color w:val="auto"/>
        </w:rPr>
      </w:pPr>
    </w:p>
    <w:p>
      <w:pPr>
        <w:jc w:val="both"/>
        <w:ind w:left="1740" w:hanging="871"/>
        <w:spacing w:after="0" w:line="238" w:lineRule="auto"/>
        <w:tabs>
          <w:tab w:leader="none" w:pos="174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179" w:lineRule="exact"/>
        <w:rPr>
          <w:rFonts w:ascii="Arial" w:cs="Arial" w:eastAsia="Arial" w:hAnsi="Arial"/>
          <w:sz w:val="21"/>
          <w:szCs w:val="21"/>
          <w:color w:val="auto"/>
        </w:rPr>
      </w:pPr>
    </w:p>
    <w:p>
      <w:pPr>
        <w:jc w:val="both"/>
        <w:ind w:left="1740" w:hanging="871"/>
        <w:spacing w:after="0" w:line="237" w:lineRule="auto"/>
        <w:tabs>
          <w:tab w:leader="none" w:pos="174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67" w:name="page168"/>
    <w:bookmarkEnd w:id="167"/>
    <w:p>
      <w:pPr>
        <w:jc w:val="both"/>
        <w:ind w:left="1740" w:hanging="871"/>
        <w:spacing w:after="0" w:line="261" w:lineRule="auto"/>
        <w:tabs>
          <w:tab w:leader="none" w:pos="174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less than 50%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continuity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w:t>
      </w:r>
    </w:p>
    <w:p>
      <w:pPr>
        <w:spacing w:after="0" w:line="156" w:lineRule="exact"/>
        <w:rPr>
          <w:rFonts w:ascii="Arial" w:cs="Arial" w:eastAsia="Arial" w:hAnsi="Arial"/>
          <w:sz w:val="19"/>
          <w:szCs w:val="19"/>
          <w:color w:val="auto"/>
        </w:rPr>
      </w:pPr>
    </w:p>
    <w:p>
      <w:pPr>
        <w:ind w:left="1740" w:hanging="871"/>
        <w:spacing w:after="0" w:line="253" w:lineRule="auto"/>
        <w:tabs>
          <w:tab w:leader="none" w:pos="174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a tender offer or exchange offer is made and consummated by a Person other than the Company for the ownership of 20% or more of the voting securities of the Company then outstanding; or</w:t>
      </w:r>
    </w:p>
    <w:p>
      <w:pPr>
        <w:spacing w:after="0" w:line="162" w:lineRule="exact"/>
        <w:rPr>
          <w:rFonts w:ascii="Arial" w:cs="Arial" w:eastAsia="Arial" w:hAnsi="Arial"/>
          <w:sz w:val="21"/>
          <w:szCs w:val="21"/>
          <w:color w:val="auto"/>
        </w:rPr>
      </w:pPr>
    </w:p>
    <w:p>
      <w:pPr>
        <w:jc w:val="both"/>
        <w:ind w:left="1740" w:hanging="871"/>
        <w:spacing w:after="0" w:line="238" w:lineRule="auto"/>
        <w:tabs>
          <w:tab w:leader="none" w:pos="174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Participant, or a group of Persons which includes the Participant, acquiring more than 20%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1"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21"/>
          <w:szCs w:val="21"/>
          <w:b w:val="1"/>
          <w:bCs w:val="1"/>
          <w:color w:val="auto"/>
        </w:rPr>
        <w:t>11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15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12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personally or by mailing the same by registered or certified mail postage prepaid, to the other party. Notice given by mail as below set out shall be deemed delivered at the time and on the date the same is postmarked.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60"/>
        <w:spacing w:after="0"/>
        <w:rPr>
          <w:sz w:val="20"/>
          <w:szCs w:val="20"/>
          <w:color w:val="auto"/>
        </w:rPr>
      </w:pPr>
      <w:r>
        <w:rPr>
          <w:rFonts w:ascii="Arial" w:cs="Arial" w:eastAsia="Arial" w:hAnsi="Arial"/>
          <w:sz w:val="21"/>
          <w:szCs w:val="21"/>
          <w:color w:val="auto"/>
        </w:rPr>
        <w:t>Telephone: 713-513-3322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29424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68" w:name="page169"/>
    <w:bookmarkEnd w:id="168"/>
    <w:p>
      <w:pPr>
        <w:ind w:left="1760" w:hanging="878"/>
        <w:spacing w:after="0"/>
        <w:tabs>
          <w:tab w:leader="none" w:pos="1760" w:val="left"/>
        </w:tabs>
        <w:numPr>
          <w:ilvl w:val="0"/>
          <w:numId w:val="2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firstLine="882"/>
        <w:spacing w:after="0" w:line="247" w:lineRule="auto"/>
        <w:tabs>
          <w:tab w:leader="none" w:pos="1757" w:val="left"/>
        </w:tabs>
        <w:numPr>
          <w:ilvl w:val="0"/>
          <w:numId w:val="2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Paragraph 9 hereof, this Agreement shall inure to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 (i) by will or the laws of descent and distribution; or (ii) pursuant to the qualified domestic relations order (as defined by the Internal Revenue Code); or (iii) with respect to Awards of nonqualified stock options, by transfer by an Optionee to a member of the Optionee’s Immediate Family, or to a partnership or limited liability company whose only partners or shareholders are the Optionee and members of his Immediate Family. However, any Award transferred shall continue to be subject to all terms and conditions contained in the Award Agreement.</w:t>
      </w:r>
    </w:p>
    <w:p>
      <w:pPr>
        <w:spacing w:after="0" w:line="169" w:lineRule="exact"/>
        <w:rPr>
          <w:rFonts w:ascii="Arial" w:cs="Arial" w:eastAsia="Arial" w:hAnsi="Arial"/>
          <w:sz w:val="20"/>
          <w:szCs w:val="20"/>
          <w:b w:val="1"/>
          <w:bCs w:val="1"/>
          <w:color w:val="auto"/>
        </w:rPr>
      </w:pPr>
    </w:p>
    <w:p>
      <w:pPr>
        <w:ind w:left="1760" w:hanging="878"/>
        <w:spacing w:after="0"/>
        <w:tabs>
          <w:tab w:leader="none" w:pos="1760" w:val="left"/>
        </w:tabs>
        <w:numPr>
          <w:ilvl w:val="0"/>
          <w:numId w:val="2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firstLine="882"/>
        <w:spacing w:after="0" w:line="238" w:lineRule="auto"/>
        <w:tabs>
          <w:tab w:leader="none" w:pos="1728" w:val="left"/>
        </w:tabs>
        <w:numPr>
          <w:ilvl w:val="1"/>
          <w:numId w:val="255"/>
        </w:numPr>
        <w:rPr>
          <w:rFonts w:ascii="Arial" w:cs="Arial" w:eastAsia="Arial" w:hAnsi="Arial"/>
          <w:sz w:val="21"/>
          <w:szCs w:val="21"/>
          <w:color w:val="auto"/>
        </w:rPr>
      </w:pPr>
      <w:r>
        <w:rPr>
          <w:rFonts w:ascii="Arial" w:cs="Arial" w:eastAsia="Arial" w:hAnsi="Arial"/>
          <w:sz w:val="21"/>
          <w:szCs w:val="21"/>
          <w:color w:val="auto"/>
        </w:rPr>
        <w:t>With respect to the cash payment under the Plan, Optionee agrees that as a condition to the exercise of the Option granted hereunder, any cash payment shall be reduced by, or shall include such additional amount required to be paid or withheld with respect thereto under all applicable federal, state and local taxes and any other law or regulation that may be in effect as of the date of each such payment (“Tax Amounts”).</w:t>
      </w:r>
    </w:p>
    <w:p>
      <w:pPr>
        <w:spacing w:after="0" w:line="179" w:lineRule="exact"/>
        <w:rPr>
          <w:rFonts w:ascii="Arial" w:cs="Arial" w:eastAsia="Arial" w:hAnsi="Arial"/>
          <w:sz w:val="21"/>
          <w:szCs w:val="21"/>
          <w:color w:val="auto"/>
        </w:rPr>
      </w:pPr>
    </w:p>
    <w:p>
      <w:pPr>
        <w:jc w:val="both"/>
        <w:ind w:firstLine="882"/>
        <w:spacing w:after="0" w:line="242" w:lineRule="auto"/>
        <w:tabs>
          <w:tab w:leader="none" w:pos="1739" w:val="left"/>
        </w:tabs>
        <w:numPr>
          <w:ilvl w:val="1"/>
          <w:numId w:val="255"/>
        </w:numPr>
        <w:rPr>
          <w:rFonts w:ascii="Arial" w:cs="Arial" w:eastAsia="Arial" w:hAnsi="Arial"/>
          <w:sz w:val="21"/>
          <w:szCs w:val="21"/>
          <w:color w:val="auto"/>
        </w:rPr>
      </w:pPr>
      <w:r>
        <w:rPr>
          <w:rFonts w:ascii="Arial" w:cs="Arial" w:eastAsia="Arial" w:hAnsi="Arial"/>
          <w:sz w:val="21"/>
          <w:szCs w:val="21"/>
          <w:color w:val="auto"/>
        </w:rPr>
        <w:t>With respect to issuance of Shares pursuant to the exercise of the Option granted hereunder, no issuance shall be made until appropriate arrangements have been made for the payment of any Tax Amounts that may be required to be paid or withheld with respect thereto, and such arrangements can be accomplished by:</w:t>
      </w:r>
    </w:p>
    <w:p>
      <w:pPr>
        <w:spacing w:after="0" w:line="173" w:lineRule="exact"/>
        <w:rPr>
          <w:rFonts w:ascii="Arial" w:cs="Arial" w:eastAsia="Arial" w:hAnsi="Arial"/>
          <w:sz w:val="21"/>
          <w:szCs w:val="21"/>
          <w:color w:val="auto"/>
        </w:rPr>
      </w:pPr>
    </w:p>
    <w:p>
      <w:pPr>
        <w:ind w:left="1740" w:hanging="871"/>
        <w:spacing w:after="0" w:line="305" w:lineRule="auto"/>
        <w:tabs>
          <w:tab w:leader="none" w:pos="174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directing the Company to retain Shares (up to the Optionee’s minimum required tax withholding rate or such other rate that will not trigger a negative accounting impact) otherwise deliverable in connection with the Award;</w:t>
      </w:r>
    </w:p>
    <w:p>
      <w:pPr>
        <w:spacing w:after="0" w:line="116" w:lineRule="exact"/>
        <w:rPr>
          <w:rFonts w:ascii="Arial" w:cs="Arial" w:eastAsia="Arial" w:hAnsi="Arial"/>
          <w:sz w:val="19"/>
          <w:szCs w:val="19"/>
          <w:color w:val="auto"/>
        </w:rPr>
      </w:pPr>
    </w:p>
    <w:p>
      <w:pPr>
        <w:ind w:left="1740" w:hanging="871"/>
        <w:spacing w:after="0"/>
        <w:tabs>
          <w:tab w:leader="none" w:pos="174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payment of the Required Tax amounts to the Company; or</w:t>
      </w:r>
    </w:p>
    <w:p>
      <w:pPr>
        <w:spacing w:after="0" w:line="197" w:lineRule="exact"/>
        <w:rPr>
          <w:rFonts w:ascii="Arial" w:cs="Arial" w:eastAsia="Arial" w:hAnsi="Arial"/>
          <w:sz w:val="21"/>
          <w:szCs w:val="21"/>
          <w:color w:val="auto"/>
        </w:rPr>
      </w:pPr>
    </w:p>
    <w:p>
      <w:pPr>
        <w:jc w:val="both"/>
        <w:ind w:left="1740" w:hanging="871"/>
        <w:spacing w:after="0" w:line="272" w:lineRule="auto"/>
        <w:tabs>
          <w:tab w:leader="none" w:pos="174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if Optionee is a current employee or Director of the Company, the Optionee may satisfy the obligation for payment of the required Tax Amounts by tendering previously acquired Shares (either actually or by attestation, valued at their then “Fair Market Value” as defined by the Plan) that have been owned for a period of at least six months (or such other period necessary to avoid accounting charges against the Company’s earnings).</w:t>
      </w:r>
    </w:p>
    <w:p>
      <w:pPr>
        <w:spacing w:after="0" w:line="146"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_______________________________</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52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1"/>
          <w:szCs w:val="21"/>
          <w:color w:val="auto"/>
        </w:rPr>
        <w:t>Exhibit 10.43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INCENTIVE STOCK OPTION AGREEMENT</w:t>
      </w:r>
    </w:p>
    <w:p>
      <w:pPr>
        <w:spacing w:after="0" w:line="174" w:lineRule="exact"/>
        <w:rPr>
          <w:sz w:val="20"/>
          <w:szCs w:val="20"/>
          <w:color w:val="auto"/>
        </w:rPr>
      </w:pPr>
    </w:p>
    <w:tbl>
      <w:tblPr>
        <w:tblLayout w:type="fixed"/>
        <w:tblInd w:w="4520" w:type="dxa"/>
        <w:tblCellMar>
          <w:top w:w="0" w:type="dxa"/>
          <w:left w:w="0" w:type="dxa"/>
          <w:bottom w:w="0" w:type="dxa"/>
          <w:right w:w="0" w:type="dxa"/>
        </w:tblCellMar>
      </w:tblPr>
      <w:tr>
        <w:trPr>
          <w:trHeight w:val="270"/>
        </w:trPr>
        <w:tc>
          <w:tcPr>
            <w:tcW w:w="1660" w:type="dxa"/>
            <w:vAlign w:val="bottom"/>
          </w:tcPr>
          <w:p>
            <w:pPr>
              <w:spacing w:after="0"/>
              <w:rPr>
                <w:sz w:val="20"/>
                <w:szCs w:val="20"/>
                <w:color w:val="auto"/>
              </w:rPr>
            </w:pPr>
            <w:r>
              <w:rPr>
                <w:rFonts w:ascii="Arial" w:cs="Arial" w:eastAsia="Arial" w:hAnsi="Arial"/>
                <w:sz w:val="21"/>
                <w:szCs w:val="21"/>
                <w:b w:val="1"/>
                <w:bCs w:val="1"/>
                <w:color w:val="auto"/>
              </w:rPr>
              <w:t>Effective Date: [</w:t>
            </w:r>
          </w:p>
        </w:tc>
        <w:tc>
          <w:tcPr>
            <w:tcW w:w="720" w:type="dxa"/>
            <w:vAlign w:val="bottom"/>
          </w:tcPr>
          <w:p>
            <w:pPr>
              <w:jc w:val="right"/>
              <w:spacing w:after="0"/>
              <w:rPr>
                <w:sz w:val="20"/>
                <w:szCs w:val="20"/>
                <w:color w:val="auto"/>
              </w:rPr>
            </w:pPr>
            <w:r>
              <w:rPr>
                <w:rFonts w:ascii="Arial" w:cs="Arial" w:eastAsia="Arial" w:hAnsi="Arial"/>
                <w:sz w:val="21"/>
                <w:szCs w:val="21"/>
                <w:b w:val="1"/>
                <w:bCs w:val="1"/>
                <w:color w:val="auto"/>
              </w:rPr>
              <w:t>], 2011</w:t>
            </w:r>
          </w:p>
        </w:tc>
      </w:tr>
    </w:tbl>
    <w:p>
      <w:pPr>
        <w:spacing w:after="0" w:line="169" w:lineRule="exact"/>
        <w:rPr>
          <w:sz w:val="20"/>
          <w:szCs w:val="20"/>
          <w:color w:val="auto"/>
        </w:rPr>
      </w:pPr>
    </w:p>
    <w:p>
      <w:pPr>
        <w:jc w:val="both"/>
        <w:ind w:firstLine="882"/>
        <w:spacing w:after="0" w:line="275" w:lineRule="auto"/>
        <w:tabs>
          <w:tab w:leader="none" w:pos="1653"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As an additional incentive and inducement to you to remain in the employment of the Company or one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direct or indirect subsidiaries and to acquire an ownership position in the Company, thereby aligning your interests with those of the Company and its stockholders, the Company hereby grants to you, the “Optionee”, the option to purchase common stock of the Company from the Company at the times and upon the terms and conditions set forth on the attached Notice of Grant of Stock Options and Option Agreement (the “Agreement”). If Optionee completes, signs, and returns one copy of this Agreement to the Company in Houston, Texas,</w:t>
      </w:r>
    </w:p>
    <w:p>
      <w:pPr>
        <w:spacing w:after="0" w:line="1" w:lineRule="exact"/>
        <w:rPr>
          <w:sz w:val="20"/>
          <w:szCs w:val="20"/>
          <w:color w:val="auto"/>
        </w:rPr>
      </w:pPr>
    </w:p>
    <w:p>
      <w:pPr>
        <w:spacing w:after="0"/>
        <w:tabs>
          <w:tab w:leader="none" w:pos="4640" w:val="left"/>
        </w:tabs>
        <w:rPr>
          <w:sz w:val="20"/>
          <w:szCs w:val="20"/>
          <w:color w:val="auto"/>
        </w:rPr>
      </w:pPr>
      <w:r>
        <w:rPr>
          <w:rFonts w:ascii="Arial" w:cs="Arial" w:eastAsia="Arial" w:hAnsi="Arial"/>
          <w:sz w:val="21"/>
          <w:szCs w:val="21"/>
          <w:color w:val="auto"/>
        </w:rPr>
        <w:t xml:space="preserve">U.S.A., this Agreement will become effective as of </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color w:val="auto"/>
        </w:rPr>
        <w:t>], 2011</w:t>
      </w:r>
      <w:r>
        <w:rPr>
          <w:rFonts w:ascii="Arial" w:cs="Arial" w:eastAsia="Arial" w:hAnsi="Arial"/>
          <w:sz w:val="18"/>
          <w:szCs w:val="18"/>
          <w:color w:val="auto"/>
        </w:rPr>
        <w:t>.</w:t>
      </w:r>
    </w:p>
    <w:p>
      <w:pPr>
        <w:spacing w:after="0" w:line="174" w:lineRule="exact"/>
        <w:rPr>
          <w:sz w:val="20"/>
          <w:szCs w:val="20"/>
          <w:color w:val="auto"/>
        </w:rPr>
      </w:pPr>
    </w:p>
    <w:p>
      <w:pPr>
        <w:jc w:val="both"/>
        <w:ind w:firstLine="882"/>
        <w:spacing w:after="0" w:line="245" w:lineRule="auto"/>
        <w:tabs>
          <w:tab w:leader="none" w:pos="1653" w:val="left"/>
        </w:tabs>
        <w:numPr>
          <w:ilvl w:val="0"/>
          <w:numId w:val="2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2005 Equity Incentive Plan </w:t>
      </w:r>
      <w:r>
        <w:rPr>
          <w:rFonts w:ascii="Arial" w:cs="Arial" w:eastAsia="Arial" w:hAnsi="Arial"/>
          <w:sz w:val="21"/>
          <w:szCs w:val="21"/>
          <w:color w:val="auto"/>
        </w:rPr>
        <w:t>(the "Plan"), a copy of which is attached hereto, and in the event there is a conflict between the terms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Agreement, the terms of the Plan shall control.</w:t>
      </w:r>
    </w:p>
    <w:p>
      <w:pPr>
        <w:spacing w:after="0" w:line="164" w:lineRule="exact"/>
        <w:rPr>
          <w:rFonts w:ascii="Arial" w:cs="Arial" w:eastAsia="Arial" w:hAnsi="Arial"/>
          <w:sz w:val="21"/>
          <w:szCs w:val="21"/>
          <w:b w:val="1"/>
          <w:bCs w:val="1"/>
          <w:color w:val="auto"/>
        </w:rPr>
      </w:pPr>
    </w:p>
    <w:p>
      <w:pPr>
        <w:ind w:firstLine="882"/>
        <w:spacing w:after="0" w:line="259" w:lineRule="auto"/>
        <w:tabs>
          <w:tab w:leader="none" w:pos="1653" w:val="left"/>
        </w:tabs>
        <w:numPr>
          <w:ilvl w:val="0"/>
          <w:numId w:val="2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Purchase Price</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purchase price of the Shares of the Company’s common stock subject to the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50" w:lineRule="exact"/>
        <w:rPr>
          <w:rFonts w:ascii="Arial" w:cs="Arial" w:eastAsia="Arial" w:hAnsi="Arial"/>
          <w:sz w:val="21"/>
          <w:szCs w:val="21"/>
          <w:b w:val="1"/>
          <w:bCs w:val="1"/>
          <w:color w:val="auto"/>
        </w:rPr>
      </w:pPr>
    </w:p>
    <w:p>
      <w:pPr>
        <w:ind w:left="1660" w:hanging="778"/>
        <w:spacing w:after="0"/>
        <w:tabs>
          <w:tab w:leader="none" w:pos="16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granted pursuant to the Agreement (“Option”) may be exercised, in whole or in part, but only as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to the number of Shares as to which the right to exercise has vested at the time of exercise, during the period beginning </w:t>
      </w:r>
      <w:r>
        <w:rPr>
          <w:rFonts w:ascii="Arial" w:cs="Arial" w:eastAsia="Arial" w:hAnsi="Arial"/>
          <w:sz w:val="20"/>
          <w:szCs w:val="20"/>
          <w:b w:val="1"/>
          <w:bCs w:val="1"/>
          <w:color w:val="auto"/>
        </w:rPr>
        <w:t>[ ], 2012</w:t>
      </w:r>
      <w:r>
        <w:rPr>
          <w:rFonts w:ascii="Arial" w:cs="Arial" w:eastAsia="Arial" w:hAnsi="Arial"/>
          <w:sz w:val="20"/>
          <w:szCs w:val="20"/>
          <w:color w:val="auto"/>
        </w:rPr>
        <w:t xml:space="preserve"> (one year from the date on which it was granted), and ending </w:t>
      </w:r>
      <w:r>
        <w:rPr>
          <w:rFonts w:ascii="Arial" w:cs="Arial" w:eastAsia="Arial" w:hAnsi="Arial"/>
          <w:sz w:val="20"/>
          <w:szCs w:val="20"/>
          <w:b w:val="1"/>
          <w:bCs w:val="1"/>
          <w:color w:val="auto"/>
        </w:rPr>
        <w:t>[ ], 2021</w:t>
      </w:r>
      <w:r>
        <w:rPr>
          <w:rFonts w:ascii="Arial" w:cs="Arial" w:eastAsia="Arial" w:hAnsi="Arial"/>
          <w:sz w:val="20"/>
          <w:szCs w:val="20"/>
          <w:color w:val="auto"/>
        </w:rPr>
        <w:t xml:space="preserve"> (ten years from the date on which Option was granted.)</w:t>
      </w:r>
    </w:p>
    <w:p>
      <w:pPr>
        <w:spacing w:after="0" w:line="15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herein may be exercised as to vested Shares, in whole or in part, from time</w:t>
      </w:r>
      <w:r>
        <w:rPr>
          <w:rFonts w:ascii="Arial" w:cs="Arial" w:eastAsia="Arial" w:hAnsi="Arial"/>
          <w:sz w:val="20"/>
          <w:szCs w:val="20"/>
          <w:b w:val="1"/>
          <w:bCs w:val="1"/>
          <w:color w:val="auto"/>
        </w:rPr>
        <w:t xml:space="preserve"> </w:t>
      </w:r>
      <w:r>
        <w:rPr>
          <w:rFonts w:ascii="Arial" w:cs="Arial" w:eastAsia="Arial" w:hAnsi="Arial"/>
          <w:sz w:val="20"/>
          <w:szCs w:val="20"/>
          <w:color w:val="auto"/>
        </w:rPr>
        <w:t>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 form substantially similar to the form attached hereto. Payment of the purchase price of the Shares that the Optionee desires to purchase shall be tendered in full at the time of giving notice by (i) cash, check, or bank draft payable and acceptable to the Company (or the equivalent thereof acceptable to the Company), (ii) Shares theretofore owned and held by the Optionee for more than six months, (iii) a combination of cash and Shares theretofore owned and held by the Optionee for more than six months, or (iv) 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 The notice shall state a requested delivery date for the Share certificate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46355</wp:posOffset>
            </wp:positionV>
            <wp:extent cx="729424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0" w:name="page171"/>
    <w:bookmarkEnd w:id="170"/>
    <w:p>
      <w:pPr>
        <w:jc w:val="both"/>
        <w:spacing w:after="0" w:line="238" w:lineRule="auto"/>
        <w:rPr>
          <w:sz w:val="20"/>
          <w:szCs w:val="20"/>
          <w:color w:val="auto"/>
        </w:rPr>
      </w:pPr>
      <w:r>
        <w:rPr>
          <w:rFonts w:ascii="Arial" w:cs="Arial" w:eastAsia="Arial" w:hAnsi="Arial"/>
          <w:sz w:val="21"/>
          <w:szCs w:val="21"/>
          <w:color w:val="auto"/>
        </w:rPr>
        <w:t>certificates at least fifteen days after the delivery of such notice; provided, however, that if the Optionee is exercising any Option granted pursuant to this Agreement in connection with a broker's transaction described in 5(iv) above, such notice shall state a requested date of delivery to the broker of such Share certificate or certificates which shall be no later than five business days after delivery of such notice or such greater or lesser time as may be required or permitted by law.</w:t>
      </w:r>
    </w:p>
    <w:p>
      <w:pPr>
        <w:spacing w:after="0" w:line="172" w:lineRule="exact"/>
        <w:rPr>
          <w:sz w:val="20"/>
          <w:szCs w:val="20"/>
          <w:color w:val="auto"/>
        </w:rPr>
      </w:pPr>
    </w:p>
    <w:p>
      <w:pPr>
        <w:jc w:val="both"/>
        <w:ind w:firstLine="882"/>
        <w:spacing w:after="0"/>
        <w:tabs>
          <w:tab w:leader="none" w:pos="1653"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Shares Subject to Listing and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 granted herein shall be subject to the listing,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qualification of the Shares subject to such Option upon any securities exchange or under any applicable state or federal law. This Option may not be exercised in whole or in part unless such listing, registration or qualification shall have been effected or obtained free of any conditions not reasonably acceptable to the Board of Directors.</w:t>
      </w:r>
    </w:p>
    <w:p>
      <w:pPr>
        <w:spacing w:after="0" w:line="171" w:lineRule="exact"/>
        <w:rPr>
          <w:rFonts w:ascii="Arial" w:cs="Arial" w:eastAsia="Arial" w:hAnsi="Arial"/>
          <w:sz w:val="21"/>
          <w:szCs w:val="21"/>
          <w:b w:val="1"/>
          <w:bCs w:val="1"/>
          <w:color w:val="auto"/>
        </w:rPr>
      </w:pPr>
    </w:p>
    <w:p>
      <w:pPr>
        <w:jc w:val="both"/>
        <w:ind w:firstLine="882"/>
        <w:spacing w:after="0" w:line="266" w:lineRule="auto"/>
        <w:tabs>
          <w:tab w:leader="none" w:pos="1653" w:val="left"/>
        </w:tabs>
        <w:numPr>
          <w:ilvl w:val="0"/>
          <w:numId w:val="2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in the Company's Capital 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subject to the Option and the price per Share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upon exercise of the Option shall be subject to the provisions of the Plan relating to adjustments to corporate capitalization, provided; however, that in the event of any reorganization, recapitalization, dividend or distribution (whether in cash, shares or other property, other than a regular cash dividend), stock split, reverse stock split or other similar change in corporate structure affecting the Shares subject to the Option, the Option shall be appropriately adjusted to reflect such change, but only so far as is necessary to maintain the proportionate interest of the Participant and preserve, without exceeding, the value of such Option.</w:t>
      </w:r>
    </w:p>
    <w:p>
      <w:pPr>
        <w:spacing w:after="0" w:line="149" w:lineRule="exact"/>
        <w:rPr>
          <w:rFonts w:ascii="Arial" w:cs="Arial" w:eastAsia="Arial" w:hAnsi="Arial"/>
          <w:sz w:val="19"/>
          <w:szCs w:val="19"/>
          <w:b w:val="1"/>
          <w:bCs w:val="1"/>
          <w:color w:val="auto"/>
        </w:rPr>
      </w:pPr>
    </w:p>
    <w:p>
      <w:pPr>
        <w:ind w:left="1660" w:hanging="778"/>
        <w:spacing w:after="0"/>
        <w:tabs>
          <w:tab w:leader="none" w:pos="1660" w:val="left"/>
        </w:tabs>
        <w:numPr>
          <w:ilvl w:val="0"/>
          <w:numId w:val="2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firstLine="882"/>
        <w:spacing w:after="0" w:line="246" w:lineRule="auto"/>
        <w:tabs>
          <w:tab w:leader="none" w:pos="1728"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The Optionee acknowledges that the Optionee is in possession of and has access to confidential information, including material relating to the business, products or services of the Company and that he or she will continue to have such possession and access during employment by the Company. The Optionee also acknowledges that the Company’s business, products and services are highly specialized and that it is essential that they be protected, and, accordingly, the Optionee agrees that as partial consideration for the Option granted herein that should the Optionee engage in any “Detrimental Activity,” as defined below, at any time during his or her employment or during a period of one year following his or her termination the Company shall be entitled to: (i) cancel any un-exercised portion of the Option; (ii) recover from the Optionee the value of any portion of the Option that has been exercised; (iii) seek injunctive relief against the Optionee; (iv) recover all damages, court costs, and attorneys’ fees incurred by the Company in enforcing the provisions of this Option grant, and (v) set-off any such sums to which the Company is entitled hereunder against any sum which may be owed the Optionee by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1" w:name="page172"/>
    <w:bookmarkEnd w:id="171"/>
    <w:p>
      <w:pPr>
        <w:jc w:val="both"/>
        <w:ind w:firstLine="882"/>
        <w:spacing w:after="0" w:line="257" w:lineRule="auto"/>
        <w:tabs>
          <w:tab w:leader="none" w:pos="1739" w:val="left"/>
        </w:tabs>
        <w:numPr>
          <w:ilvl w:val="1"/>
          <w:numId w:val="261"/>
        </w:numPr>
        <w:rPr>
          <w:rFonts w:ascii="Arial" w:cs="Arial" w:eastAsia="Arial" w:hAnsi="Arial"/>
          <w:sz w:val="19"/>
          <w:szCs w:val="19"/>
          <w:color w:val="auto"/>
        </w:rPr>
      </w:pPr>
      <w:r>
        <w:rPr>
          <w:rFonts w:ascii="Arial" w:cs="Arial" w:eastAsia="Arial" w:hAnsi="Arial"/>
          <w:sz w:val="19"/>
          <w:szCs w:val="19"/>
          <w:color w:val="auto"/>
        </w:rPr>
        <w:t>“Detrimental Activity” for the purposes hereof, other than with respect to involuntary termination without cause, termination in connection with or as a result of a “Change of Control” (as defined in Section 10(b) hereof), or termination following a reduction in job responsibilities, shall include: (i) rendering of services for any person or organization, or engaging directly or indirectly in any business, which is or becomes competitive with the Company; (ii) disclosing to anyone outside the Company, or using in other than the Company’s business, without prior written authorization from the Company, any confidential information including material relating to the business, products or services of the Company acquired by the Optionee during employment with the Company; (iii) soliciting, interfering, inducing, or attempting to cause any employee of the Company to leave his or her employment, whether done on Optionee’s own account or on account of any person, organization or business which is or becomes competitive with the Company, or</w:t>
      </w:r>
    </w:p>
    <w:p>
      <w:pPr>
        <w:spacing w:after="0" w:line="5" w:lineRule="exact"/>
        <w:rPr>
          <w:rFonts w:ascii="Arial" w:cs="Arial" w:eastAsia="Arial" w:hAnsi="Arial"/>
          <w:sz w:val="19"/>
          <w:szCs w:val="19"/>
          <w:color w:val="auto"/>
        </w:rPr>
      </w:pPr>
    </w:p>
    <w:p>
      <w:pPr>
        <w:jc w:val="both"/>
        <w:ind w:firstLine="3"/>
        <w:spacing w:after="0" w:line="251" w:lineRule="auto"/>
        <w:tabs>
          <w:tab w:leader="none" w:pos="35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directly or indirectly soliciting the trade or business of any customer of the Company. “Detrimental Activity” for the purposes hereof with respect to involuntary termination without cause, termination in connection with or as a result of a “Change of Control”, or termination following a reduction in job responsibilities, shall include only part (ii) of the preceding sentence.</w:t>
      </w:r>
    </w:p>
    <w:p>
      <w:pPr>
        <w:spacing w:after="0" w:line="159" w:lineRule="exact"/>
        <w:rPr>
          <w:sz w:val="20"/>
          <w:szCs w:val="20"/>
          <w:color w:val="auto"/>
        </w:rPr>
      </w:pPr>
    </w:p>
    <w:p>
      <w:pPr>
        <w:ind w:left="780" w:hanging="777"/>
        <w:spacing w:after="0"/>
        <w:tabs>
          <w:tab w:leader="none" w:pos="780" w:val="left"/>
        </w:tabs>
        <w:numPr>
          <w:ilvl w:val="0"/>
          <w:numId w:val="26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3" w:lineRule="exact"/>
        <w:rPr>
          <w:rFonts w:ascii="Arial" w:cs="Arial" w:eastAsia="Arial" w:hAnsi="Arial"/>
          <w:sz w:val="21"/>
          <w:szCs w:val="21"/>
          <w:b w:val="1"/>
          <w:bCs w:val="1"/>
          <w:color w:val="auto"/>
        </w:rPr>
      </w:pPr>
    </w:p>
    <w:p>
      <w:pPr>
        <w:jc w:val="both"/>
        <w:ind w:firstLine="882"/>
        <w:spacing w:after="0" w:line="236" w:lineRule="auto"/>
        <w:tabs>
          <w:tab w:leader="none" w:pos="1728" w:val="left"/>
        </w:tabs>
        <w:numPr>
          <w:ilvl w:val="1"/>
          <w:numId w:val="263"/>
        </w:numPr>
        <w:rPr>
          <w:rFonts w:ascii="Arial" w:cs="Arial" w:eastAsia="Arial" w:hAnsi="Arial"/>
          <w:sz w:val="21"/>
          <w:szCs w:val="21"/>
          <w:color w:val="auto"/>
        </w:rPr>
      </w:pPr>
      <w:r>
        <w:rPr>
          <w:rFonts w:ascii="Arial" w:cs="Arial" w:eastAsia="Arial" w:hAnsi="Arial"/>
          <w:sz w:val="21"/>
          <w:szCs w:val="21"/>
          <w:color w:val="auto"/>
        </w:rPr>
        <w:t>If the Optionee’s employment terminates, for reasons other than cause (as defined below), at age 60 or older and the Optionee has at least ten years of service with the Company, any unvested shares shall continue to vest according to the terms of the Option except that if such termination occurs within one year from grant date, the number of shares that will continue to vest shall be reduced to be proportionate to that portion of the year between grant date and termination date; and the Optionee shall have the right to exercise the Option at any time within the lesser of: (i) the term of the option, or (ii) a three (3) year period commencing on the day next following such termination; and</w:t>
      </w:r>
    </w:p>
    <w:p>
      <w:pPr>
        <w:spacing w:after="0" w:line="177" w:lineRule="exact"/>
        <w:rPr>
          <w:rFonts w:ascii="Arial" w:cs="Arial" w:eastAsia="Arial" w:hAnsi="Arial"/>
          <w:sz w:val="21"/>
          <w:szCs w:val="21"/>
          <w:color w:val="auto"/>
        </w:rPr>
      </w:pPr>
    </w:p>
    <w:p>
      <w:pPr>
        <w:jc w:val="both"/>
        <w:ind w:firstLine="882"/>
        <w:spacing w:after="0" w:line="238" w:lineRule="auto"/>
        <w:tabs>
          <w:tab w:leader="none" w:pos="1739" w:val="left"/>
        </w:tabs>
        <w:numPr>
          <w:ilvl w:val="1"/>
          <w:numId w:val="263"/>
        </w:numPr>
        <w:rPr>
          <w:rFonts w:ascii="Arial" w:cs="Arial" w:eastAsia="Arial" w:hAnsi="Arial"/>
          <w:sz w:val="21"/>
          <w:szCs w:val="21"/>
          <w:color w:val="auto"/>
        </w:rPr>
      </w:pPr>
      <w:r>
        <w:rPr>
          <w:rFonts w:ascii="Arial" w:cs="Arial" w:eastAsia="Arial" w:hAnsi="Arial"/>
          <w:sz w:val="21"/>
          <w:szCs w:val="21"/>
          <w:color w:val="auto"/>
        </w:rPr>
        <w:t>If the Optionee is an Executive Officer age 65 or older with at least ten years of service with the Company and the Optionee’s employment terminates, for reason other than cause (as defined below), or death or “long-term” disability (as defined below), any unvested shares shall continue to vest according to the terms of the Option and the Optionee shall have the right to exercise the Option according to the terms of the Option; and</w:t>
      </w:r>
    </w:p>
    <w:p>
      <w:pPr>
        <w:spacing w:after="0" w:line="179" w:lineRule="exact"/>
        <w:rPr>
          <w:rFonts w:ascii="Arial" w:cs="Arial" w:eastAsia="Arial" w:hAnsi="Arial"/>
          <w:sz w:val="21"/>
          <w:szCs w:val="21"/>
          <w:color w:val="auto"/>
        </w:rPr>
      </w:pPr>
    </w:p>
    <w:p>
      <w:pPr>
        <w:jc w:val="both"/>
        <w:ind w:firstLine="882"/>
        <w:spacing w:after="0" w:line="282" w:lineRule="auto"/>
        <w:tabs>
          <w:tab w:leader="none" w:pos="1728"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If the Optionee’s employment terminates by reason of death or “long-term disability”, as defined below, of the Optionee, the Option shall vest in full, and the Optionee or his/her personal representatives, heirs, legatees or distributees shall have the right to exercise the Option granted hereunder at any time within the lesser of: (1) the term of the Option or, (ii) a three (3) year period commencing on the date next following such termination. For purposes of this Stock Option Agreement, “long-term disability” shall mean that the Optionee is unable to engage in any substantial gainful activity by reason of any medically determinable physical or mental impairment that can be expected to result in death or can be expected to last for a continuous period of not less than twelve months; and</w:t>
      </w:r>
    </w:p>
    <w:p>
      <w:pPr>
        <w:spacing w:after="0" w:line="142" w:lineRule="exact"/>
        <w:rPr>
          <w:rFonts w:ascii="Arial" w:cs="Arial" w:eastAsia="Arial" w:hAnsi="Arial"/>
          <w:sz w:val="18"/>
          <w:szCs w:val="18"/>
          <w:color w:val="auto"/>
        </w:rPr>
      </w:pPr>
    </w:p>
    <w:p>
      <w:pPr>
        <w:ind w:firstLine="882"/>
        <w:spacing w:after="0" w:line="253" w:lineRule="auto"/>
        <w:tabs>
          <w:tab w:leader="none" w:pos="1739" w:val="left"/>
        </w:tabs>
        <w:numPr>
          <w:ilvl w:val="1"/>
          <w:numId w:val="263"/>
        </w:numPr>
        <w:rPr>
          <w:rFonts w:ascii="Arial" w:cs="Arial" w:eastAsia="Arial" w:hAnsi="Arial"/>
          <w:sz w:val="21"/>
          <w:szCs w:val="21"/>
          <w:color w:val="auto"/>
        </w:rPr>
      </w:pPr>
      <w:r>
        <w:rPr>
          <w:rFonts w:ascii="Arial" w:cs="Arial" w:eastAsia="Arial" w:hAnsi="Arial"/>
          <w:sz w:val="21"/>
          <w:szCs w:val="21"/>
          <w:color w:val="auto"/>
        </w:rPr>
        <w:t xml:space="preserve">If the Optionee’s employment terminates by reason of a workforce reduction, any unvested Shares shall continue to vest according to the terms of the option, </w:t>
      </w:r>
      <w:r>
        <w:rPr>
          <w:rFonts w:ascii="Arial" w:cs="Arial" w:eastAsia="Arial" w:hAnsi="Arial"/>
          <w:sz w:val="21"/>
          <w:szCs w:val="21"/>
          <w:u w:val="single" w:color="auto"/>
          <w:color w:val="auto"/>
        </w:rPr>
        <w:t>except</w:t>
      </w:r>
      <w:r>
        <w:rPr>
          <w:rFonts w:ascii="Arial" w:cs="Arial" w:eastAsia="Arial" w:hAnsi="Arial"/>
          <w:sz w:val="21"/>
          <w:szCs w:val="21"/>
          <w:color w:val="auto"/>
        </w:rPr>
        <w:t xml:space="preserve"> that, unless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2" w:name="page173"/>
    <w:bookmarkEnd w:id="172"/>
    <w:p>
      <w:pPr>
        <w:jc w:val="both"/>
        <w:spacing w:after="0" w:line="237" w:lineRule="auto"/>
        <w:rPr>
          <w:sz w:val="20"/>
          <w:szCs w:val="20"/>
          <w:color w:val="auto"/>
        </w:rPr>
      </w:pPr>
      <w:r>
        <w:rPr>
          <w:rFonts w:ascii="Arial" w:cs="Arial" w:eastAsia="Arial" w:hAnsi="Arial"/>
          <w:sz w:val="21"/>
          <w:szCs w:val="21"/>
          <w:color w:val="auto"/>
        </w:rPr>
        <w:t>the Optionee is an Executive Officer, age 65 or older and has at least ten years service with the Company at time of termination, if such termination occurs within one year from grant date, the number of shares that will continue to vest shall be reduced to be proportionate to that portion of the year between the grant date and termination date; and the Optionee shall have the right to exercise the Option granted hereunder at any time within the lesser of: (i) the term of the Option, or (ii) a three(3) year period commencing on the day next following such termination; and</w:t>
      </w:r>
    </w:p>
    <w:p>
      <w:pPr>
        <w:spacing w:after="0" w:line="178" w:lineRule="exact"/>
        <w:rPr>
          <w:sz w:val="20"/>
          <w:szCs w:val="20"/>
          <w:color w:val="auto"/>
        </w:rPr>
      </w:pPr>
    </w:p>
    <w:p>
      <w:pPr>
        <w:jc w:val="both"/>
        <w:ind w:firstLine="882"/>
        <w:spacing w:after="0" w:line="251" w:lineRule="auto"/>
        <w:tabs>
          <w:tab w:leader="none" w:pos="1728" w:val="left"/>
        </w:tabs>
        <w:numPr>
          <w:ilvl w:val="0"/>
          <w:numId w:val="264"/>
        </w:numPr>
        <w:rPr>
          <w:rFonts w:ascii="Arial" w:cs="Arial" w:eastAsia="Arial" w:hAnsi="Arial"/>
          <w:sz w:val="20"/>
          <w:szCs w:val="20"/>
          <w:color w:val="auto"/>
        </w:rPr>
      </w:pPr>
      <w:r>
        <w:rPr>
          <w:rFonts w:ascii="Arial" w:cs="Arial" w:eastAsia="Arial" w:hAnsi="Arial"/>
          <w:sz w:val="20"/>
          <w:szCs w:val="20"/>
          <w:color w:val="auto"/>
        </w:rPr>
        <w:t>If the Optionee’s employment terminates voluntarily other than as provided for in Sections (a), (b), (c) or (d) above, or as a result of involuntary termination other than for cause or as provided for in Sections (c) and (d) above, no additional Shares shall vest for the benefit of the Optionee after the termination date, and the Option shall be exercisable by the Optionee, with respect to those Shares which had already vested only, within a three (3) month period after such termination or the term of the Option, whichever is less, but only to the extent it was exercisable immediately prior to the date of termination; and</w:t>
      </w:r>
    </w:p>
    <w:p>
      <w:pPr>
        <w:spacing w:after="0" w:line="166" w:lineRule="exact"/>
        <w:rPr>
          <w:rFonts w:ascii="Arial" w:cs="Arial" w:eastAsia="Arial" w:hAnsi="Arial"/>
          <w:sz w:val="20"/>
          <w:szCs w:val="20"/>
          <w:color w:val="auto"/>
        </w:rPr>
      </w:pPr>
    </w:p>
    <w:p>
      <w:pPr>
        <w:jc w:val="both"/>
        <w:ind w:firstLine="882"/>
        <w:spacing w:after="0" w:line="247" w:lineRule="auto"/>
        <w:tabs>
          <w:tab w:leader="none" w:pos="1705" w:val="left"/>
        </w:tabs>
        <w:numPr>
          <w:ilvl w:val="0"/>
          <w:numId w:val="264"/>
        </w:numPr>
        <w:rPr>
          <w:rFonts w:ascii="Arial" w:cs="Arial" w:eastAsia="Arial" w:hAnsi="Arial"/>
          <w:sz w:val="20"/>
          <w:szCs w:val="20"/>
          <w:color w:val="auto"/>
        </w:rPr>
      </w:pPr>
      <w:r>
        <w:rPr>
          <w:rFonts w:ascii="Arial" w:cs="Arial" w:eastAsia="Arial" w:hAnsi="Arial"/>
          <w:sz w:val="20"/>
          <w:szCs w:val="20"/>
          <w:color w:val="auto"/>
        </w:rPr>
        <w:t>If the Optionee’s employment is terminated for “cause”, the Option shall terminate and no longer be exercisable for either the vested or the unvested Shares. For purposes of the Option, “cause” shall mean the Optionee has (1) engaged in gross negligence or willful misconduct in the performance of his or her duties and responsibilities respecting his or her position with the Company, (2) willfully refused, without proper legal reason, to perform the duties and responsibilities respecting his or her position with the Company, (3) breached any material policy or code of conduct established by the Company and affecting the Optionee, (4) engaged in conduct that Optionee knows or should know is materially injurious to the Company, (5) been convicted of a felony or a misdemeanor involving moral turpitude, or (6) engaged in an act of dishonest or impropriety which materially impairs the Optionee’s effectiveness in his or her position with the Company; and</w:t>
      </w:r>
    </w:p>
    <w:p>
      <w:pPr>
        <w:spacing w:after="0" w:line="173" w:lineRule="exact"/>
        <w:rPr>
          <w:rFonts w:ascii="Arial" w:cs="Arial" w:eastAsia="Arial" w:hAnsi="Arial"/>
          <w:sz w:val="20"/>
          <w:szCs w:val="20"/>
          <w:color w:val="auto"/>
        </w:rPr>
      </w:pPr>
    </w:p>
    <w:p>
      <w:pPr>
        <w:jc w:val="both"/>
        <w:ind w:firstLine="882"/>
        <w:spacing w:after="0" w:line="272" w:lineRule="auto"/>
        <w:tabs>
          <w:tab w:leader="none" w:pos="1739"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 the event of any reorganization, recapitalization, dividend or distribution (whether in cash, shares or other property, other than a regular cash dividend), stock split, reverse stock split or other similar change in corporate structure affecting the shares subject to the stock option grant, the grant shall be appropriately adjusted to reflect such change, but only in so far as is necessary to maintain the proportionate interest of the holder of the grant and preserve, without exceeding, the value of such a grant.</w:t>
      </w:r>
    </w:p>
    <w:p>
      <w:pPr>
        <w:spacing w:after="0" w:line="140" w:lineRule="exact"/>
        <w:rPr>
          <w:sz w:val="20"/>
          <w:szCs w:val="20"/>
          <w:color w:val="auto"/>
        </w:rPr>
      </w:pPr>
    </w:p>
    <w:p>
      <w:pPr>
        <w:ind w:left="1760" w:hanging="878"/>
        <w:spacing w:after="0"/>
        <w:tabs>
          <w:tab w:leader="none" w:pos="1760" w:val="left"/>
        </w:tabs>
        <w:numPr>
          <w:ilvl w:val="0"/>
          <w:numId w:val="2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of Control.</w:t>
      </w:r>
    </w:p>
    <w:p>
      <w:pPr>
        <w:spacing w:after="0" w:line="204" w:lineRule="exact"/>
        <w:rPr>
          <w:sz w:val="20"/>
          <w:szCs w:val="20"/>
          <w:color w:val="auto"/>
        </w:rPr>
      </w:pPr>
    </w:p>
    <w:p>
      <w:pPr>
        <w:ind w:firstLine="882"/>
        <w:spacing w:after="0" w:line="253" w:lineRule="auto"/>
        <w:tabs>
          <w:tab w:leader="none" w:pos="1728" w:val="left"/>
        </w:tabs>
        <w:numPr>
          <w:ilvl w:val="0"/>
          <w:numId w:val="266"/>
        </w:numPr>
        <w:rPr>
          <w:rFonts w:ascii="Arial" w:cs="Arial" w:eastAsia="Arial" w:hAnsi="Arial"/>
          <w:sz w:val="21"/>
          <w:szCs w:val="21"/>
          <w:color w:val="auto"/>
        </w:rPr>
      </w:pPr>
      <w:r>
        <w:rPr>
          <w:rFonts w:ascii="Arial" w:cs="Arial" w:eastAsia="Arial" w:hAnsi="Arial"/>
          <w:sz w:val="21"/>
          <w:szCs w:val="21"/>
          <w:color w:val="auto"/>
        </w:rPr>
        <w:t>Notwithstanding Section 11.2 of the Plan, upon a “Change of Control” of the Company, the Option granted hereunder shall immediately and fully vest and become fully exercisable.</w:t>
      </w:r>
    </w:p>
    <w:p>
      <w:pPr>
        <w:spacing w:after="0" w:line="162" w:lineRule="exact"/>
        <w:rPr>
          <w:rFonts w:ascii="Arial" w:cs="Arial" w:eastAsia="Arial" w:hAnsi="Arial"/>
          <w:sz w:val="21"/>
          <w:szCs w:val="21"/>
          <w:color w:val="auto"/>
        </w:rPr>
      </w:pPr>
    </w:p>
    <w:p>
      <w:pPr>
        <w:ind w:left="1740" w:hanging="858"/>
        <w:spacing w:after="0"/>
        <w:tabs>
          <w:tab w:leader="none" w:pos="1740" w:val="left"/>
        </w:tabs>
        <w:numPr>
          <w:ilvl w:val="0"/>
          <w:numId w:val="266"/>
        </w:numPr>
        <w:rPr>
          <w:rFonts w:ascii="Arial" w:cs="Arial" w:eastAsia="Arial" w:hAnsi="Arial"/>
          <w:sz w:val="21"/>
          <w:szCs w:val="21"/>
          <w:color w:val="auto"/>
        </w:rPr>
      </w:pPr>
      <w:r>
        <w:rPr>
          <w:rFonts w:ascii="Arial" w:cs="Arial" w:eastAsia="Arial" w:hAnsi="Arial"/>
          <w:sz w:val="21"/>
          <w:szCs w:val="21"/>
          <w:color w:val="auto"/>
        </w:rPr>
        <w:t>“Change of Control” for the purposes of this Option, shall mean the earliest date on which:</w:t>
      </w:r>
    </w:p>
    <w:p>
      <w:pPr>
        <w:spacing w:after="0" w:line="198" w:lineRule="exact"/>
        <w:rPr>
          <w:sz w:val="20"/>
          <w:szCs w:val="20"/>
          <w:color w:val="auto"/>
        </w:rPr>
      </w:pPr>
    </w:p>
    <w:p>
      <w:pPr>
        <w:ind w:left="1740" w:hanging="871"/>
        <w:spacing w:after="0" w:line="305" w:lineRule="auto"/>
        <w:tabs>
          <w:tab w:leader="none" w:pos="17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any Person is or becomes the “beneficial owner” (as defined in Rule 13d-3 under the Exchange Act), directly or indirectly, of securities of the Company representing 20% or more of the combined voting power of the Company’s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ind w:left="1740"/>
        <w:spacing w:after="0" w:line="252" w:lineRule="auto"/>
        <w:rPr>
          <w:sz w:val="20"/>
          <w:szCs w:val="20"/>
          <w:color w:val="auto"/>
        </w:rPr>
      </w:pPr>
      <w:r>
        <w:rPr>
          <w:rFonts w:ascii="Arial" w:cs="Arial" w:eastAsia="Arial" w:hAnsi="Arial"/>
          <w:sz w:val="21"/>
          <w:szCs w:val="21"/>
          <w:color w:val="auto"/>
        </w:rPr>
        <w:t>outstanding voting securities, other than through the purchase of voting securities directly from the Company through a private placement; or</w:t>
      </w:r>
    </w:p>
    <w:p>
      <w:pPr>
        <w:spacing w:after="0" w:line="163" w:lineRule="exact"/>
        <w:rPr>
          <w:sz w:val="20"/>
          <w:szCs w:val="20"/>
          <w:color w:val="auto"/>
        </w:rPr>
      </w:pPr>
    </w:p>
    <w:p>
      <w:pPr>
        <w:jc w:val="both"/>
        <w:ind w:left="1740" w:hanging="871"/>
        <w:spacing w:after="0" w:line="237" w:lineRule="auto"/>
        <w:tabs>
          <w:tab w:leader="none" w:pos="174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77" w:lineRule="exact"/>
        <w:rPr>
          <w:rFonts w:ascii="Arial" w:cs="Arial" w:eastAsia="Arial" w:hAnsi="Arial"/>
          <w:sz w:val="21"/>
          <w:szCs w:val="21"/>
          <w:color w:val="auto"/>
        </w:rPr>
      </w:pPr>
    </w:p>
    <w:p>
      <w:pPr>
        <w:jc w:val="both"/>
        <w:ind w:left="1740" w:hanging="871"/>
        <w:spacing w:after="0" w:line="261" w:lineRule="auto"/>
        <w:tabs>
          <w:tab w:leader="none" w:pos="17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less than 50%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continuity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w:t>
      </w:r>
    </w:p>
    <w:p>
      <w:pPr>
        <w:spacing w:after="0" w:line="156" w:lineRule="exact"/>
        <w:rPr>
          <w:rFonts w:ascii="Arial" w:cs="Arial" w:eastAsia="Arial" w:hAnsi="Arial"/>
          <w:sz w:val="19"/>
          <w:szCs w:val="19"/>
          <w:color w:val="auto"/>
        </w:rPr>
      </w:pPr>
    </w:p>
    <w:p>
      <w:pPr>
        <w:ind w:left="1740" w:hanging="871"/>
        <w:spacing w:after="0" w:line="253" w:lineRule="auto"/>
        <w:tabs>
          <w:tab w:leader="none" w:pos="174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a tender offer or exchange offer is made and consummated by a Person other than the Company for the ownership of 20% or more of the voting securities of the Company then outstanding; or</w:t>
      </w:r>
    </w:p>
    <w:p>
      <w:pPr>
        <w:spacing w:after="0" w:line="162" w:lineRule="exact"/>
        <w:rPr>
          <w:rFonts w:ascii="Arial" w:cs="Arial" w:eastAsia="Arial" w:hAnsi="Arial"/>
          <w:sz w:val="21"/>
          <w:szCs w:val="21"/>
          <w:color w:val="auto"/>
        </w:rPr>
      </w:pPr>
    </w:p>
    <w:p>
      <w:pPr>
        <w:jc w:val="both"/>
        <w:ind w:left="1740" w:hanging="871"/>
        <w:spacing w:after="0" w:line="238" w:lineRule="auto"/>
        <w:tabs>
          <w:tab w:leader="none" w:pos="174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Participant, or a group of Persons which includes the Participant, acquiring more than 20%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1"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21"/>
          <w:szCs w:val="21"/>
          <w:b w:val="1"/>
          <w:bCs w:val="1"/>
          <w:color w:val="auto"/>
        </w:rPr>
        <w:t>11</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4" w:name="page175"/>
    <w:bookmarkEnd w:id="174"/>
    <w:p>
      <w:pPr>
        <w:jc w:val="both"/>
        <w:ind w:firstLine="878"/>
        <w:spacing w:after="0" w:line="244" w:lineRule="auto"/>
        <w:rPr>
          <w:sz w:val="20"/>
          <w:szCs w:val="20"/>
          <w:color w:val="auto"/>
        </w:rPr>
      </w:pPr>
      <w:r>
        <w:rPr>
          <w:rFonts w:ascii="Arial" w:cs="Arial" w:eastAsia="Arial" w:hAnsi="Arial"/>
          <w:sz w:val="21"/>
          <w:szCs w:val="21"/>
          <w:b w:val="1"/>
          <w:bCs w:val="1"/>
          <w:color w:val="auto"/>
        </w:rPr>
        <w:t>12</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6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60" w:hanging="878"/>
        <w:spacing w:after="0"/>
        <w:tabs>
          <w:tab w:leader="none" w:pos="1760" w:val="left"/>
        </w:tabs>
        <w:numPr>
          <w:ilvl w:val="0"/>
          <w:numId w:val="2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firstLine="882"/>
        <w:spacing w:after="0" w:line="247" w:lineRule="auto"/>
        <w:tabs>
          <w:tab w:leader="none" w:pos="1757" w:val="left"/>
        </w:tabs>
        <w:numPr>
          <w:ilvl w:val="0"/>
          <w:numId w:val="2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Paragraph 9 hereof, this Agreement shall inure to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 (i) by will or the laws of descent and distribution; or (ii) pursuant to the qualified domestic relations order (as defined by the Internal Revenue Code); or (iii) with respect to Awards of nonqualified stock options, by transfer by an Optionee to a member of the Optionee’s Immediate Family, or to a partnership or limited liability company whose only partners or shareholders are the Optionee and members of his Immediate Family. However, any Award transferred shall continue to be subject to all terms and conditions contained in the Award Agreement.</w:t>
      </w:r>
    </w:p>
    <w:p>
      <w:pPr>
        <w:spacing w:after="0" w:line="169" w:lineRule="exact"/>
        <w:rPr>
          <w:rFonts w:ascii="Arial" w:cs="Arial" w:eastAsia="Arial" w:hAnsi="Arial"/>
          <w:sz w:val="20"/>
          <w:szCs w:val="20"/>
          <w:b w:val="1"/>
          <w:bCs w:val="1"/>
          <w:color w:val="auto"/>
        </w:rPr>
      </w:pPr>
    </w:p>
    <w:p>
      <w:pPr>
        <w:ind w:left="1760" w:hanging="878"/>
        <w:spacing w:after="0"/>
        <w:tabs>
          <w:tab w:leader="none" w:pos="1760" w:val="left"/>
        </w:tabs>
        <w:numPr>
          <w:ilvl w:val="0"/>
          <w:numId w:val="2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firstLine="882"/>
        <w:spacing w:after="0" w:line="238" w:lineRule="auto"/>
        <w:tabs>
          <w:tab w:leader="none" w:pos="1728" w:val="left"/>
        </w:tabs>
        <w:numPr>
          <w:ilvl w:val="1"/>
          <w:numId w:val="270"/>
        </w:numPr>
        <w:rPr>
          <w:rFonts w:ascii="Arial" w:cs="Arial" w:eastAsia="Arial" w:hAnsi="Arial"/>
          <w:sz w:val="21"/>
          <w:szCs w:val="21"/>
          <w:color w:val="auto"/>
        </w:rPr>
      </w:pPr>
      <w:r>
        <w:rPr>
          <w:rFonts w:ascii="Arial" w:cs="Arial" w:eastAsia="Arial" w:hAnsi="Arial"/>
          <w:sz w:val="21"/>
          <w:szCs w:val="21"/>
          <w:color w:val="auto"/>
        </w:rPr>
        <w:t>With respect to the cash payment under the Plan, Optionee agrees that as a condition to the exercise of the Option granted hereunder, any cash payment shall be reduced by, or shall include such additional amount required to be paid or withheld with respect thereto under all applicable federal, state and local taxes and any other law or regulation that may be in effect as of the date of each such payment (“Tax Amounts”).</w:t>
      </w:r>
    </w:p>
    <w:p>
      <w:pPr>
        <w:spacing w:after="0" w:line="179" w:lineRule="exact"/>
        <w:rPr>
          <w:rFonts w:ascii="Arial" w:cs="Arial" w:eastAsia="Arial" w:hAnsi="Arial"/>
          <w:sz w:val="21"/>
          <w:szCs w:val="21"/>
          <w:color w:val="auto"/>
        </w:rPr>
      </w:pPr>
    </w:p>
    <w:p>
      <w:pPr>
        <w:jc w:val="both"/>
        <w:ind w:firstLine="882"/>
        <w:spacing w:after="0" w:line="242" w:lineRule="auto"/>
        <w:tabs>
          <w:tab w:leader="none" w:pos="1739" w:val="left"/>
        </w:tabs>
        <w:numPr>
          <w:ilvl w:val="1"/>
          <w:numId w:val="270"/>
        </w:numPr>
        <w:rPr>
          <w:rFonts w:ascii="Arial" w:cs="Arial" w:eastAsia="Arial" w:hAnsi="Arial"/>
          <w:sz w:val="21"/>
          <w:szCs w:val="21"/>
          <w:color w:val="auto"/>
        </w:rPr>
      </w:pPr>
      <w:r>
        <w:rPr>
          <w:rFonts w:ascii="Arial" w:cs="Arial" w:eastAsia="Arial" w:hAnsi="Arial"/>
          <w:sz w:val="21"/>
          <w:szCs w:val="21"/>
          <w:color w:val="auto"/>
        </w:rPr>
        <w:t>With respect to issuance of Shares pursuant to the exercise of the Option granted hereunder, no issuance shall be made until appropriate arrangements have been made for the payment of any Tax Amounts that may be required to be paid or withheld with respect thereto, and such arrangements can be accomplished by:</w:t>
      </w:r>
    </w:p>
    <w:p>
      <w:pPr>
        <w:spacing w:after="0" w:line="173" w:lineRule="exact"/>
        <w:rPr>
          <w:rFonts w:ascii="Arial" w:cs="Arial" w:eastAsia="Arial" w:hAnsi="Arial"/>
          <w:sz w:val="21"/>
          <w:szCs w:val="21"/>
          <w:color w:val="auto"/>
        </w:rPr>
      </w:pPr>
    </w:p>
    <w:p>
      <w:pPr>
        <w:ind w:left="1740" w:hanging="871"/>
        <w:spacing w:after="0" w:line="305" w:lineRule="auto"/>
        <w:tabs>
          <w:tab w:leader="none" w:pos="1740" w:val="left"/>
        </w:tabs>
        <w:numPr>
          <w:ilvl w:val="0"/>
          <w:numId w:val="271"/>
        </w:numPr>
        <w:rPr>
          <w:rFonts w:ascii="Arial" w:cs="Arial" w:eastAsia="Arial" w:hAnsi="Arial"/>
          <w:sz w:val="19"/>
          <w:szCs w:val="19"/>
          <w:color w:val="auto"/>
        </w:rPr>
      </w:pPr>
      <w:r>
        <w:rPr>
          <w:rFonts w:ascii="Arial" w:cs="Arial" w:eastAsia="Arial" w:hAnsi="Arial"/>
          <w:sz w:val="19"/>
          <w:szCs w:val="19"/>
          <w:color w:val="auto"/>
        </w:rPr>
        <w:t>directing the Company to retain Shares (up to the Optionee’s minimum required tax withholding rate or such other rate that will not trigger a negative accounting impact) otherwise deliverable in connection with the Award;</w:t>
      </w:r>
    </w:p>
    <w:p>
      <w:pPr>
        <w:spacing w:after="0" w:line="116" w:lineRule="exact"/>
        <w:rPr>
          <w:rFonts w:ascii="Arial" w:cs="Arial" w:eastAsia="Arial" w:hAnsi="Arial"/>
          <w:sz w:val="19"/>
          <w:szCs w:val="19"/>
          <w:color w:val="auto"/>
        </w:rPr>
      </w:pPr>
    </w:p>
    <w:p>
      <w:pPr>
        <w:ind w:left="1740" w:hanging="871"/>
        <w:spacing w:after="0"/>
        <w:tabs>
          <w:tab w:leader="none" w:pos="1740" w:val="left"/>
        </w:tabs>
        <w:numPr>
          <w:ilvl w:val="0"/>
          <w:numId w:val="271"/>
        </w:numPr>
        <w:rPr>
          <w:rFonts w:ascii="Arial" w:cs="Arial" w:eastAsia="Arial" w:hAnsi="Arial"/>
          <w:sz w:val="21"/>
          <w:szCs w:val="21"/>
          <w:color w:val="auto"/>
        </w:rPr>
      </w:pPr>
      <w:r>
        <w:rPr>
          <w:rFonts w:ascii="Arial" w:cs="Arial" w:eastAsia="Arial" w:hAnsi="Arial"/>
          <w:sz w:val="21"/>
          <w:szCs w:val="21"/>
          <w:color w:val="auto"/>
        </w:rPr>
        <w:t>payment of the Required Tax amounts to the Company; or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29424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5" w:name="page176"/>
    <w:bookmarkEnd w:id="175"/>
    <w:p>
      <w:pPr>
        <w:jc w:val="both"/>
        <w:ind w:left="871" w:hanging="871"/>
        <w:spacing w:after="0" w:line="272" w:lineRule="auto"/>
        <w:tabs>
          <w:tab w:leader="none" w:pos="871" w:val="left"/>
        </w:tabs>
        <w:numPr>
          <w:ilvl w:val="0"/>
          <w:numId w:val="272"/>
        </w:numPr>
        <w:rPr>
          <w:rFonts w:ascii="Arial" w:cs="Arial" w:eastAsia="Arial" w:hAnsi="Arial"/>
          <w:sz w:val="19"/>
          <w:szCs w:val="19"/>
          <w:color w:val="auto"/>
        </w:rPr>
      </w:pPr>
      <w:r>
        <w:rPr>
          <w:rFonts w:ascii="Arial" w:cs="Arial" w:eastAsia="Arial" w:hAnsi="Arial"/>
          <w:sz w:val="19"/>
          <w:szCs w:val="19"/>
          <w:color w:val="auto"/>
        </w:rPr>
        <w:t>if Optionee is a current employee or Director of the Company, the Optionee may satisfy the obligation for payment of the required Tax Amounts by tendering previously acquired Shares (either actually or by attestation, valued at their then “Fair Market Value” as defined by the Plan) that have been owned for a period of at least six months (or such other period necessary to avoid accounting charges against the Company’s earnings).</w:t>
      </w:r>
    </w:p>
    <w:p>
      <w:pPr>
        <w:spacing w:after="0" w:line="146" w:lineRule="exact"/>
        <w:rPr>
          <w:sz w:val="20"/>
          <w:szCs w:val="20"/>
          <w:color w:val="auto"/>
        </w:rPr>
      </w:pPr>
    </w:p>
    <w:p>
      <w:pPr>
        <w:ind w:left="2571"/>
        <w:spacing w:after="0"/>
        <w:rPr>
          <w:sz w:val="20"/>
          <w:szCs w:val="20"/>
          <w:color w:val="auto"/>
        </w:rPr>
      </w:pPr>
      <w:r>
        <w:rPr>
          <w:rFonts w:ascii="Arial" w:cs="Arial" w:eastAsia="Arial" w:hAnsi="Arial"/>
          <w:sz w:val="21"/>
          <w:szCs w:val="21"/>
          <w:color w:val="auto"/>
        </w:rPr>
        <w:t>____________________________________________</w:t>
      </w:r>
    </w:p>
    <w:p>
      <w:pPr>
        <w:spacing w:after="0" w:line="227" w:lineRule="exact"/>
        <w:rPr>
          <w:sz w:val="20"/>
          <w:szCs w:val="20"/>
          <w:color w:val="auto"/>
        </w:rPr>
      </w:pPr>
    </w:p>
    <w:p>
      <w:pPr>
        <w:ind w:left="4771"/>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51"/>
          </w:cols>
          <w:pgMar w:left="1109" w:top="3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1"/>
          <w:szCs w:val="21"/>
          <w:color w:val="auto"/>
        </w:rPr>
        <w:t>Exhibit 10.44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CAMERON INTERNATIONAL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u w:val="single" w:color="auto"/>
          <w:color w:val="auto"/>
        </w:rPr>
        <w:t>INCENTIVE STOCK OPTION AGREEMENT</w:t>
      </w:r>
    </w:p>
    <w:p>
      <w:pPr>
        <w:spacing w:after="0" w:line="174" w:lineRule="exact"/>
        <w:rPr>
          <w:sz w:val="20"/>
          <w:szCs w:val="20"/>
          <w:color w:val="auto"/>
        </w:rPr>
      </w:pPr>
    </w:p>
    <w:tbl>
      <w:tblPr>
        <w:tblLayout w:type="fixed"/>
        <w:tblInd w:w="452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21"/>
                <w:szCs w:val="21"/>
                <w:b w:val="1"/>
                <w:bCs w:val="1"/>
                <w:color w:val="auto"/>
              </w:rPr>
              <w:t>Effective Date: [</w:t>
            </w:r>
          </w:p>
        </w:tc>
        <w:tc>
          <w:tcPr>
            <w:tcW w:w="740" w:type="dxa"/>
            <w:vAlign w:val="bottom"/>
          </w:tcPr>
          <w:p>
            <w:pPr>
              <w:jc w:val="right"/>
              <w:spacing w:after="0"/>
              <w:rPr>
                <w:sz w:val="20"/>
                <w:szCs w:val="20"/>
                <w:color w:val="auto"/>
              </w:rPr>
            </w:pPr>
            <w:r>
              <w:rPr>
                <w:rFonts w:ascii="Arial" w:cs="Arial" w:eastAsia="Arial" w:hAnsi="Arial"/>
                <w:sz w:val="21"/>
                <w:szCs w:val="21"/>
                <w:b w:val="1"/>
                <w:bCs w:val="1"/>
                <w:color w:val="auto"/>
              </w:rPr>
              <w:t>], 2013</w:t>
            </w:r>
          </w:p>
        </w:tc>
      </w:tr>
    </w:tbl>
    <w:p>
      <w:pPr>
        <w:spacing w:after="0" w:line="169" w:lineRule="exact"/>
        <w:rPr>
          <w:sz w:val="20"/>
          <w:szCs w:val="20"/>
          <w:color w:val="auto"/>
        </w:rPr>
      </w:pPr>
    </w:p>
    <w:p>
      <w:pPr>
        <w:jc w:val="both"/>
        <w:ind w:firstLine="882"/>
        <w:spacing w:after="0" w:line="259" w:lineRule="auto"/>
        <w:tabs>
          <w:tab w:leader="none" w:pos="1653" w:val="left"/>
        </w:tabs>
        <w:numPr>
          <w:ilvl w:val="0"/>
          <w:numId w:val="2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Purpose.</w:t>
      </w:r>
      <w:r>
        <w:rPr>
          <w:rFonts w:ascii="Arial" w:cs="Arial" w:eastAsia="Arial" w:hAnsi="Arial"/>
          <w:sz w:val="19"/>
          <w:szCs w:val="19"/>
          <w:b w:val="1"/>
          <w:bCs w:val="1"/>
          <w:color w:val="auto"/>
        </w:rPr>
        <w:t xml:space="preserve"> </w:t>
      </w:r>
      <w:r>
        <w:rPr>
          <w:rFonts w:ascii="Arial" w:cs="Arial" w:eastAsia="Arial" w:hAnsi="Arial"/>
          <w:sz w:val="19"/>
          <w:szCs w:val="19"/>
          <w:color w:val="auto"/>
        </w:rPr>
        <w:t>As an additional incentive and inducement to you to remain in the employment of Cameron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(the “Company”) or one of its direct or indirect subsidiaries or affiliate (“Subsidiary”) and to acquire an ownership position in the Company, thereby aligning your interests with those of the Company and its stockholders, the Company hereby grants to you, the “Optionee”, the option to purchase common stock of the Company from the Company (the “Options”) at the times and upon the terms and conditions set forth on the attached Notice of Grant of Stock Options and this Option Agreement (the “Agreement”). If Optionee completes, signs, and returns one copy of this Agreement to the Company in Houston, Texas, U.S.A., this Agreement will become</w:t>
      </w:r>
    </w:p>
    <w:p>
      <w:pPr>
        <w:spacing w:after="0" w:line="5" w:lineRule="exact"/>
        <w:rPr>
          <w:sz w:val="20"/>
          <w:szCs w:val="20"/>
          <w:color w:val="auto"/>
        </w:rPr>
      </w:pPr>
    </w:p>
    <w:p>
      <w:pPr>
        <w:spacing w:after="0"/>
        <w:tabs>
          <w:tab w:leader="none" w:pos="1520" w:val="left"/>
        </w:tabs>
        <w:rPr>
          <w:sz w:val="20"/>
          <w:szCs w:val="20"/>
          <w:color w:val="auto"/>
        </w:rPr>
      </w:pPr>
      <w:r>
        <w:rPr>
          <w:rFonts w:ascii="Arial" w:cs="Arial" w:eastAsia="Arial" w:hAnsi="Arial"/>
          <w:sz w:val="21"/>
          <w:szCs w:val="21"/>
          <w:color w:val="auto"/>
        </w:rPr>
        <w:t xml:space="preserve">effective as of </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color w:val="auto"/>
        </w:rPr>
        <w:t>], 2013</w:t>
      </w:r>
      <w:r>
        <w:rPr>
          <w:rFonts w:ascii="Arial" w:cs="Arial" w:eastAsia="Arial" w:hAnsi="Arial"/>
          <w:sz w:val="18"/>
          <w:szCs w:val="18"/>
          <w:color w:val="auto"/>
        </w:rPr>
        <w:t>.</w:t>
      </w:r>
    </w:p>
    <w:p>
      <w:pPr>
        <w:spacing w:after="0" w:line="174" w:lineRule="exact"/>
        <w:rPr>
          <w:sz w:val="20"/>
          <w:szCs w:val="20"/>
          <w:color w:val="auto"/>
        </w:rPr>
      </w:pPr>
    </w:p>
    <w:p>
      <w:pPr>
        <w:jc w:val="both"/>
        <w:ind w:firstLine="882"/>
        <w:spacing w:after="0"/>
        <w:tabs>
          <w:tab w:leader="none" w:pos="1653" w:val="left"/>
        </w:tabs>
        <w:numPr>
          <w:ilvl w:val="0"/>
          <w:numId w:val="2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Equity Incentive Plan </w:t>
      </w:r>
      <w:r>
        <w:rPr>
          <w:rFonts w:ascii="Arial" w:cs="Arial" w:eastAsia="Arial" w:hAnsi="Arial"/>
          <w:sz w:val="21"/>
          <w:szCs w:val="21"/>
          <w:color w:val="auto"/>
        </w:rPr>
        <w:t>(the "Plan"), as indicated in your Notice of Grant of Stock Options. A copy of the Plan is available on the</w:t>
      </w:r>
      <w:r>
        <w:rPr>
          <w:rFonts w:ascii="Arial" w:cs="Arial" w:eastAsia="Arial" w:hAnsi="Arial"/>
          <w:sz w:val="21"/>
          <w:szCs w:val="21"/>
          <w:b w:val="1"/>
          <w:bCs w:val="1"/>
          <w:color w:val="auto"/>
        </w:rPr>
        <w:t xml:space="preserve"> </w:t>
      </w:r>
      <w:r>
        <w:rPr>
          <w:rFonts w:ascii="Arial" w:cs="Arial" w:eastAsia="Arial" w:hAnsi="Arial"/>
          <w:sz w:val="21"/>
          <w:szCs w:val="21"/>
          <w:color w:val="auto"/>
        </w:rPr>
        <w:t>Cameron Intranet under the Legal Section. In the event there is a conflict between the terms of the Plan and this Agreement, the terms of the Plan shall control.</w:t>
      </w:r>
    </w:p>
    <w:p>
      <w:pPr>
        <w:spacing w:after="0" w:line="171" w:lineRule="exact"/>
        <w:rPr>
          <w:rFonts w:ascii="Arial" w:cs="Arial" w:eastAsia="Arial" w:hAnsi="Arial"/>
          <w:sz w:val="21"/>
          <w:szCs w:val="21"/>
          <w:b w:val="1"/>
          <w:bCs w:val="1"/>
          <w:color w:val="auto"/>
        </w:rPr>
      </w:pPr>
    </w:p>
    <w:p>
      <w:pPr>
        <w:ind w:left="1660" w:hanging="778"/>
        <w:spacing w:after="0"/>
        <w:tabs>
          <w:tab w:leader="none" w:pos="1660" w:val="left"/>
        </w:tabs>
        <w:numPr>
          <w:ilvl w:val="0"/>
          <w:numId w:val="2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the Shares of the Company’s common stock subject to the Agreement shall</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73" w:lineRule="exact"/>
        <w:rPr>
          <w:rFonts w:ascii="Arial" w:cs="Arial" w:eastAsia="Arial" w:hAnsi="Arial"/>
          <w:sz w:val="19"/>
          <w:szCs w:val="19"/>
          <w:b w:val="1"/>
          <w:bCs w:val="1"/>
          <w:color w:val="auto"/>
        </w:rPr>
      </w:pPr>
    </w:p>
    <w:p>
      <w:pPr>
        <w:ind w:left="1660" w:hanging="778"/>
        <w:spacing w:after="0"/>
        <w:tabs>
          <w:tab w:leader="none" w:pos="1660" w:val="left"/>
        </w:tabs>
        <w:numPr>
          <w:ilvl w:val="0"/>
          <w:numId w:val="2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pursuant to this Agreement may be exercised, in whole or in part, but only as to the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number of Options as to which the right to exercise has vested at the time of exercise, during the period beginning </w:t>
      </w:r>
      <w:r>
        <w:rPr>
          <w:rFonts w:ascii="Arial" w:cs="Arial" w:eastAsia="Arial" w:hAnsi="Arial"/>
          <w:sz w:val="20"/>
          <w:szCs w:val="20"/>
          <w:b w:val="1"/>
          <w:bCs w:val="1"/>
          <w:color w:val="auto"/>
        </w:rPr>
        <w:t>[ ], 2014</w:t>
      </w:r>
      <w:r>
        <w:rPr>
          <w:rFonts w:ascii="Arial" w:cs="Arial" w:eastAsia="Arial" w:hAnsi="Arial"/>
          <w:sz w:val="20"/>
          <w:szCs w:val="20"/>
          <w:color w:val="auto"/>
        </w:rPr>
        <w:t xml:space="preserve"> (one year from the date on which they were granted), and ending </w:t>
      </w:r>
      <w:r>
        <w:rPr>
          <w:rFonts w:ascii="Arial" w:cs="Arial" w:eastAsia="Arial" w:hAnsi="Arial"/>
          <w:sz w:val="20"/>
          <w:szCs w:val="20"/>
          <w:b w:val="1"/>
          <w:bCs w:val="1"/>
          <w:color w:val="auto"/>
        </w:rPr>
        <w:t>[ ], 2023</w:t>
      </w:r>
      <w:r>
        <w:rPr>
          <w:rFonts w:ascii="Arial" w:cs="Arial" w:eastAsia="Arial" w:hAnsi="Arial"/>
          <w:sz w:val="20"/>
          <w:szCs w:val="20"/>
          <w:color w:val="auto"/>
        </w:rPr>
        <w:t xml:space="preserve"> (ten years from the date on which Option was granted.)</w:t>
      </w:r>
    </w:p>
    <w:p>
      <w:pPr>
        <w:spacing w:after="0" w:line="151"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19"/>
          <w:szCs w:val="19"/>
          <w:b w:val="1"/>
          <w:bCs w:val="1"/>
          <w:color w:val="auto"/>
        </w:rPr>
        <w:t>5</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Exercise of Option.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herein may be exercised as to vested Options, in whole or in part,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 form substantially similar to the form attached hereto. Payment of the purchase price of the Shares that the Optionee desires to purchase shall be tendered in full at the time of giving notice by (i) cash, check in U.S. Dollars, or bank draft payable and acceptable to the Company (or the equivalent thereof acceptable to the Company), (ii) Shares theretofore owned and held by the Optionee for more than six months, (iii) a combination of cash and Shares theretofore owned and held by the Optionee for more than six months, or (iv) 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77" w:name="page178"/>
    <w:bookmarkEnd w:id="177"/>
    <w:p>
      <w:pPr>
        <w:ind w:right="180" w:firstLine="882"/>
        <w:spacing w:after="0" w:line="256" w:lineRule="auto"/>
        <w:tabs>
          <w:tab w:leader="none" w:pos="1653" w:val="left"/>
        </w:tabs>
        <w:numPr>
          <w:ilvl w:val="0"/>
          <w:numId w:val="27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Subject to Listing and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granted herein shall be subject to the listing,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or qualification of the Shares subject to such Option upon any securities exchange or under any applicable state, federal or foreign law. This Option may not be exercised in whole or in part unless such listing, registration or qualification shall have been effected or obtained free of any conditions not reasonably acceptable to the Board of Directors.</w:t>
      </w:r>
    </w:p>
    <w:p>
      <w:pPr>
        <w:spacing w:after="0" w:line="155" w:lineRule="exact"/>
        <w:rPr>
          <w:rFonts w:ascii="Arial" w:cs="Arial" w:eastAsia="Arial" w:hAnsi="Arial"/>
          <w:sz w:val="20"/>
          <w:szCs w:val="20"/>
          <w:b w:val="1"/>
          <w:bCs w:val="1"/>
          <w:color w:val="auto"/>
        </w:rPr>
      </w:pPr>
    </w:p>
    <w:p>
      <w:pPr>
        <w:ind w:right="80" w:firstLine="882"/>
        <w:spacing w:after="0" w:line="266" w:lineRule="auto"/>
        <w:tabs>
          <w:tab w:leader="none" w:pos="1653" w:val="left"/>
        </w:tabs>
        <w:numPr>
          <w:ilvl w:val="0"/>
          <w:numId w:val="2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Changes in the Company's Capital Structure.</w:t>
      </w:r>
      <w:r>
        <w:rPr>
          <w:rFonts w:ascii="Arial" w:cs="Arial" w:eastAsia="Arial" w:hAnsi="Arial"/>
          <w:sz w:val="19"/>
          <w:szCs w:val="19"/>
          <w:b w:val="1"/>
          <w:bCs w:val="1"/>
          <w:color w:val="auto"/>
        </w:rPr>
        <w:t xml:space="preserve"> </w:t>
      </w:r>
      <w:r>
        <w:rPr>
          <w:rFonts w:ascii="Arial" w:cs="Arial" w:eastAsia="Arial" w:hAnsi="Arial"/>
          <w:sz w:val="19"/>
          <w:szCs w:val="19"/>
          <w:color w:val="auto"/>
        </w:rPr>
        <w:t>The number of Shares subject to the Option and the price per Share</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upon exercise of the Option shall be subject to the provisions of the Plan relating to adjustments to corporate capitalization, provided; however, that in the event of any reorganization, recapitalization, dividend or distribution (whether in cash, shares or other property, other than a regular cash dividend), stock split, reverse stock split or other similar change in corporate structure affecting the Shares subject to the Option, the Option shall be appropriately adjusted to reflect such change, but only so far as is necessary to maintain the proportionate interest of the Optionee and preserve, without exceeding, the value of such Option.</w:t>
      </w:r>
    </w:p>
    <w:p>
      <w:pPr>
        <w:spacing w:after="0" w:line="149" w:lineRule="exact"/>
        <w:rPr>
          <w:rFonts w:ascii="Arial" w:cs="Arial" w:eastAsia="Arial" w:hAnsi="Arial"/>
          <w:sz w:val="19"/>
          <w:szCs w:val="19"/>
          <w:b w:val="1"/>
          <w:bCs w:val="1"/>
          <w:color w:val="auto"/>
        </w:rPr>
      </w:pPr>
    </w:p>
    <w:p>
      <w:pPr>
        <w:ind w:left="1660" w:hanging="778"/>
        <w:spacing w:after="0"/>
        <w:tabs>
          <w:tab w:leader="none" w:pos="1660" w:val="left"/>
        </w:tabs>
        <w:numPr>
          <w:ilvl w:val="0"/>
          <w:numId w:val="2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firstLine="882"/>
        <w:spacing w:after="0" w:line="261" w:lineRule="auto"/>
        <w:tabs>
          <w:tab w:leader="none" w:pos="1818" w:val="left"/>
        </w:tabs>
        <w:numPr>
          <w:ilvl w:val="1"/>
          <w:numId w:val="276"/>
        </w:numPr>
        <w:rPr>
          <w:rFonts w:ascii="Arial" w:cs="Arial" w:eastAsia="Arial" w:hAnsi="Arial"/>
          <w:sz w:val="19"/>
          <w:szCs w:val="19"/>
          <w:color w:val="auto"/>
        </w:rPr>
      </w:pPr>
      <w:r>
        <w:rPr>
          <w:rFonts w:ascii="Arial" w:cs="Arial" w:eastAsia="Arial" w:hAnsi="Arial"/>
          <w:sz w:val="19"/>
          <w:szCs w:val="19"/>
          <w:color w:val="auto"/>
        </w:rPr>
        <w:t>The Optionee acknowledges that the Optionee is in possession of and has access to confidential information, including material relating to the business, products or services of the Company and that he or she will continue to have such possession and access during employment by the Company. The Optionee also acknowledges that the Company’s business, products and services are highly specialized and that it is essential that they be protected, and, accordingly, the Optionee agrees that as partial consideration for the Option granted herein that should the Optionee engage in any “Detrimental Activity,” as defined below, at any time during his or her employment or during a period of one year following his or her termination the Company shall be entitled to: (i) cancel any unexercised portion of the Option; (ii) recover from the Optionee the value of any portion of the Option that has been exercised; (iii) seek injunctive relief against the Optionee; (iv) recover all damages, court costs, and attorneys’ fees incurred by the Company in enforcing the provisions of this Option grant, and (v) set-off any such sums to which the Company is entitled hereunder against any sum which may be owed the Optionee by the Company.</w:t>
      </w:r>
    </w:p>
    <w:p>
      <w:pPr>
        <w:spacing w:after="0" w:line="156" w:lineRule="exact"/>
        <w:rPr>
          <w:rFonts w:ascii="Arial" w:cs="Arial" w:eastAsia="Arial" w:hAnsi="Arial"/>
          <w:sz w:val="19"/>
          <w:szCs w:val="19"/>
          <w:color w:val="auto"/>
        </w:rPr>
      </w:pPr>
    </w:p>
    <w:p>
      <w:pPr>
        <w:jc w:val="both"/>
        <w:ind w:firstLine="882"/>
        <w:spacing w:after="0" w:line="257" w:lineRule="auto"/>
        <w:tabs>
          <w:tab w:leader="none" w:pos="1804" w:val="left"/>
        </w:tabs>
        <w:numPr>
          <w:ilvl w:val="1"/>
          <w:numId w:val="276"/>
        </w:numPr>
        <w:rPr>
          <w:rFonts w:ascii="Arial" w:cs="Arial" w:eastAsia="Arial" w:hAnsi="Arial"/>
          <w:sz w:val="19"/>
          <w:szCs w:val="19"/>
          <w:color w:val="auto"/>
        </w:rPr>
      </w:pPr>
      <w:r>
        <w:rPr>
          <w:rFonts w:ascii="Arial" w:cs="Arial" w:eastAsia="Arial" w:hAnsi="Arial"/>
          <w:sz w:val="19"/>
          <w:szCs w:val="19"/>
          <w:color w:val="auto"/>
        </w:rPr>
        <w:t>“Detrimental Activity” for the purposes hereof, other than with respect to involuntary termination without cause, termination in connection with or as a result of a “Change of Control” (as defined in Section 9(b) hereof), or termination following a reduction in job responsibilities, shall include: (i) rendering of services for any person or organization, or engaging directly or indirectly in any business, which is or becomes competitive with the Company; (ii) disclosing to anyone outside the Company, or using in other than the Company’s business, without prior written authorization from the Company, any confidential information including material relating to the business, products or services of the Company acquired by the Optionee during employment with the Company; (iii) soliciting, interfering, inducing, or attempting to cause any employee of the Company to leave his or her employment, whether done on Optionee’s own account or on account of any person, organization or business which is or becomes competitive with the Company, or</w:t>
      </w:r>
    </w:p>
    <w:p>
      <w:pPr>
        <w:spacing w:after="0" w:line="6" w:lineRule="exact"/>
        <w:rPr>
          <w:rFonts w:ascii="Arial" w:cs="Arial" w:eastAsia="Arial" w:hAnsi="Arial"/>
          <w:sz w:val="19"/>
          <w:szCs w:val="19"/>
          <w:color w:val="auto"/>
        </w:rPr>
      </w:pPr>
    </w:p>
    <w:p>
      <w:pPr>
        <w:ind w:left="360" w:hanging="357"/>
        <w:spacing w:after="0"/>
        <w:tabs>
          <w:tab w:leader="none" w:pos="36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directly or indirectly soliciting the trade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78" w:name="page179"/>
    <w:bookmarkEnd w:id="178"/>
    <w:p>
      <w:pPr>
        <w:jc w:val="both"/>
        <w:spacing w:after="0" w:line="242" w:lineRule="auto"/>
        <w:rPr>
          <w:sz w:val="20"/>
          <w:szCs w:val="20"/>
          <w:color w:val="auto"/>
        </w:rPr>
      </w:pPr>
      <w:r>
        <w:rPr>
          <w:rFonts w:ascii="Arial" w:cs="Arial" w:eastAsia="Arial" w:hAnsi="Arial"/>
          <w:sz w:val="21"/>
          <w:szCs w:val="21"/>
          <w:color w:val="auto"/>
        </w:rPr>
        <w:t>business of any customer of the Company. “Detrimental Activity” for the purposes hereof with respect to involuntary termination without cause, termination in connection with or as a result of a “Change of Control”, or termination following a reduction in job responsibilities, shall include only part (ii) of the preceding sentence.</w:t>
      </w:r>
    </w:p>
    <w:p>
      <w:pPr>
        <w:spacing w:after="0" w:line="168" w:lineRule="exact"/>
        <w:rPr>
          <w:sz w:val="20"/>
          <w:szCs w:val="20"/>
          <w:color w:val="auto"/>
        </w:rPr>
      </w:pPr>
    </w:p>
    <w:p>
      <w:pPr>
        <w:ind w:left="1660" w:hanging="778"/>
        <w:spacing w:after="0"/>
        <w:tabs>
          <w:tab w:leader="none" w:pos="1660" w:val="left"/>
        </w:tabs>
        <w:numPr>
          <w:ilvl w:val="0"/>
          <w:numId w:val="2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4" w:lineRule="exact"/>
        <w:rPr>
          <w:sz w:val="20"/>
          <w:szCs w:val="20"/>
          <w:color w:val="auto"/>
        </w:rPr>
      </w:pPr>
    </w:p>
    <w:p>
      <w:pPr>
        <w:jc w:val="both"/>
        <w:ind w:firstLine="882"/>
        <w:spacing w:after="0" w:line="262" w:lineRule="auto"/>
        <w:tabs>
          <w:tab w:leader="none" w:pos="177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If the Optionee’s employment terminates at age 60 or older, for reasons other than “Cause” (as defined below), and the Optionee has at least ten years of continuous service with either or both the Company or a Subsidiary, any unvested Options shall continue to vest and be payable according to the terms of the Agreement; </w:t>
      </w:r>
      <w:r>
        <w:rPr>
          <w:rFonts w:ascii="Arial" w:cs="Arial" w:eastAsia="Arial" w:hAnsi="Arial"/>
          <w:sz w:val="19"/>
          <w:szCs w:val="19"/>
          <w:u w:val="single" w:color="auto"/>
          <w:color w:val="auto"/>
        </w:rPr>
        <w:t>excep</w:t>
      </w:r>
      <w:r>
        <w:rPr>
          <w:rFonts w:ascii="Arial" w:cs="Arial" w:eastAsia="Arial" w:hAnsi="Arial"/>
          <w:sz w:val="19"/>
          <w:szCs w:val="19"/>
          <w:color w:val="auto"/>
        </w:rPr>
        <w:t>t that, if such termination occurs within one year from grant date, the number of Options that will continue to vest shall be reduced to be proportionate to that portion of the year between grant date and termination date and the balance of the Option shall be immediately cancelled. The Optionee shall have the right to exercise the Option at any time within the lesser of: (i) the term of the option, or (ii) a three (3) year period commencing on the day next following such termination. “Continuous service” shall mean ten (10) years of continuous and uninterrupted employment of the Optionee by either or both of the Company or a Subsidiary from their most recent date of hire; and</w:t>
      </w:r>
    </w:p>
    <w:p>
      <w:pPr>
        <w:spacing w:after="0" w:line="159" w:lineRule="exact"/>
        <w:rPr>
          <w:rFonts w:ascii="Arial" w:cs="Arial" w:eastAsia="Arial" w:hAnsi="Arial"/>
          <w:sz w:val="19"/>
          <w:szCs w:val="19"/>
          <w:color w:val="auto"/>
        </w:rPr>
      </w:pPr>
    </w:p>
    <w:p>
      <w:pPr>
        <w:jc w:val="both"/>
        <w:ind w:firstLine="882"/>
        <w:spacing w:after="0" w:line="237" w:lineRule="auto"/>
        <w:tabs>
          <w:tab w:leader="none" w:pos="1791" w:val="left"/>
        </w:tabs>
        <w:numPr>
          <w:ilvl w:val="0"/>
          <w:numId w:val="279"/>
        </w:numPr>
        <w:rPr>
          <w:rFonts w:ascii="Arial" w:cs="Arial" w:eastAsia="Arial" w:hAnsi="Arial"/>
          <w:sz w:val="21"/>
          <w:szCs w:val="21"/>
          <w:color w:val="auto"/>
        </w:rPr>
      </w:pPr>
      <w:r>
        <w:rPr>
          <w:rFonts w:ascii="Arial" w:cs="Arial" w:eastAsia="Arial" w:hAnsi="Arial"/>
          <w:sz w:val="21"/>
          <w:szCs w:val="21"/>
          <w:color w:val="auto"/>
        </w:rPr>
        <w:t>If the Optionee is an executive officer, as determined annually by the Chief Executive Office of the Company, age 65 or older with at least ten years of continuous service with either or both of the Company or a Subsidiary and the Optionee’s employment terminates for reason other than Cause, or death or “Long-term Disability”, any unvested Options shall continue to vest according to the terms of the Agreement and the Optionee shall have the right to exercise the Options according to the terms of the Agreement; and</w:t>
      </w:r>
    </w:p>
    <w:p>
      <w:pPr>
        <w:spacing w:after="0" w:line="177" w:lineRule="exact"/>
        <w:rPr>
          <w:rFonts w:ascii="Arial" w:cs="Arial" w:eastAsia="Arial" w:hAnsi="Arial"/>
          <w:sz w:val="21"/>
          <w:szCs w:val="21"/>
          <w:color w:val="auto"/>
        </w:rPr>
      </w:pPr>
    </w:p>
    <w:p>
      <w:pPr>
        <w:jc w:val="both"/>
        <w:ind w:firstLine="882"/>
        <w:spacing w:after="0" w:line="263" w:lineRule="auto"/>
        <w:tabs>
          <w:tab w:leader="none" w:pos="1779" w:val="left"/>
        </w:tabs>
        <w:numPr>
          <w:ilvl w:val="0"/>
          <w:numId w:val="279"/>
        </w:numPr>
        <w:rPr>
          <w:rFonts w:ascii="Arial" w:cs="Arial" w:eastAsia="Arial" w:hAnsi="Arial"/>
          <w:sz w:val="19"/>
          <w:szCs w:val="19"/>
          <w:color w:val="auto"/>
        </w:rPr>
      </w:pPr>
      <w:r>
        <w:rPr>
          <w:rFonts w:ascii="Arial" w:cs="Arial" w:eastAsia="Arial" w:hAnsi="Arial"/>
          <w:sz w:val="19"/>
          <w:szCs w:val="19"/>
          <w:color w:val="auto"/>
        </w:rPr>
        <w:t>If the Optionee’s employment terminates by reason of death or “Long-term Disability”, of the Optionee, the Option shall vest in full, as of the date of death or the date of such termination and be exercisable pursuant to the terms of Section 5, and the Optionee or his/her personal representatives, heirs, legatees or distributees shall have the right to exercise the Option granted hereunder at any time within the lesser of: (1) the term of the Option or, (ii) a three (3) year period commencing on the date next following the date of such termination. For purposes of this Agreement, “Long-term Disability” shall mean that the Optionee is unable to engage in any substantial gainful activity by reason of any medically determinable physical or mental impairment that can be expected to result in death or can be expected to last for a continuous period of not less than twelve months; and</w:t>
      </w:r>
    </w:p>
    <w:p>
      <w:pPr>
        <w:spacing w:after="0" w:line="158" w:lineRule="exact"/>
        <w:rPr>
          <w:rFonts w:ascii="Arial" w:cs="Arial" w:eastAsia="Arial" w:hAnsi="Arial"/>
          <w:sz w:val="19"/>
          <w:szCs w:val="19"/>
          <w:color w:val="auto"/>
        </w:rPr>
      </w:pPr>
    </w:p>
    <w:p>
      <w:pPr>
        <w:jc w:val="both"/>
        <w:ind w:firstLine="882"/>
        <w:spacing w:after="0" w:line="254" w:lineRule="auto"/>
        <w:tabs>
          <w:tab w:leader="none" w:pos="1791"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If the Optionee’s employment terminates by reason of a workforce reduction, the Options shall continue to vest and be exercisable according to their terms;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that, if such termination occurs within one year from the effective date of the grant, the number of Options that will vest in full shall be reduced to be proportionate to that portion of the year between such effective date and the date of termination, and the balance of the grant shall be immediately cancelled;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79" w:name="page180"/>
    <w:bookmarkEnd w:id="179"/>
    <w:p>
      <w:pPr>
        <w:jc w:val="both"/>
        <w:ind w:firstLine="882"/>
        <w:spacing w:after="0" w:line="251" w:lineRule="auto"/>
        <w:tabs>
          <w:tab w:leader="none" w:pos="1779" w:val="left"/>
        </w:tabs>
        <w:numPr>
          <w:ilvl w:val="1"/>
          <w:numId w:val="280"/>
        </w:numPr>
        <w:rPr>
          <w:rFonts w:ascii="Arial" w:cs="Arial" w:eastAsia="Arial" w:hAnsi="Arial"/>
          <w:sz w:val="20"/>
          <w:szCs w:val="20"/>
          <w:color w:val="auto"/>
        </w:rPr>
      </w:pPr>
      <w:r>
        <w:rPr>
          <w:rFonts w:ascii="Arial" w:cs="Arial" w:eastAsia="Arial" w:hAnsi="Arial"/>
          <w:sz w:val="20"/>
          <w:szCs w:val="20"/>
          <w:color w:val="auto"/>
        </w:rPr>
        <w:t>If the Optionee’s employment terminates voluntarily other than as provided for in Sections (a), (b), (c) or (d) above, or as a result of involuntary termination other than for Cause or as provided for in Sections (c) and (d) above, no additional Options shall vest for the benefit of the Optionee after the termination date, and the Options shall be exercisable by the Optionee, with respect to those Shares which had already vested only, within a three (3) month period after such termination or the term of the Options, whichever is less, but only to the extent exercisable immediately prior to the date of termination; and</w:t>
      </w:r>
    </w:p>
    <w:p>
      <w:pPr>
        <w:spacing w:after="0" w:line="166" w:lineRule="exact"/>
        <w:rPr>
          <w:rFonts w:ascii="Arial" w:cs="Arial" w:eastAsia="Arial" w:hAnsi="Arial"/>
          <w:sz w:val="20"/>
          <w:szCs w:val="20"/>
          <w:color w:val="auto"/>
        </w:rPr>
      </w:pPr>
    </w:p>
    <w:p>
      <w:pPr>
        <w:ind w:firstLine="882"/>
        <w:spacing w:after="0" w:line="253" w:lineRule="auto"/>
        <w:tabs>
          <w:tab w:leader="none" w:pos="1756" w:val="left"/>
        </w:tabs>
        <w:numPr>
          <w:ilvl w:val="1"/>
          <w:numId w:val="280"/>
        </w:numPr>
        <w:rPr>
          <w:rFonts w:ascii="Arial" w:cs="Arial" w:eastAsia="Arial" w:hAnsi="Arial"/>
          <w:sz w:val="21"/>
          <w:szCs w:val="21"/>
          <w:color w:val="auto"/>
        </w:rPr>
      </w:pPr>
      <w:r>
        <w:rPr>
          <w:rFonts w:ascii="Arial" w:cs="Arial" w:eastAsia="Arial" w:hAnsi="Arial"/>
          <w:sz w:val="21"/>
          <w:szCs w:val="21"/>
          <w:color w:val="auto"/>
        </w:rPr>
        <w:t>If the Optionee’s employment is terminated for Cause, the Options shall terminate and no longer be exercisable for either the vested or the unvested Options; and</w:t>
      </w:r>
    </w:p>
    <w:p>
      <w:pPr>
        <w:spacing w:after="0" w:line="162" w:lineRule="exact"/>
        <w:rPr>
          <w:rFonts w:ascii="Arial" w:cs="Arial" w:eastAsia="Arial" w:hAnsi="Arial"/>
          <w:sz w:val="21"/>
          <w:szCs w:val="21"/>
          <w:color w:val="auto"/>
        </w:rPr>
      </w:pPr>
    </w:p>
    <w:p>
      <w:pPr>
        <w:jc w:val="both"/>
        <w:ind w:firstLine="882"/>
        <w:spacing w:after="0" w:line="236" w:lineRule="auto"/>
        <w:tabs>
          <w:tab w:leader="none" w:pos="1843" w:val="left"/>
        </w:tabs>
        <w:numPr>
          <w:ilvl w:val="1"/>
          <w:numId w:val="280"/>
        </w:numPr>
        <w:rPr>
          <w:rFonts w:ascii="Arial" w:cs="Arial" w:eastAsia="Arial" w:hAnsi="Arial"/>
          <w:sz w:val="21"/>
          <w:szCs w:val="21"/>
          <w:color w:val="auto"/>
        </w:rPr>
      </w:pPr>
      <w:r>
        <w:rPr>
          <w:rFonts w:ascii="Arial" w:cs="Arial" w:eastAsia="Arial" w:hAnsi="Arial"/>
          <w:sz w:val="21"/>
          <w:szCs w:val="21"/>
          <w:color w:val="auto"/>
        </w:rPr>
        <w:t>Any other agreement between the Optionee and the Company notwithstanding, if there is a termination of Optionee’s employment either by the Company without “Cause” or by the Optionee for reasons that would constitute “constructive termination” under applicable law during the period from the earlier of the occurrence of any of the events that would cause a “Change in Control” (as defined below) or the date of the agreement by the Company to enter into a transaction which results in a “Change in Control” or within two years following a “Change in Control”, the Options shall immediately vest and be payable in full pursuant to the terms of Section 5.</w:t>
      </w:r>
    </w:p>
    <w:p>
      <w:pPr>
        <w:spacing w:after="0" w:line="177" w:lineRule="exact"/>
        <w:rPr>
          <w:rFonts w:ascii="Arial" w:cs="Arial" w:eastAsia="Arial" w:hAnsi="Arial"/>
          <w:sz w:val="21"/>
          <w:szCs w:val="21"/>
          <w:color w:val="auto"/>
        </w:rPr>
      </w:pPr>
    </w:p>
    <w:p>
      <w:pPr>
        <w:jc w:val="both"/>
        <w:ind w:firstLine="882"/>
        <w:spacing w:after="0" w:line="274" w:lineRule="auto"/>
        <w:tabs>
          <w:tab w:leader="none" w:pos="179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“Cause” for the purposes hereof, shall mean the Optionee has (1) engaged in gross negligence or willful misconduct in the performance of his or her duties and responsibilities respecting his or her position with the Company or a Subsidiary; (2) willfully refused, without proper legal reason, to perform the duties and responsibilities respecting his or her position with the Company or a Subsidiary; (3) breached any material policy or code of conduct established by the Company or a Subsidiary and affecting the Optionee;</w:t>
      </w:r>
    </w:p>
    <w:p>
      <w:pPr>
        <w:spacing w:after="0" w:line="3" w:lineRule="exact"/>
        <w:rPr>
          <w:rFonts w:ascii="Arial" w:cs="Arial" w:eastAsia="Arial" w:hAnsi="Arial"/>
          <w:sz w:val="18"/>
          <w:szCs w:val="18"/>
          <w:color w:val="auto"/>
        </w:rPr>
      </w:pPr>
    </w:p>
    <w:p>
      <w:pPr>
        <w:jc w:val="both"/>
        <w:ind w:firstLine="3"/>
        <w:spacing w:after="0" w:line="235" w:lineRule="auto"/>
        <w:tabs>
          <w:tab w:leader="none" w:pos="293" w:val="left"/>
        </w:tabs>
        <w:numPr>
          <w:ilvl w:val="0"/>
          <w:numId w:val="281"/>
        </w:numPr>
        <w:rPr>
          <w:rFonts w:ascii="Arial" w:cs="Arial" w:eastAsia="Arial" w:hAnsi="Arial"/>
          <w:sz w:val="21"/>
          <w:szCs w:val="21"/>
          <w:color w:val="auto"/>
        </w:rPr>
      </w:pPr>
      <w:r>
        <w:rPr>
          <w:rFonts w:ascii="Arial" w:cs="Arial" w:eastAsia="Arial" w:hAnsi="Arial"/>
          <w:sz w:val="21"/>
          <w:szCs w:val="21"/>
          <w:color w:val="auto"/>
        </w:rPr>
        <w:t>engaged in conduct that Optionee knows or should know is materially injurious to the Company or a Subsidiary; (5) been convicted of a felony or a misdemeanor involving moral turpitude; or (6) engaged in an act of dishonest or impropriety which materially impairs the Optionee’s effectiveness in his or her position with the Company or a Subsidiary.</w:t>
      </w:r>
    </w:p>
    <w:p>
      <w:pPr>
        <w:spacing w:after="0" w:line="177" w:lineRule="exact"/>
        <w:rPr>
          <w:rFonts w:ascii="Arial" w:cs="Arial" w:eastAsia="Arial" w:hAnsi="Arial"/>
          <w:sz w:val="21"/>
          <w:szCs w:val="21"/>
          <w:color w:val="auto"/>
        </w:rPr>
      </w:pPr>
    </w:p>
    <w:p>
      <w:pPr>
        <w:jc w:val="both"/>
        <w:ind w:firstLine="882"/>
        <w:spacing w:after="0" w:line="242" w:lineRule="auto"/>
        <w:tabs>
          <w:tab w:leader="none" w:pos="1745" w:val="left"/>
        </w:tabs>
        <w:numPr>
          <w:ilvl w:val="1"/>
          <w:numId w:val="281"/>
        </w:numPr>
        <w:rPr>
          <w:rFonts w:ascii="Arial" w:cs="Arial" w:eastAsia="Arial" w:hAnsi="Arial"/>
          <w:sz w:val="21"/>
          <w:szCs w:val="21"/>
          <w:color w:val="auto"/>
        </w:rPr>
      </w:pPr>
      <w:r>
        <w:rPr>
          <w:rFonts w:ascii="Arial" w:cs="Arial" w:eastAsia="Arial" w:hAnsi="Arial"/>
          <w:sz w:val="21"/>
          <w:szCs w:val="21"/>
          <w:color w:val="auto"/>
        </w:rPr>
        <w:t>“Long-term Disability” for the purposes hereof, shall mean that the Optionee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73" w:lineRule="exact"/>
        <w:rPr>
          <w:rFonts w:ascii="Arial" w:cs="Arial" w:eastAsia="Arial" w:hAnsi="Arial"/>
          <w:sz w:val="21"/>
          <w:szCs w:val="21"/>
          <w:color w:val="auto"/>
        </w:rPr>
      </w:pPr>
    </w:p>
    <w:p>
      <w:pPr>
        <w:ind w:left="1740" w:hanging="858"/>
        <w:spacing w:after="0"/>
        <w:tabs>
          <w:tab w:leader="none" w:pos="174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“Change in Control” for the purposes of this Agreement, shall mean the earliest date on which:</w:t>
      </w:r>
    </w:p>
    <w:p>
      <w:pPr>
        <w:spacing w:after="0" w:line="197" w:lineRule="exact"/>
        <w:rPr>
          <w:rFonts w:ascii="Arial" w:cs="Arial" w:eastAsia="Arial" w:hAnsi="Arial"/>
          <w:sz w:val="21"/>
          <w:szCs w:val="21"/>
          <w:color w:val="auto"/>
        </w:rPr>
      </w:pPr>
    </w:p>
    <w:p>
      <w:pPr>
        <w:jc w:val="both"/>
        <w:ind w:left="1740" w:hanging="535"/>
        <w:spacing w:after="0" w:line="238" w:lineRule="auto"/>
        <w:tabs>
          <w:tab w:leader="none" w:pos="1740" w:val="left"/>
        </w:tabs>
        <w:numPr>
          <w:ilvl w:val="2"/>
          <w:numId w:val="281"/>
        </w:numPr>
        <w:rPr>
          <w:rFonts w:ascii="Arial" w:cs="Arial" w:eastAsia="Arial" w:hAnsi="Arial"/>
          <w:sz w:val="21"/>
          <w:szCs w:val="21"/>
          <w:color w:val="auto"/>
        </w:rPr>
      </w:pPr>
      <w:r>
        <w:rPr>
          <w:rFonts w:ascii="Arial" w:cs="Arial" w:eastAsia="Arial" w:hAnsi="Arial"/>
          <w:sz w:val="21"/>
          <w:szCs w:val="21"/>
          <w:color w:val="auto"/>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80" w:name="page181"/>
    <w:bookmarkEnd w:id="180"/>
    <w:p>
      <w:pPr>
        <w:jc w:val="both"/>
        <w:ind w:left="1740" w:hanging="535"/>
        <w:spacing w:after="0" w:line="237" w:lineRule="auto"/>
        <w:tabs>
          <w:tab w:leader="none" w:pos="174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77" w:lineRule="exact"/>
        <w:rPr>
          <w:rFonts w:ascii="Arial" w:cs="Arial" w:eastAsia="Arial" w:hAnsi="Arial"/>
          <w:sz w:val="21"/>
          <w:szCs w:val="21"/>
          <w:color w:val="auto"/>
        </w:rPr>
      </w:pPr>
    </w:p>
    <w:p>
      <w:pPr>
        <w:jc w:val="both"/>
        <w:ind w:left="1740" w:hanging="535"/>
        <w:spacing w:after="0" w:line="261" w:lineRule="auto"/>
        <w:tabs>
          <w:tab w:leader="none" w:pos="174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less than a majority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majority ownership continuity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w:t>
      </w:r>
    </w:p>
    <w:p>
      <w:pPr>
        <w:spacing w:after="0" w:line="156" w:lineRule="exact"/>
        <w:rPr>
          <w:rFonts w:ascii="Arial" w:cs="Arial" w:eastAsia="Arial" w:hAnsi="Arial"/>
          <w:sz w:val="19"/>
          <w:szCs w:val="19"/>
          <w:color w:val="auto"/>
        </w:rPr>
      </w:pPr>
    </w:p>
    <w:p>
      <w:pPr>
        <w:ind w:left="1740" w:hanging="535"/>
        <w:spacing w:after="0" w:line="253" w:lineRule="auto"/>
        <w:tabs>
          <w:tab w:leader="none" w:pos="174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a tender offer or exchange offer is made and consummated by a Person other than the Company for the ownership of 20% or more of the voting securities of the Company then outstanding; or</w:t>
      </w:r>
    </w:p>
    <w:p>
      <w:pPr>
        <w:spacing w:after="0" w:line="162" w:lineRule="exact"/>
        <w:rPr>
          <w:rFonts w:ascii="Arial" w:cs="Arial" w:eastAsia="Arial" w:hAnsi="Arial"/>
          <w:sz w:val="21"/>
          <w:szCs w:val="21"/>
          <w:color w:val="auto"/>
        </w:rPr>
      </w:pPr>
    </w:p>
    <w:p>
      <w:pPr>
        <w:jc w:val="both"/>
        <w:ind w:left="1740" w:hanging="535"/>
        <w:spacing w:after="0" w:line="238" w:lineRule="auto"/>
        <w:tabs>
          <w:tab w:leader="none" w:pos="174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Optionee, or a group of Persons which includes the Optionee, acquiring more than 20%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171" w:lineRule="exact"/>
        <w:rPr>
          <w:sz w:val="20"/>
          <w:szCs w:val="20"/>
          <w:color w:val="auto"/>
        </w:rPr>
      </w:pPr>
    </w:p>
    <w:p>
      <w:pPr>
        <w:ind w:firstLine="882"/>
        <w:spacing w:after="0" w:line="259" w:lineRule="auto"/>
        <w:tabs>
          <w:tab w:leader="none" w:pos="1757" w:val="left"/>
        </w:tabs>
        <w:numPr>
          <w:ilvl w:val="0"/>
          <w:numId w:val="2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81" w:name="page182"/>
    <w:bookmarkEnd w:id="181"/>
    <w:p>
      <w:pPr>
        <w:jc w:val="both"/>
        <w:ind w:firstLine="882"/>
        <w:spacing w:after="0" w:line="245" w:lineRule="auto"/>
        <w:tabs>
          <w:tab w:leader="none" w:pos="1745" w:val="left"/>
        </w:tabs>
        <w:numPr>
          <w:ilvl w:val="0"/>
          <w:numId w:val="2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0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60" w:hanging="878"/>
        <w:spacing w:after="0"/>
        <w:tabs>
          <w:tab w:leader="none" w:pos="1760" w:val="left"/>
        </w:tabs>
        <w:numPr>
          <w:ilvl w:val="1"/>
          <w:numId w:val="2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firstLine="882"/>
        <w:spacing w:after="0" w:line="276" w:lineRule="auto"/>
        <w:tabs>
          <w:tab w:leader="none" w:pos="1757"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Paragraph 9 hereof, this Agreement shall inure to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w:t>
      </w:r>
    </w:p>
    <w:p>
      <w:pPr>
        <w:spacing w:after="0" w:line="2" w:lineRule="exact"/>
        <w:rPr>
          <w:rFonts w:ascii="Arial" w:cs="Arial" w:eastAsia="Arial" w:hAnsi="Arial"/>
          <w:sz w:val="18"/>
          <w:szCs w:val="18"/>
          <w:b w:val="1"/>
          <w:bCs w:val="1"/>
          <w:color w:val="auto"/>
        </w:rPr>
      </w:pPr>
    </w:p>
    <w:p>
      <w:pPr>
        <w:jc w:val="both"/>
        <w:ind w:firstLine="3"/>
        <w:spacing w:after="0" w:line="233" w:lineRule="auto"/>
        <w:tabs>
          <w:tab w:leader="none" w:pos="266" w:val="left"/>
        </w:tabs>
        <w:numPr>
          <w:ilvl w:val="0"/>
          <w:numId w:val="286"/>
        </w:numPr>
        <w:rPr>
          <w:rFonts w:ascii="Arial" w:cs="Arial" w:eastAsia="Arial" w:hAnsi="Arial"/>
          <w:sz w:val="21"/>
          <w:szCs w:val="21"/>
          <w:color w:val="auto"/>
        </w:rPr>
      </w:pPr>
      <w:r>
        <w:rPr>
          <w:rFonts w:ascii="Arial" w:cs="Arial" w:eastAsia="Arial" w:hAnsi="Arial"/>
          <w:sz w:val="21"/>
          <w:szCs w:val="21"/>
          <w:color w:val="auto"/>
        </w:rPr>
        <w:t>by will or the laws of descent and distribution; or (ii) pursuant to the qualified domestic relations order (as defined by the Internal Revenue Code); or (iii) with respect to grants of nonqualified stock options, by transfer by an Optionee to a member of the Optionee’s Immediate Family, or to a partnership or limited liability company whose only partners or shareholders are the Optionee and members of his Immediate Family. However, any grant transferred shall continue to be subject to all terms and conditions contained in the Agreement.</w:t>
      </w:r>
    </w:p>
    <w:p>
      <w:pPr>
        <w:spacing w:after="0" w:line="173" w:lineRule="exact"/>
        <w:rPr>
          <w:rFonts w:ascii="Arial" w:cs="Arial" w:eastAsia="Arial" w:hAnsi="Arial"/>
          <w:sz w:val="21"/>
          <w:szCs w:val="21"/>
          <w:color w:val="auto"/>
        </w:rPr>
      </w:pPr>
    </w:p>
    <w:p>
      <w:pPr>
        <w:ind w:left="1760" w:hanging="878"/>
        <w:spacing w:after="0"/>
        <w:tabs>
          <w:tab w:leader="none" w:pos="1760" w:val="left"/>
        </w:tabs>
        <w:numPr>
          <w:ilvl w:val="1"/>
          <w:numId w:val="2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firstLine="882"/>
        <w:spacing w:after="0" w:line="245" w:lineRule="auto"/>
        <w:tabs>
          <w:tab w:leader="none" w:pos="1792" w:val="left"/>
        </w:tabs>
        <w:numPr>
          <w:ilvl w:val="0"/>
          <w:numId w:val="287"/>
        </w:numPr>
        <w:rPr>
          <w:rFonts w:ascii="Arial" w:cs="Arial" w:eastAsia="Arial" w:hAnsi="Arial"/>
          <w:sz w:val="20"/>
          <w:szCs w:val="20"/>
          <w:color w:val="auto"/>
        </w:rPr>
      </w:pPr>
      <w:r>
        <w:rPr>
          <w:rFonts w:ascii="Arial" w:cs="Arial" w:eastAsia="Arial" w:hAnsi="Arial"/>
          <w:sz w:val="20"/>
          <w:szCs w:val="20"/>
          <w:color w:val="auto"/>
        </w:rPr>
        <w:t>Regardless of any action the Company or Optionee's employer (the “Employer”) takes with respect to any or all income tax (including foreign, federal, state and local tax), social insurance, payroll tax, payment on account or other tax-related items related to Optionee's participation in the Plan and legally applicable to Optionee (“Tax-Related Items”), Optionee acknowledges that the ultimate liability for all Tax-Related Items legally due by Optionee is and remains Optionee's responsibility and may exceed the amount actually withheld by the Company and/or the Employer. Optionee further acknowledges that the Company and/or the Employer (i) make no representations or undertakings regarding the treatment of any Tax-Related Items in connection with any aspect of the Option, including but not limited to, the grant, vesting, exercise of the Option, the issuance of Shares upon exercise, the subsequent sale of Shares acquired pursuant to the exercise of the Option and the receipt of any dividends; and (ii) do not commit to and are under no obligation to structure the terms of the grant or any aspect of the Option to reduce or eliminate Optionee's liability for Tax-Related Items or achieve any particular tax result. Further, if Optionee has become subject to tax in more than one jurisdiction, Optionee acknowledges that the Company and/or the Employer (or former employer, as applicable) may be required to withhold or account for Tax-Related Items in more than one jurisdiction.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82" w:name="page183"/>
    <w:bookmarkEnd w:id="182"/>
    <w:p>
      <w:pPr>
        <w:jc w:val="both"/>
        <w:ind w:firstLine="882"/>
        <w:spacing w:after="0" w:line="261" w:lineRule="auto"/>
        <w:tabs>
          <w:tab w:leader="none" w:pos="1817" w:val="left"/>
        </w:tabs>
        <w:numPr>
          <w:ilvl w:val="0"/>
          <w:numId w:val="288"/>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(“Tax Date”), as applicable, Optionee will pay or make adequate arrangements satisfactory to the Company and/or the Employer to satisfy all Tax-Related Items. In this regard, Optionee authorizes the Company and/or the Employer or their respective agents, at their discretion, to satisfy the obligations with regard to all Tax-Related Items by one or a combination of the following: (i) accept a cash payment in U.S. Dollars in the amount of Tax-Related Items, (ii) withhold whole Shares which would otherwise be delivered to Optionee having an aggregate Fair Market Value, determined as of the Tax Date, or withhold an amount of cash from Optionee's wages or other cash compensation which would otherwise be payable to Optionee by the Company and/or the Employer, equal to the amount necessary to satisfy any such obligations, (iii) withhold from proceeds of the sale of Shares acquired upon exercise of the Option either through a voluntary sale or through a mandatory sale arranged by the Company (on Optionee's behalf pursuant to this authorization), or (iv) a cash payment to the Company by a broker-dealer acceptable to the Company to whom Optionee have submitted an irrevocable notice of exercise.</w:t>
      </w:r>
    </w:p>
    <w:p>
      <w:pPr>
        <w:spacing w:after="0" w:line="156" w:lineRule="exact"/>
        <w:rPr>
          <w:rFonts w:ascii="Arial" w:cs="Arial" w:eastAsia="Arial" w:hAnsi="Arial"/>
          <w:sz w:val="19"/>
          <w:szCs w:val="19"/>
          <w:color w:val="auto"/>
        </w:rPr>
      </w:pPr>
    </w:p>
    <w:p>
      <w:pPr>
        <w:jc w:val="both"/>
        <w:ind w:firstLine="882"/>
        <w:spacing w:after="0" w:line="246" w:lineRule="auto"/>
        <w:tabs>
          <w:tab w:leader="none" w:pos="1831" w:val="left"/>
        </w:tabs>
        <w:numPr>
          <w:ilvl w:val="0"/>
          <w:numId w:val="288"/>
        </w:numPr>
        <w:rPr>
          <w:rFonts w:ascii="Arial" w:cs="Arial" w:eastAsia="Arial" w:hAnsi="Arial"/>
          <w:sz w:val="20"/>
          <w:szCs w:val="20"/>
          <w:color w:val="auto"/>
        </w:rPr>
      </w:pPr>
      <w:r>
        <w:rPr>
          <w:rFonts w:ascii="Arial" w:cs="Arial" w:eastAsia="Arial" w:hAnsi="Arial"/>
          <w:sz w:val="20"/>
          <w:szCs w:val="20"/>
          <w:color w:val="auto"/>
        </w:rPr>
        <w:t>To avoid negative accounting treatment, the Company may withhold or account for Tax-Related Items by considering applicable minimum statutory withholding rates. If the obligation for Tax-Related Items is satisfied by withholding in Shares, for tax purposes, Optionee are deemed to have been issued the full number of Shares subject to the Option, notwithstanding that a number of Shares are held back solely for the purpose of paying the Tax-Related Items. Finally, Optionee shall pay to the Company or the Employer any amount of Tax-Related Items that the Company or the Employer may be required to withhold as a result of Optionee's participation in the Plan that cannot be satisfied by the means previously described. The Company shall have sole discretion to deliver the Shares if Optionee fails to comply with his or her obligations in connection with the Tax-Related Items as described in this section and Optionee unconditionally consents to and approves any such action taken by the Company. Optionee (or any beneficiary or person entitled to act on Optionee's behalf) shall provide the Company with any forms, documents or other information reasonably required by the Company.</w:t>
      </w:r>
    </w:p>
    <w:p>
      <w:pPr>
        <w:spacing w:after="0" w:line="169" w:lineRule="exact"/>
        <w:rPr>
          <w:sz w:val="20"/>
          <w:szCs w:val="20"/>
          <w:color w:val="auto"/>
        </w:rPr>
      </w:pPr>
    </w:p>
    <w:p>
      <w:pPr>
        <w:ind w:left="1820" w:hanging="938"/>
        <w:spacing w:after="0"/>
        <w:tabs>
          <w:tab w:leader="none" w:pos="1820" w:val="left"/>
        </w:tabs>
        <w:numPr>
          <w:ilvl w:val="0"/>
          <w:numId w:val="2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Consent to Collection, Processing and Transfer of Personal Data.</w:t>
      </w:r>
    </w:p>
    <w:p>
      <w:pPr>
        <w:spacing w:after="0" w:line="230" w:lineRule="exact"/>
        <w:rPr>
          <w:sz w:val="20"/>
          <w:szCs w:val="20"/>
          <w:color w:val="auto"/>
        </w:rPr>
      </w:pPr>
    </w:p>
    <w:p>
      <w:pPr>
        <w:jc w:val="both"/>
        <w:ind w:firstLine="882"/>
        <w:spacing w:after="0" w:line="248" w:lineRule="auto"/>
        <w:tabs>
          <w:tab w:leader="none" w:pos="1779" w:val="left"/>
        </w:tabs>
        <w:numPr>
          <w:ilvl w:val="0"/>
          <w:numId w:val="290"/>
        </w:numPr>
        <w:rPr>
          <w:rFonts w:ascii="Arial" w:cs="Arial" w:eastAsia="Arial" w:hAnsi="Arial"/>
          <w:sz w:val="20"/>
          <w:szCs w:val="20"/>
          <w:color w:val="auto"/>
        </w:rPr>
      </w:pPr>
      <w:r>
        <w:rPr>
          <w:rFonts w:ascii="Arial" w:cs="Arial" w:eastAsia="Arial" w:hAnsi="Arial"/>
          <w:sz w:val="20"/>
          <w:szCs w:val="20"/>
          <w:color w:val="auto"/>
        </w:rPr>
        <w:t>Pursuant to applicable personal data protection laws, the Company and the Employer (if different) hereby notify the Optionee of the following in relation to the Optionee's personal data and the collection, processing and transfer of such data in relation to the Company’s grant of this Option and the Optionee's participation in the Plan. The collection, processing and transfer of the Optionee's personal data are necessary for the Company’s administration of the Plan and the Optionee's participation in the Plan. The Optionee's denial and/or objection to the collection, processing and transfer of personal data may affect the Optionee's participation in the Plan. The Optionee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auto"/>
        </w:rPr>
      </w:pPr>
    </w:p>
    <w:p>
      <w:pPr>
        <w:jc w:val="both"/>
        <w:ind w:firstLine="882"/>
        <w:spacing w:after="0" w:line="260" w:lineRule="auto"/>
        <w:tabs>
          <w:tab w:leader="none" w:pos="180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Company and the Employer (if different) hold certain personal information about the Optionee, including the Optionee's name, home address and telephone number, date of birth, social security number or other employee identification number, salary, nationality, job title, any Shares or directorships held in the Company, details of all awards or any other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83" w:name="page184"/>
    <w:bookmarkEnd w:id="183"/>
    <w:p>
      <w:pPr>
        <w:jc w:val="both"/>
        <w:spacing w:after="0" w:line="261" w:lineRule="auto"/>
        <w:rPr>
          <w:sz w:val="20"/>
          <w:szCs w:val="20"/>
          <w:color w:val="auto"/>
        </w:rPr>
      </w:pPr>
      <w:r>
        <w:rPr>
          <w:rFonts w:ascii="Arial" w:cs="Arial" w:eastAsia="Arial" w:hAnsi="Arial"/>
          <w:sz w:val="19"/>
          <w:szCs w:val="19"/>
          <w:color w:val="auto"/>
        </w:rPr>
        <w:t>entitlement to Shares awarded, canceled, purchased, vested, unvested or outstanding in the Optionee's favor, for the purpose of managing and administering the Plan (“Data”). The Data may be provided by the Optionee or collected, where lawful, from third parties, and the Company and Employer (if different) will process the Data for the exclusive purpose of implementing, administering and managing the Optionee's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 Optionee's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Optionee's participation in the Plan.</w:t>
      </w:r>
    </w:p>
    <w:p>
      <w:pPr>
        <w:spacing w:after="0" w:line="187" w:lineRule="exact"/>
        <w:rPr>
          <w:sz w:val="20"/>
          <w:szCs w:val="20"/>
          <w:color w:val="auto"/>
        </w:rPr>
      </w:pPr>
    </w:p>
    <w:p>
      <w:pPr>
        <w:jc w:val="both"/>
        <w:ind w:firstLine="882"/>
        <w:spacing w:after="0" w:line="279" w:lineRule="auto"/>
        <w:tabs>
          <w:tab w:leader="none" w:pos="177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and the Employer (if different) will transfer Data amongst themselves as necessary for the purpose of implementation, administration and management of the Optionee's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Optionee hereby authorizes (where required under applicable law) them to receive, possess, use, retain and transfer the Data, in electronic or other form, for purposes of implementing, administering and managing the Optionee's participation in the Plan, including any requisite transfer of such Data as may be required for the administration of the Plan and/or the subsequent holding of Shares on the Optionee's behalf to a broker or other third party with whom the Optionee may elect to deposit any Shares acquired pursuant to the Plan.</w:t>
      </w:r>
    </w:p>
    <w:p>
      <w:pPr>
        <w:spacing w:after="0" w:line="142" w:lineRule="exact"/>
        <w:rPr>
          <w:rFonts w:ascii="Arial" w:cs="Arial" w:eastAsia="Arial" w:hAnsi="Arial"/>
          <w:sz w:val="18"/>
          <w:szCs w:val="18"/>
          <w:color w:val="auto"/>
        </w:rPr>
      </w:pPr>
    </w:p>
    <w:p>
      <w:pPr>
        <w:jc w:val="both"/>
        <w:ind w:firstLine="882"/>
        <w:spacing w:after="0" w:line="249" w:lineRule="auto"/>
        <w:tabs>
          <w:tab w:leader="none" w:pos="179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The Optionee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Optionee's participation in the Plan. The Optionee may seek to exercise these rights by contacting the Company’s Corporate Secretary’s Department</w:t>
      </w:r>
      <w:r>
        <w:rPr>
          <w:rFonts w:ascii="Arial" w:cs="Arial" w:eastAsia="Arial" w:hAnsi="Arial"/>
          <w:sz w:val="20"/>
          <w:szCs w:val="20"/>
          <w:b w:val="1"/>
          <w:bCs w:val="1"/>
          <w:color w:val="auto"/>
        </w:rPr>
        <w:t>.</w:t>
      </w:r>
    </w:p>
    <w:p>
      <w:pPr>
        <w:spacing w:after="0" w:line="164" w:lineRule="exact"/>
        <w:rPr>
          <w:sz w:val="20"/>
          <w:szCs w:val="20"/>
          <w:color w:val="auto"/>
        </w:rPr>
      </w:pPr>
    </w:p>
    <w:p>
      <w:pPr>
        <w:jc w:val="both"/>
        <w:ind w:firstLine="882"/>
        <w:spacing w:after="0" w:line="238" w:lineRule="auto"/>
        <w:tabs>
          <w:tab w:leader="none" w:pos="1847" w:val="left"/>
        </w:tabs>
        <w:numPr>
          <w:ilvl w:val="0"/>
          <w:numId w:val="2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 acknowledges and agrees that it is the Optionee's express intent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Plan and all other documents, notices and legal proceedings entered into, given or instituted pursuant to the Option, be drawn up in English. If the Optionee has received the Agreement, the Plan or any other documents related to the Options translated into a language other than English, and if the meaning of the translated version is different than the English version, the English version will control.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84" w:name="page185"/>
    <w:bookmarkEnd w:id="184"/>
    <w:p>
      <w:pPr>
        <w:ind w:left="1760" w:hanging="878"/>
        <w:spacing w:after="0"/>
        <w:tabs>
          <w:tab w:leader="none" w:pos="1760" w:val="left"/>
        </w:tabs>
        <w:numPr>
          <w:ilvl w:val="0"/>
          <w:numId w:val="2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Grant</w:t>
      </w:r>
      <w:r>
        <w:rPr>
          <w:rFonts w:ascii="Arial" w:cs="Arial" w:eastAsia="Arial" w:hAnsi="Arial"/>
          <w:sz w:val="21"/>
          <w:szCs w:val="21"/>
          <w:u w:val="single" w:color="auto"/>
          <w:color w:val="auto"/>
        </w:rPr>
        <w: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of Options, Optionee acknowledges that:</w:t>
      </w:r>
    </w:p>
    <w:p>
      <w:pPr>
        <w:spacing w:after="0" w:line="224" w:lineRule="exact"/>
        <w:rPr>
          <w:sz w:val="20"/>
          <w:szCs w:val="20"/>
          <w:color w:val="auto"/>
        </w:rPr>
      </w:pPr>
    </w:p>
    <w:p>
      <w:pPr>
        <w:ind w:firstLine="882"/>
        <w:spacing w:after="0" w:line="278" w:lineRule="auto"/>
        <w:tabs>
          <w:tab w:leader="none" w:pos="1779"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4" w:lineRule="exact"/>
        <w:rPr>
          <w:rFonts w:ascii="Arial" w:cs="Arial" w:eastAsia="Arial" w:hAnsi="Arial"/>
          <w:sz w:val="20"/>
          <w:szCs w:val="20"/>
          <w:color w:val="auto"/>
        </w:rPr>
      </w:pPr>
    </w:p>
    <w:p>
      <w:pPr>
        <w:ind w:firstLine="882"/>
        <w:spacing w:after="0" w:line="253" w:lineRule="auto"/>
        <w:tabs>
          <w:tab w:leader="none" w:pos="1791"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grant of Options is a one-time benefit and does not create any contractual or other right to receive an award or benefits in lieu of an award in the future; future awards, if any, will be at the sole discretion of the Company.</w:t>
      </w:r>
    </w:p>
    <w:p>
      <w:pPr>
        <w:spacing w:after="0" w:line="188" w:lineRule="exact"/>
        <w:rPr>
          <w:rFonts w:ascii="Arial" w:cs="Arial" w:eastAsia="Arial" w:hAnsi="Arial"/>
          <w:sz w:val="21"/>
          <w:szCs w:val="21"/>
          <w:color w:val="auto"/>
        </w:rPr>
      </w:pPr>
    </w:p>
    <w:p>
      <w:pPr>
        <w:ind w:left="1780" w:hanging="898"/>
        <w:spacing w:after="0"/>
        <w:tabs>
          <w:tab w:leader="none" w:pos="1780"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Optionee is voluntarily participating in the Plan.</w:t>
      </w:r>
    </w:p>
    <w:p>
      <w:pPr>
        <w:spacing w:after="0" w:line="223" w:lineRule="exact"/>
        <w:rPr>
          <w:rFonts w:ascii="Arial" w:cs="Arial" w:eastAsia="Arial" w:hAnsi="Arial"/>
          <w:sz w:val="21"/>
          <w:szCs w:val="21"/>
          <w:color w:val="auto"/>
        </w:rPr>
      </w:pPr>
    </w:p>
    <w:p>
      <w:pPr>
        <w:ind w:firstLine="882"/>
        <w:spacing w:after="0" w:line="253" w:lineRule="auto"/>
        <w:tabs>
          <w:tab w:leader="none" w:pos="1817" w:val="left"/>
        </w:tabs>
        <w:numPr>
          <w:ilvl w:val="0"/>
          <w:numId w:val="294"/>
        </w:numPr>
        <w:rPr>
          <w:rFonts w:ascii="Arial" w:cs="Arial" w:eastAsia="Arial" w:hAnsi="Arial"/>
          <w:sz w:val="21"/>
          <w:szCs w:val="21"/>
          <w:color w:val="auto"/>
        </w:rPr>
      </w:pPr>
      <w:r>
        <w:rPr>
          <w:rFonts w:ascii="Arial" w:cs="Arial" w:eastAsia="Arial" w:hAnsi="Arial"/>
          <w:sz w:val="21"/>
          <w:szCs w:val="21"/>
          <w:color w:val="auto"/>
        </w:rPr>
        <w:t>An Option is an extraordinary item that does not constitute compensation of any kind for services of any kind rendered to the Employer, and which is outside the scope of the Optionee's employment contract, if any.</w:t>
      </w:r>
    </w:p>
    <w:p>
      <w:pPr>
        <w:spacing w:after="0" w:line="188" w:lineRule="exact"/>
        <w:rPr>
          <w:rFonts w:ascii="Arial" w:cs="Arial" w:eastAsia="Arial" w:hAnsi="Arial"/>
          <w:sz w:val="21"/>
          <w:szCs w:val="21"/>
          <w:color w:val="auto"/>
        </w:rPr>
      </w:pPr>
    </w:p>
    <w:p>
      <w:pPr>
        <w:jc w:val="both"/>
        <w:ind w:firstLine="882"/>
        <w:spacing w:after="0" w:line="238" w:lineRule="auto"/>
        <w:tabs>
          <w:tab w:leader="none" w:pos="1779"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Options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204" w:lineRule="exact"/>
        <w:rPr>
          <w:rFonts w:ascii="Arial" w:cs="Arial" w:eastAsia="Arial" w:hAnsi="Arial"/>
          <w:sz w:val="21"/>
          <w:szCs w:val="21"/>
          <w:color w:val="auto"/>
        </w:rPr>
      </w:pPr>
    </w:p>
    <w:p>
      <w:pPr>
        <w:ind w:firstLine="882"/>
        <w:spacing w:after="0" w:line="253" w:lineRule="auto"/>
        <w:tabs>
          <w:tab w:leader="none" w:pos="1795"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Options will not be interpreted to form an employment contract or relationship with the Company; and furthermore, the Options will not be interpreted to form an employment contract with any Subsidiary.</w:t>
      </w:r>
    </w:p>
    <w:p>
      <w:pPr>
        <w:spacing w:after="0" w:line="188" w:lineRule="exact"/>
        <w:rPr>
          <w:rFonts w:ascii="Arial" w:cs="Arial" w:eastAsia="Arial" w:hAnsi="Arial"/>
          <w:sz w:val="21"/>
          <w:szCs w:val="21"/>
          <w:color w:val="auto"/>
        </w:rPr>
      </w:pPr>
    </w:p>
    <w:p>
      <w:pPr>
        <w:jc w:val="both"/>
        <w:ind w:firstLine="882"/>
        <w:spacing w:after="0" w:line="242" w:lineRule="auto"/>
        <w:tabs>
          <w:tab w:leader="none" w:pos="1791"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This Agreement shall not confer upon the Optionee any right to continuation of employment by the Employer, nor shall this Agreement interfere in any way with the Employer’s right to terminate the Optionee's employment at any time, as may be permitted under local law.</w:t>
      </w:r>
    </w:p>
    <w:p>
      <w:pPr>
        <w:spacing w:after="0" w:line="199" w:lineRule="exact"/>
        <w:rPr>
          <w:rFonts w:ascii="Arial" w:cs="Arial" w:eastAsia="Arial" w:hAnsi="Arial"/>
          <w:sz w:val="21"/>
          <w:szCs w:val="21"/>
          <w:color w:val="auto"/>
        </w:rPr>
      </w:pPr>
    </w:p>
    <w:p>
      <w:pPr>
        <w:ind w:firstLine="882"/>
        <w:spacing w:after="0" w:line="253" w:lineRule="auto"/>
        <w:tabs>
          <w:tab w:leader="none" w:pos="1804"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 if the value of the Shares does not increase after the time of grant, this Option will have no value.</w:t>
      </w:r>
    </w:p>
    <w:p>
      <w:pPr>
        <w:spacing w:after="0" w:line="188" w:lineRule="exact"/>
        <w:rPr>
          <w:rFonts w:ascii="Arial" w:cs="Arial" w:eastAsia="Arial" w:hAnsi="Arial"/>
          <w:sz w:val="21"/>
          <w:szCs w:val="21"/>
          <w:color w:val="auto"/>
        </w:rPr>
      </w:pPr>
    </w:p>
    <w:p>
      <w:pPr>
        <w:ind w:left="1740" w:hanging="858"/>
        <w:spacing w:after="0"/>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the Options vest and the Optionee obtains Shares, the value of those Shares acquired may increase or decrease in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value.</w:t>
      </w:r>
    </w:p>
    <w:p>
      <w:pPr>
        <w:spacing w:after="0" w:line="179" w:lineRule="exact"/>
        <w:rPr>
          <w:rFonts w:ascii="Arial" w:cs="Arial" w:eastAsia="Arial" w:hAnsi="Arial"/>
          <w:sz w:val="18"/>
          <w:szCs w:val="18"/>
          <w:color w:val="auto"/>
        </w:rPr>
      </w:pPr>
    </w:p>
    <w:p>
      <w:pPr>
        <w:jc w:val="both"/>
        <w:ind w:firstLine="882"/>
        <w:spacing w:after="0" w:line="249" w:lineRule="auto"/>
        <w:tabs>
          <w:tab w:leader="none" w:pos="1758" w:val="left"/>
        </w:tabs>
        <w:numPr>
          <w:ilvl w:val="0"/>
          <w:numId w:val="294"/>
        </w:numPr>
        <w:rPr>
          <w:rFonts w:ascii="Arial" w:cs="Arial" w:eastAsia="Arial" w:hAnsi="Arial"/>
          <w:sz w:val="20"/>
          <w:szCs w:val="20"/>
          <w:color w:val="auto"/>
        </w:rPr>
      </w:pPr>
      <w:r>
        <w:rPr>
          <w:rFonts w:ascii="Arial" w:cs="Arial" w:eastAsia="Arial" w:hAnsi="Arial"/>
          <w:sz w:val="20"/>
          <w:szCs w:val="20"/>
          <w:color w:val="auto"/>
        </w:rPr>
        <w:t>In consideration of the grant of the Options, no claim or entitlement to compensation or damages shall arise from termination of the Options or diminution in value of the Options or Shares acquired upon exercise of the Option resulting from termination of the Optionee's employment (for any reason whatsoever and whether or not in breach of local labor laws) and the Optionee irrevocably releases the Company and the Employer (if different) from any such claim that may arise; if, notwithstanding the foregoing, any such claim is found by a court of competent jurisdiction to have arisen, then, by accepting this Option, the Optionee will be deemed irrevocably to have waived the Optionee's entitlement to pursue such claim.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85" w:name="page186"/>
    <w:bookmarkEnd w:id="185"/>
    <w:p>
      <w:pPr>
        <w:jc w:val="both"/>
        <w:ind w:firstLine="882"/>
        <w:spacing w:after="0" w:line="247" w:lineRule="auto"/>
        <w:tabs>
          <w:tab w:leader="none" w:pos="1804" w:val="left"/>
        </w:tabs>
        <w:numPr>
          <w:ilvl w:val="0"/>
          <w:numId w:val="295"/>
        </w:numPr>
        <w:rPr>
          <w:rFonts w:ascii="Arial" w:cs="Arial" w:eastAsia="Arial" w:hAnsi="Arial"/>
          <w:sz w:val="20"/>
          <w:szCs w:val="20"/>
          <w:color w:val="auto"/>
        </w:rPr>
      </w:pPr>
      <w:r>
        <w:rPr>
          <w:rFonts w:ascii="Arial" w:cs="Arial" w:eastAsia="Arial" w:hAnsi="Arial"/>
          <w:sz w:val="20"/>
          <w:szCs w:val="20"/>
          <w:color w:val="auto"/>
        </w:rPr>
        <w:t>In the event of involuntary termination of Optionee’s employment (whether or not in breach of local labor laws), Optionee’s right to receive Options and vest under the Plan, if any, will terminate effective as of the date that Optionee is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Optionee’s right to exercise Options and vesting in Options after termination of employment, if any will be measured by the date of termination of Optionee’s active employment and will not be extended by a notice period mandated under local law; the Committee shall have the exclusive discretion to determine when the Optionee is no longer actively employed for purposes of the award of the Options.</w:t>
      </w:r>
    </w:p>
    <w:p>
      <w:pPr>
        <w:spacing w:after="0" w:line="173" w:lineRule="exact"/>
        <w:rPr>
          <w:rFonts w:ascii="Arial" w:cs="Arial" w:eastAsia="Arial" w:hAnsi="Arial"/>
          <w:sz w:val="20"/>
          <w:szCs w:val="20"/>
          <w:color w:val="auto"/>
        </w:rPr>
      </w:pPr>
    </w:p>
    <w:p>
      <w:pPr>
        <w:ind w:firstLine="882"/>
        <w:spacing w:after="0" w:line="253" w:lineRule="auto"/>
        <w:tabs>
          <w:tab w:leader="none" w:pos="1745" w:val="left"/>
        </w:tabs>
        <w:numPr>
          <w:ilvl w:val="0"/>
          <w:numId w:val="295"/>
        </w:numPr>
        <w:rPr>
          <w:rFonts w:ascii="Arial" w:cs="Arial" w:eastAsia="Arial" w:hAnsi="Arial"/>
          <w:sz w:val="21"/>
          <w:szCs w:val="21"/>
          <w:color w:val="auto"/>
        </w:rPr>
      </w:pPr>
      <w:r>
        <w:rPr>
          <w:rFonts w:ascii="Arial" w:cs="Arial" w:eastAsia="Arial" w:hAnsi="Arial"/>
          <w:sz w:val="21"/>
          <w:szCs w:val="21"/>
          <w:color w:val="auto"/>
        </w:rPr>
        <w:t>The Options and benefits under the Plan, if any, will not automatically transfer to another company in the case of a merger, take-over or transfer of liability.</w:t>
      </w:r>
    </w:p>
    <w:p>
      <w:pPr>
        <w:spacing w:after="0" w:line="363" w:lineRule="exact"/>
        <w:rPr>
          <w:sz w:val="20"/>
          <w:szCs w:val="20"/>
          <w:color w:val="auto"/>
        </w:rPr>
      </w:pPr>
    </w:p>
    <w:p>
      <w:pPr>
        <w:jc w:val="both"/>
        <w:ind w:firstLine="882"/>
        <w:spacing w:after="0"/>
        <w:tabs>
          <w:tab w:leader="none" w:pos="1808" w:val="left"/>
        </w:tabs>
        <w:numPr>
          <w:ilvl w:val="0"/>
          <w:numId w:val="2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Option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auto"/>
        </w:rPr>
      </w:pPr>
    </w:p>
    <w:p>
      <w:pPr>
        <w:jc w:val="both"/>
        <w:ind w:firstLine="882"/>
        <w:spacing w:after="0"/>
        <w:tabs>
          <w:tab w:leader="none" w:pos="1757" w:val="left"/>
        </w:tabs>
        <w:numPr>
          <w:ilvl w:val="0"/>
          <w:numId w:val="2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 Providing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is not providing any tax, legal or financial advice, nor is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any recommendations regarding Optionee’s participation in the Plan, or Optionee’s acquisition or sale of the Shares underlying the Option. Optionee is hereby advised to consult with his or her own personal tax, legal and financial advisors regarding his or her participation in the Plan before taking any action related to the Plan.</w:t>
      </w:r>
    </w:p>
    <w:p>
      <w:pPr>
        <w:spacing w:after="0" w:line="171" w:lineRule="exact"/>
        <w:rPr>
          <w:rFonts w:ascii="Arial" w:cs="Arial" w:eastAsia="Arial" w:hAnsi="Arial"/>
          <w:sz w:val="21"/>
          <w:szCs w:val="21"/>
          <w:b w:val="1"/>
          <w:bCs w:val="1"/>
          <w:color w:val="auto"/>
        </w:rPr>
      </w:pPr>
    </w:p>
    <w:p>
      <w:pPr>
        <w:ind w:firstLine="882"/>
        <w:spacing w:after="0" w:line="259" w:lineRule="auto"/>
        <w:tabs>
          <w:tab w:leader="none" w:pos="1808" w:val="left"/>
        </w:tabs>
        <w:numPr>
          <w:ilvl w:val="0"/>
          <w:numId w:val="2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validity, construction and effect of this Award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the laws of the State of Delaware, without reference to principles of conflict of laws.</w:t>
      </w:r>
    </w:p>
    <w:p>
      <w:pPr>
        <w:spacing w:after="0" w:line="176" w:lineRule="exact"/>
        <w:rPr>
          <w:rFonts w:ascii="Arial" w:cs="Arial" w:eastAsia="Arial" w:hAnsi="Arial"/>
          <w:sz w:val="21"/>
          <w:szCs w:val="21"/>
          <w:b w:val="1"/>
          <w:bCs w:val="1"/>
          <w:color w:val="auto"/>
        </w:rPr>
      </w:pPr>
    </w:p>
    <w:p>
      <w:pPr>
        <w:jc w:val="both"/>
        <w:ind w:firstLine="882"/>
        <w:spacing w:after="0" w:line="264" w:lineRule="auto"/>
        <w:tabs>
          <w:tab w:leader="none" w:pos="1808" w:val="left"/>
        </w:tabs>
        <w:numPr>
          <w:ilvl w:val="0"/>
          <w:numId w:val="2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 Terms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Agreement to the contrary, the Option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special terms and conditions for the Optionee's country of residence (and country of employment, if different), as are set forth in the Appendix to this Agreement (the “Appendix”). Further, if the Optionee transfers residency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 or to facilitate the operation and administration of the Option and the Plan (or the Company may establish alternative terms and conditions as may be necessary or advisable to accommodate the Optionee's transfer). In all circumstances, the Appendix shall constitute part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rPr>
          <w:sz w:val="20"/>
          <w:szCs w:val="20"/>
          <w:color w:val="auto"/>
        </w:rPr>
      </w:pPr>
      <w:r>
        <w:rPr>
          <w:rFonts w:ascii="Arial" w:cs="Arial" w:eastAsia="Arial" w:hAnsi="Arial"/>
          <w:sz w:val="14"/>
          <w:szCs w:val="14"/>
          <w:color w:val="auto"/>
        </w:rPr>
        <w:t>2013/ISO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9424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186" w:name="page187"/>
    <w:bookmarkEnd w:id="186"/>
    <w:p>
      <w:pPr>
        <w:jc w:val="both"/>
        <w:ind w:firstLine="882"/>
        <w:spacing w:after="0" w:line="253" w:lineRule="auto"/>
        <w:tabs>
          <w:tab w:leader="none" w:pos="1834" w:val="left"/>
        </w:tabs>
        <w:numPr>
          <w:ilvl w:val="0"/>
          <w:numId w:val="29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the Options,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acquired pursuant to the Options, and the Optionee's participation in the Plan, to the extent the Company determines, in its sole discretion, that such other requirements are necessary or advisable in order to comply with local law or to facilitate the operation and administration of the Options and the Plan. Such requirements may include (but are not limited to) requiring the Optionee to sign any agreements or undertakings that may be necessary to accomplish the foregoing.</w:t>
      </w:r>
    </w:p>
    <w:p>
      <w:pPr>
        <w:spacing w:after="0" w:line="163"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____________________________________________</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rPr>
          <w:sz w:val="20"/>
          <w:szCs w:val="20"/>
          <w:color w:val="auto"/>
        </w:rPr>
      </w:pPr>
      <w:r>
        <w:rPr>
          <w:rFonts w:ascii="Arial" w:cs="Arial" w:eastAsia="Arial" w:hAnsi="Arial"/>
          <w:sz w:val="14"/>
          <w:szCs w:val="14"/>
          <w:color w:val="auto"/>
        </w:rPr>
        <w:t>2013/ISO</w:t>
      </w:r>
    </w:p>
    <w:p>
      <w:pPr>
        <w:sectPr>
          <w:pgSz w:w="11900" w:h="16838" w:orient="portrait"/>
          <w:cols w:equalWidth="0" w:num="1">
            <w:col w:w="11420"/>
          </w:cols>
          <w:pgMar w:left="240" w:top="319" w:right="239" w:bottom="1440" w:gutter="0" w:footer="0" w:header="0"/>
        </w:sectPr>
      </w:pPr>
    </w:p>
    <w:bookmarkStart w:id="187" w:name="page188"/>
    <w:bookmarkEnd w:id="187"/>
    <w:p>
      <w:pPr>
        <w:jc w:val="right"/>
        <w:ind w:right="40"/>
        <w:spacing w:after="0"/>
        <w:rPr>
          <w:sz w:val="20"/>
          <w:szCs w:val="20"/>
          <w:color w:val="auto"/>
        </w:rPr>
      </w:pPr>
      <w:r>
        <w:rPr>
          <w:rFonts w:ascii="Arial" w:cs="Arial" w:eastAsia="Arial" w:hAnsi="Arial"/>
          <w:sz w:val="21"/>
          <w:szCs w:val="21"/>
          <w:color w:val="auto"/>
        </w:rPr>
        <w:t>Exhibit 10.45</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CAMERON INTERNATIONAL CORPORATION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i w:val="1"/>
          <w:iCs w:val="1"/>
          <w:color w:val="auto"/>
        </w:rPr>
        <w:t>INCENTIVE STOCK OPTION AGREEMENT</w:t>
      </w:r>
    </w:p>
    <w:p>
      <w:pPr>
        <w:jc w:val="center"/>
        <w:ind w:right="40"/>
        <w:spacing w:after="0"/>
        <w:rPr>
          <w:sz w:val="20"/>
          <w:szCs w:val="20"/>
          <w:color w:val="auto"/>
        </w:rPr>
      </w:pPr>
      <w:r>
        <w:rPr>
          <w:rFonts w:ascii="Arial" w:cs="Arial" w:eastAsia="Arial" w:hAnsi="Arial"/>
          <w:sz w:val="17"/>
          <w:szCs w:val="17"/>
          <w:b w:val="1"/>
          <w:bCs w:val="1"/>
          <w:i w:val="1"/>
          <w:iCs w:val="1"/>
          <w:u w:val="single" w:color="auto"/>
          <w:color w:val="auto"/>
        </w:rPr>
        <w:t>(Including Non-Compete, Non-Solicitation, and Confidentiality Agreements)</w:t>
      </w:r>
    </w:p>
    <w:p>
      <w:pPr>
        <w:spacing w:after="0" w:line="370" w:lineRule="exact"/>
        <w:rPr>
          <w:sz w:val="20"/>
          <w:szCs w:val="20"/>
          <w:color w:val="auto"/>
        </w:rPr>
      </w:pPr>
    </w:p>
    <w:tbl>
      <w:tblPr>
        <w:tblLayout w:type="fixed"/>
        <w:tblInd w:w="4500" w:type="dxa"/>
        <w:tblCellMar>
          <w:top w:w="0" w:type="dxa"/>
          <w:left w:w="0" w:type="dxa"/>
          <w:bottom w:w="0" w:type="dxa"/>
          <w:right w:w="0" w:type="dxa"/>
        </w:tblCellMar>
      </w:tblPr>
      <w:tr>
        <w:trPr>
          <w:trHeight w:val="270"/>
        </w:trPr>
        <w:tc>
          <w:tcPr>
            <w:tcW w:w="1660" w:type="dxa"/>
            <w:vAlign w:val="bottom"/>
          </w:tcPr>
          <w:p>
            <w:pPr>
              <w:spacing w:after="0"/>
              <w:rPr>
                <w:sz w:val="20"/>
                <w:szCs w:val="20"/>
                <w:color w:val="auto"/>
              </w:rPr>
            </w:pPr>
            <w:r>
              <w:rPr>
                <w:rFonts w:ascii="Arial" w:cs="Arial" w:eastAsia="Arial" w:hAnsi="Arial"/>
                <w:sz w:val="21"/>
                <w:szCs w:val="21"/>
                <w:b w:val="1"/>
                <w:bCs w:val="1"/>
                <w:color w:val="auto"/>
              </w:rPr>
              <w:t>Effective Date: [</w:t>
            </w:r>
          </w:p>
        </w:tc>
        <w:tc>
          <w:tcPr>
            <w:tcW w:w="780" w:type="dxa"/>
            <w:vAlign w:val="bottom"/>
          </w:tcPr>
          <w:p>
            <w:pPr>
              <w:jc w:val="right"/>
              <w:spacing w:after="0"/>
              <w:rPr>
                <w:sz w:val="20"/>
                <w:szCs w:val="20"/>
                <w:color w:val="auto"/>
              </w:rPr>
            </w:pPr>
            <w:r>
              <w:rPr>
                <w:rFonts w:ascii="Arial" w:cs="Arial" w:eastAsia="Arial" w:hAnsi="Arial"/>
                <w:sz w:val="21"/>
                <w:szCs w:val="21"/>
                <w:b w:val="1"/>
                <w:bCs w:val="1"/>
                <w:color w:val="auto"/>
              </w:rPr>
              <w:t>], 2014</w:t>
            </w:r>
          </w:p>
        </w:tc>
      </w:tr>
    </w:tbl>
    <w:p>
      <w:pPr>
        <w:spacing w:after="0" w:line="169" w:lineRule="exact"/>
        <w:rPr>
          <w:sz w:val="20"/>
          <w:szCs w:val="20"/>
          <w:color w:val="auto"/>
        </w:rPr>
      </w:pPr>
    </w:p>
    <w:p>
      <w:pPr>
        <w:jc w:val="both"/>
        <w:ind w:right="40" w:firstLine="882"/>
        <w:spacing w:after="0" w:line="247" w:lineRule="auto"/>
        <w:tabs>
          <w:tab w:leader="none" w:pos="1653" w:val="left"/>
        </w:tabs>
        <w:numPr>
          <w:ilvl w:val="0"/>
          <w:numId w:val="29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As an additional incentive and inducement to you to remain in the employment of Cameron International</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(the “Company”) or one of its Subsidiaries and to acquire an ownership position in the Company, thereby aligning your interests with those of the Company and its stockholders, the Company hereby grants to you, the “Optionee”, the option to purchase common stock of the Company from the Company (the “Options”) at the times and upon the terms and conditions set forth on the attached Notice of Grant of Stock Options and this Option Agreement (the “Agreement”), subject to your acceptance of this Agreement in writing or electronically in the manner prescribed by the Company or its third party administrator. The Options are intended to be incentive stock options granted in accordance with Code Section 422. For purposes of this Agreement, “Employer” means the Company or Subsidiary that employs the Participant on the applicable date. All capitalized terms not defined in this Award Agreement shall have the same meaning as set forth in the Plan.</w:t>
      </w:r>
    </w:p>
    <w:p>
      <w:pPr>
        <w:spacing w:after="0" w:line="169" w:lineRule="exact"/>
        <w:rPr>
          <w:rFonts w:ascii="Arial" w:cs="Arial" w:eastAsia="Arial" w:hAnsi="Arial"/>
          <w:sz w:val="20"/>
          <w:szCs w:val="20"/>
          <w:b w:val="1"/>
          <w:bCs w:val="1"/>
          <w:color w:val="auto"/>
        </w:rPr>
      </w:pPr>
    </w:p>
    <w:p>
      <w:pPr>
        <w:jc w:val="both"/>
        <w:ind w:right="40" w:firstLine="882"/>
        <w:spacing w:after="0"/>
        <w:tabs>
          <w:tab w:leader="none" w:pos="1653" w:val="left"/>
        </w:tabs>
        <w:numPr>
          <w:ilvl w:val="0"/>
          <w:numId w:val="2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Subject to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Agreement is expressly subject to the terms and provisions of the Company’s</w:t>
      </w:r>
      <w:r>
        <w:rPr>
          <w:rFonts w:ascii="Arial" w:cs="Arial" w:eastAsia="Arial" w:hAnsi="Arial"/>
          <w:sz w:val="21"/>
          <w:szCs w:val="21"/>
          <w:b w:val="1"/>
          <w:bCs w:val="1"/>
          <w:color w:val="auto"/>
        </w:rPr>
        <w:t xml:space="preserve"> Equity Incentive Plan </w:t>
      </w:r>
      <w:r>
        <w:rPr>
          <w:rFonts w:ascii="Arial" w:cs="Arial" w:eastAsia="Arial" w:hAnsi="Arial"/>
          <w:sz w:val="21"/>
          <w:szCs w:val="21"/>
          <w:color w:val="auto"/>
        </w:rPr>
        <w:t>(the “Plan”), as indicated in your Notice of Grant of Stock Options. A copy of the Plan is available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Corporate Secretary upon request. In the event there is a conflict between the terms of the Plan and this Agreement, the terms of the Plan shall control.</w:t>
      </w:r>
    </w:p>
    <w:p>
      <w:pPr>
        <w:spacing w:after="0" w:line="171" w:lineRule="exact"/>
        <w:rPr>
          <w:rFonts w:ascii="Arial" w:cs="Arial" w:eastAsia="Arial" w:hAnsi="Arial"/>
          <w:sz w:val="21"/>
          <w:szCs w:val="21"/>
          <w:b w:val="1"/>
          <w:bCs w:val="1"/>
          <w:color w:val="auto"/>
        </w:rPr>
      </w:pPr>
    </w:p>
    <w:p>
      <w:pPr>
        <w:ind w:left="1660" w:hanging="778"/>
        <w:spacing w:after="0"/>
        <w:tabs>
          <w:tab w:leader="none" w:pos="1660" w:val="left"/>
        </w:tabs>
        <w:numPr>
          <w:ilvl w:val="0"/>
          <w:numId w:val="2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Purchase Price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the Shares of the Company’s common stock subject to the Agreement shall</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 xml:space="preserve">be </w:t>
      </w:r>
      <w:r>
        <w:rPr>
          <w:rFonts w:ascii="Arial" w:cs="Arial" w:eastAsia="Arial" w:hAnsi="Arial"/>
          <w:sz w:val="21"/>
          <w:szCs w:val="21"/>
          <w:b w:val="1"/>
          <w:bCs w:val="1"/>
          <w:color w:val="auto"/>
        </w:rPr>
        <w:t>$[   ]</w:t>
      </w:r>
      <w:r>
        <w:rPr>
          <w:rFonts w:ascii="Arial" w:cs="Arial" w:eastAsia="Arial" w:hAnsi="Arial"/>
          <w:sz w:val="21"/>
          <w:szCs w:val="21"/>
          <w:color w:val="auto"/>
        </w:rPr>
        <w:t xml:space="preserve"> per Share.</w:t>
      </w:r>
    </w:p>
    <w:p>
      <w:pPr>
        <w:spacing w:after="0" w:line="173" w:lineRule="exact"/>
        <w:rPr>
          <w:rFonts w:ascii="Arial" w:cs="Arial" w:eastAsia="Arial" w:hAnsi="Arial"/>
          <w:sz w:val="19"/>
          <w:szCs w:val="19"/>
          <w:b w:val="1"/>
          <w:bCs w:val="1"/>
          <w:color w:val="auto"/>
        </w:rPr>
      </w:pPr>
    </w:p>
    <w:p>
      <w:pPr>
        <w:ind w:left="1660" w:hanging="778"/>
        <w:spacing w:after="0"/>
        <w:tabs>
          <w:tab w:leader="none" w:pos="1660" w:val="left"/>
        </w:tabs>
        <w:numPr>
          <w:ilvl w:val="0"/>
          <w:numId w:val="2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Options granted pursuant to this Agreement may be exercised, in whole or in part, but only as to the</w:t>
      </w:r>
    </w:p>
    <w:p>
      <w:pPr>
        <w:spacing w:after="0" w:line="38" w:lineRule="exact"/>
        <w:rPr>
          <w:sz w:val="20"/>
          <w:szCs w:val="20"/>
          <w:color w:val="auto"/>
        </w:rPr>
      </w:pPr>
    </w:p>
    <w:p>
      <w:pPr>
        <w:jc w:val="both"/>
        <w:ind w:right="40"/>
        <w:spacing w:after="0" w:line="259" w:lineRule="auto"/>
        <w:rPr>
          <w:sz w:val="20"/>
          <w:szCs w:val="20"/>
          <w:color w:val="auto"/>
        </w:rPr>
      </w:pPr>
      <w:r>
        <w:rPr>
          <w:rFonts w:ascii="Arial" w:cs="Arial" w:eastAsia="Arial" w:hAnsi="Arial"/>
          <w:sz w:val="20"/>
          <w:szCs w:val="20"/>
          <w:color w:val="auto"/>
        </w:rPr>
        <w:t xml:space="preserve">number of Options as to which the right to exercise has vested at the time of exercise, during the period beginning </w:t>
      </w:r>
      <w:r>
        <w:rPr>
          <w:rFonts w:ascii="Arial" w:cs="Arial" w:eastAsia="Arial" w:hAnsi="Arial"/>
          <w:sz w:val="20"/>
          <w:szCs w:val="20"/>
          <w:b w:val="1"/>
          <w:bCs w:val="1"/>
          <w:color w:val="auto"/>
        </w:rPr>
        <w:t>[ ], 2015</w:t>
      </w:r>
      <w:r>
        <w:rPr>
          <w:rFonts w:ascii="Arial" w:cs="Arial" w:eastAsia="Arial" w:hAnsi="Arial"/>
          <w:sz w:val="20"/>
          <w:szCs w:val="20"/>
          <w:color w:val="auto"/>
        </w:rPr>
        <w:t xml:space="preserve"> (one year from the date on which they were granted), and ending </w:t>
      </w:r>
      <w:r>
        <w:rPr>
          <w:rFonts w:ascii="Arial" w:cs="Arial" w:eastAsia="Arial" w:hAnsi="Arial"/>
          <w:sz w:val="20"/>
          <w:szCs w:val="20"/>
          <w:b w:val="1"/>
          <w:bCs w:val="1"/>
          <w:color w:val="auto"/>
        </w:rPr>
        <w:t>[ ], 2024</w:t>
      </w:r>
      <w:r>
        <w:rPr>
          <w:rFonts w:ascii="Arial" w:cs="Arial" w:eastAsia="Arial" w:hAnsi="Arial"/>
          <w:sz w:val="20"/>
          <w:szCs w:val="20"/>
          <w:color w:val="auto"/>
        </w:rPr>
        <w:t xml:space="preserve"> (ten years from the date on which Option was granted.)</w:t>
      </w:r>
    </w:p>
    <w:p>
      <w:pPr>
        <w:spacing w:after="0" w:line="151" w:lineRule="exact"/>
        <w:rPr>
          <w:sz w:val="20"/>
          <w:szCs w:val="20"/>
          <w:color w:val="auto"/>
        </w:rPr>
      </w:pPr>
    </w:p>
    <w:p>
      <w:pPr>
        <w:jc w:val="both"/>
        <w:ind w:right="40" w:firstLine="878"/>
        <w:spacing w:after="0" w:line="235" w:lineRule="auto"/>
        <w:rPr>
          <w:sz w:val="20"/>
          <w:szCs w:val="20"/>
          <w:color w:val="auto"/>
        </w:rPr>
      </w:pPr>
      <w:r>
        <w:rPr>
          <w:rFonts w:ascii="Arial" w:cs="Arial" w:eastAsia="Arial" w:hAnsi="Arial"/>
          <w:sz w:val="21"/>
          <w:szCs w:val="21"/>
          <w:b w:val="1"/>
          <w:bCs w:val="1"/>
          <w:color w:val="auto"/>
        </w:rPr>
        <w:t>5</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Exercise of Option.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Options granted herein may be exercised as to vested Options, in whole or in part,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by the Optionee by giving written notice to the Secretary of the Company on or prior to the date on which the Option terminates. Such notice shall identify the Option and specify the number of whole Shares that the Optionee desires to purchase. Any notice of exercise shall be in an electronic or written form as prescribed by the Company or its designated third party administrator. Payment of the purchase price of the Shares that the Optionee desires to purchase shall be tendered in full at the time of giving notice by (i) cash, check in U.S. Dollars, or bank draft payable and acceptable to the Company (or the equivalent thereof acceptable to the Company), (ii) Shares theretofore owned and held by the Optionee, (iii) a combination of cash and Shares theretofore owned and held by the Optionee, or</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88" w:name="page189"/>
    <w:bookmarkEnd w:id="188"/>
    <w:p>
      <w:pPr>
        <w:jc w:val="both"/>
        <w:ind w:right="40" w:firstLine="3"/>
        <w:spacing w:after="0" w:line="254" w:lineRule="auto"/>
        <w:tabs>
          <w:tab w:leader="none" w:pos="375" w:val="left"/>
        </w:tabs>
        <w:numPr>
          <w:ilvl w:val="0"/>
          <w:numId w:val="299"/>
        </w:numPr>
        <w:rPr>
          <w:rFonts w:ascii="Arial" w:cs="Arial" w:eastAsia="Arial" w:hAnsi="Arial"/>
          <w:sz w:val="20"/>
          <w:szCs w:val="20"/>
          <w:color w:val="auto"/>
        </w:rPr>
      </w:pPr>
      <w:r>
        <w:rPr>
          <w:rFonts w:ascii="Arial" w:cs="Arial" w:eastAsia="Arial" w:hAnsi="Arial"/>
          <w:sz w:val="20"/>
          <w:szCs w:val="20"/>
          <w:color w:val="auto"/>
        </w:rPr>
        <w:t>the Optionee delivering to the Company a properly executed exercise notice together with irrevocable instructions to a broker to promptly deliver to the Company cash or a check payable and acceptable to the Company to pay the exercise price. The notice shall not be considered to be properly given unless accompanied by all documentation deemed appropriate by the Company to reflect exercise of the Option and compliance with all applicable laws, rules and regulations.</w:t>
      </w:r>
    </w:p>
    <w:p>
      <w:pPr>
        <w:spacing w:after="0" w:line="157" w:lineRule="exact"/>
        <w:rPr>
          <w:rFonts w:ascii="Arial" w:cs="Arial" w:eastAsia="Arial" w:hAnsi="Arial"/>
          <w:sz w:val="20"/>
          <w:szCs w:val="20"/>
          <w:color w:val="auto"/>
        </w:rPr>
      </w:pPr>
    </w:p>
    <w:p>
      <w:pPr>
        <w:jc w:val="both"/>
        <w:ind w:right="40" w:firstLine="882"/>
        <w:spacing w:after="0" w:line="245" w:lineRule="auto"/>
        <w:tabs>
          <w:tab w:leader="none" w:pos="1653" w:val="left"/>
        </w:tabs>
        <w:numPr>
          <w:ilvl w:val="1"/>
          <w:numId w:val="2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Changes in the Company’s Capital Structure.</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of Shares subject to the Option and the price per Share</w:t>
      </w:r>
      <w:r>
        <w:rPr>
          <w:rFonts w:ascii="Arial" w:cs="Arial" w:eastAsia="Arial" w:hAnsi="Arial"/>
          <w:sz w:val="21"/>
          <w:szCs w:val="21"/>
          <w:b w:val="1"/>
          <w:bCs w:val="1"/>
          <w:color w:val="auto"/>
        </w:rPr>
        <w:t xml:space="preserve"> </w:t>
      </w:r>
      <w:r>
        <w:rPr>
          <w:rFonts w:ascii="Arial" w:cs="Arial" w:eastAsia="Arial" w:hAnsi="Arial"/>
          <w:sz w:val="21"/>
          <w:szCs w:val="21"/>
          <w:color w:val="auto"/>
        </w:rPr>
        <w:t>payable upon exercise of the Option shall be subject to the provisions of Section 12.2 of the Plan relating to adjustments to corporate capitalization.</w:t>
      </w:r>
    </w:p>
    <w:p>
      <w:pPr>
        <w:spacing w:after="0" w:line="164" w:lineRule="exact"/>
        <w:rPr>
          <w:rFonts w:ascii="Arial" w:cs="Arial" w:eastAsia="Arial" w:hAnsi="Arial"/>
          <w:sz w:val="21"/>
          <w:szCs w:val="21"/>
          <w:b w:val="1"/>
          <w:bCs w:val="1"/>
          <w:color w:val="auto"/>
        </w:rPr>
      </w:pPr>
    </w:p>
    <w:p>
      <w:pPr>
        <w:ind w:left="1660" w:hanging="778"/>
        <w:spacing w:after="0"/>
        <w:tabs>
          <w:tab w:leader="none" w:pos="1660" w:val="left"/>
        </w:tabs>
        <w:numPr>
          <w:ilvl w:val="1"/>
          <w:numId w:val="2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Covenant Not To Compete, Solicit or Disclose Confidential Information.</w:t>
      </w:r>
    </w:p>
    <w:p>
      <w:pPr>
        <w:spacing w:after="0" w:line="204" w:lineRule="exact"/>
        <w:rPr>
          <w:sz w:val="20"/>
          <w:szCs w:val="20"/>
          <w:color w:val="auto"/>
        </w:rPr>
      </w:pPr>
    </w:p>
    <w:p>
      <w:pPr>
        <w:jc w:val="both"/>
        <w:ind w:right="40" w:firstLine="882"/>
        <w:spacing w:after="0" w:line="260" w:lineRule="auto"/>
        <w:tabs>
          <w:tab w:leader="none" w:pos="1728"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The Optionee acknowledges that the Optionee is in possession of and has access to confidential information, including material relating to the business, products and/or services of the Company and that he or she will continue to have such possession and access during employment by the Company or Employer. The Optionee also acknowledges that the Company’s (or Employer’s) business, products and services are highly specialized and that it is essential that they be protected, and, accordingly, </w:t>
      </w:r>
      <w:r>
        <w:rPr>
          <w:rFonts w:ascii="Arial" w:cs="Arial" w:eastAsia="Arial" w:hAnsi="Arial"/>
          <w:sz w:val="19"/>
          <w:szCs w:val="19"/>
          <w:b w:val="1"/>
          <w:bCs w:val="1"/>
          <w:color w:val="auto"/>
        </w:rPr>
        <w:t>the</w:t>
      </w:r>
    </w:p>
    <w:p>
      <w:pPr>
        <w:spacing w:after="0" w:line="1" w:lineRule="exact"/>
        <w:rPr>
          <w:rFonts w:ascii="Arial" w:cs="Arial" w:eastAsia="Arial" w:hAnsi="Arial"/>
          <w:sz w:val="19"/>
          <w:szCs w:val="19"/>
          <w:color w:val="auto"/>
        </w:rPr>
      </w:pPr>
    </w:p>
    <w:p>
      <w:pPr>
        <w:jc w:val="both"/>
        <w:ind w:right="40"/>
        <w:spacing w:after="0" w:line="277" w:lineRule="auto"/>
        <w:rPr>
          <w:rFonts w:ascii="Arial" w:cs="Arial" w:eastAsia="Arial" w:hAnsi="Arial"/>
          <w:sz w:val="19"/>
          <w:szCs w:val="19"/>
          <w:color w:val="auto"/>
        </w:rPr>
      </w:pPr>
      <w:r>
        <w:rPr>
          <w:rFonts w:ascii="Arial" w:cs="Arial" w:eastAsia="Arial" w:hAnsi="Arial"/>
          <w:sz w:val="18"/>
          <w:szCs w:val="18"/>
          <w:b w:val="1"/>
          <w:bCs w:val="1"/>
          <w:color w:val="auto"/>
        </w:rPr>
        <w:t>Optionee agrees that as partial consideration for the Option granted herein that should the Optionee engage in any “Detrimental Activity,” as defined below, at any time during his or her employment or during a period of one year following his or her termination the Company or Employer shall be entitled to: (i) cancel any unexercised portion of the Option grant; (ii) recover from the Optionee the value of any portion of the Option grant that has been exercised; (iii) seek injunctive relief against the Optionee pursuant to the provision of subsection (c) below; (iv) recover all damages, court costs, and attorneys’ fees incurred by the Company or Employer in enforcing the provisions of this Option grant, and (v) set-off any such sums to which the Company or Employer is entitled hereunder against any sum which may be owed the Optionee by the Company or Employer.</w:t>
      </w:r>
    </w:p>
    <w:p>
      <w:pPr>
        <w:spacing w:after="0" w:line="144" w:lineRule="exact"/>
        <w:rPr>
          <w:rFonts w:ascii="Arial" w:cs="Arial" w:eastAsia="Arial" w:hAnsi="Arial"/>
          <w:sz w:val="19"/>
          <w:szCs w:val="19"/>
          <w:color w:val="auto"/>
        </w:rPr>
      </w:pPr>
    </w:p>
    <w:p>
      <w:pPr>
        <w:jc w:val="both"/>
        <w:ind w:right="40" w:firstLine="882"/>
        <w:spacing w:after="0" w:line="260" w:lineRule="auto"/>
        <w:tabs>
          <w:tab w:leader="none" w:pos="1739" w:val="left"/>
        </w:tabs>
        <w:numPr>
          <w:ilvl w:val="0"/>
          <w:numId w:val="300"/>
        </w:numPr>
        <w:rPr>
          <w:rFonts w:ascii="Arial" w:cs="Arial" w:eastAsia="Arial" w:hAnsi="Arial"/>
          <w:sz w:val="19"/>
          <w:szCs w:val="19"/>
          <w:color w:val="auto"/>
        </w:rPr>
      </w:pPr>
      <w:r>
        <w:rPr>
          <w:rFonts w:ascii="Arial" w:cs="Arial" w:eastAsia="Arial" w:hAnsi="Arial"/>
          <w:sz w:val="19"/>
          <w:szCs w:val="19"/>
          <w:color w:val="auto"/>
        </w:rPr>
        <w:t>“Detrimental Activity” for the purposes hereof, other than with respect to involuntary termination without Cause, termination in connection with or as a result of a “Change of Control” (as defined in Section 8(j) hereof), or termination following a reduction in job responsibilities, shall include: (i) rendering of services for any person or organization, or engaging directly or indirectly in any business, which is or becomes competitive with the Company or Employer or any Subsidiary; (ii) disclosing to anyone outside the Company or any Subsidiary, or using in other than the Company’s or any Subsidiary’s business, without prior written authorization from the Company or Employer or any Subsidiary, any confidential information including material relating to the business, products or services of the Company or Employer or any Subsidiary acquired by the Optionee during employment with the Company or Employer or any Subsidiary; (iii) soliciting, interfering, inducing, or attempting to cause any employee of the Company or Employer or any Subsidiary to leave his or her employment, whether done on Optionee’s own account or on account of any person, organization or business which is or becomes competitive with the Company or Employer or any Subsidiary, or (iv) directly or indirectly soliciting the trade or business of any customer of the Company or Employer or any Subsidiary. “Detrimental Activity” for the purposes hereof with respect to</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89" w:name="page190"/>
    <w:bookmarkEnd w:id="189"/>
    <w:p>
      <w:pPr>
        <w:ind w:right="40"/>
        <w:spacing w:after="0" w:line="253" w:lineRule="auto"/>
        <w:rPr>
          <w:sz w:val="20"/>
          <w:szCs w:val="20"/>
          <w:color w:val="auto"/>
        </w:rPr>
      </w:pPr>
      <w:r>
        <w:rPr>
          <w:rFonts w:ascii="Arial" w:cs="Arial" w:eastAsia="Arial" w:hAnsi="Arial"/>
          <w:sz w:val="21"/>
          <w:szCs w:val="21"/>
          <w:color w:val="auto"/>
        </w:rPr>
        <w:t>involuntary termination without Cause, termination in connection with or as a result of a “Change of Control”, or termination following a reduction in job responsibilities, shall include only part (ii) of the preceding sentence.</w:t>
      </w:r>
    </w:p>
    <w:p>
      <w:pPr>
        <w:spacing w:after="0" w:line="163" w:lineRule="exact"/>
        <w:rPr>
          <w:sz w:val="20"/>
          <w:szCs w:val="20"/>
          <w:color w:val="auto"/>
        </w:rPr>
      </w:pPr>
    </w:p>
    <w:p>
      <w:pPr>
        <w:jc w:val="both"/>
        <w:ind w:right="40" w:firstLine="882"/>
        <w:spacing w:after="0" w:line="249" w:lineRule="auto"/>
        <w:tabs>
          <w:tab w:leader="none" w:pos="1728" w:val="left"/>
        </w:tabs>
        <w:numPr>
          <w:ilvl w:val="1"/>
          <w:numId w:val="301"/>
        </w:numPr>
        <w:rPr>
          <w:rFonts w:ascii="Arial" w:cs="Arial" w:eastAsia="Arial" w:hAnsi="Arial"/>
          <w:sz w:val="20"/>
          <w:szCs w:val="20"/>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Employer for which it would have no other adequate remedy, the Optionee agrees that the foregoing covenants may be enforced by the Company or Employer in the event of breach by him/her by injunction relief and restraining orders, without the necessity of posting a bond, and that such enforcement shall not be the Company's or Employer’s exclusive remedy for a breach but instead shall be in addition to all other rights and remedies available to the Company or Employer.</w:t>
      </w:r>
    </w:p>
    <w:p>
      <w:pPr>
        <w:spacing w:after="0" w:line="196" w:lineRule="exact"/>
        <w:rPr>
          <w:rFonts w:ascii="Arial" w:cs="Arial" w:eastAsia="Arial" w:hAnsi="Arial"/>
          <w:sz w:val="20"/>
          <w:szCs w:val="20"/>
          <w:color w:val="auto"/>
        </w:rPr>
      </w:pPr>
    </w:p>
    <w:p>
      <w:pPr>
        <w:jc w:val="both"/>
        <w:ind w:right="40" w:firstLine="882"/>
        <w:spacing w:after="0" w:line="237" w:lineRule="auto"/>
        <w:tabs>
          <w:tab w:leader="none" w:pos="1739" w:val="left"/>
        </w:tabs>
        <w:numPr>
          <w:ilvl w:val="1"/>
          <w:numId w:val="301"/>
        </w:numPr>
        <w:rPr>
          <w:rFonts w:ascii="Arial" w:cs="Arial" w:eastAsia="Arial" w:hAnsi="Arial"/>
          <w:sz w:val="21"/>
          <w:szCs w:val="21"/>
          <w:color w:val="auto"/>
        </w:rPr>
      </w:pPr>
      <w:r>
        <w:rPr>
          <w:rFonts w:ascii="Arial" w:cs="Arial" w:eastAsia="Arial" w:hAnsi="Arial"/>
          <w:sz w:val="21"/>
          <w:szCs w:val="21"/>
          <w:color w:val="auto"/>
        </w:rPr>
        <w:t>The covenants and the provisions of this Section 7 are severable and separate, and the unenforceability of any specific covenant or provision shall not affect the enforceability of any other covenant or provision. Moreover, in the event any arbitrator or court of competent jurisdiction shall determine that the scope or time set forth are unreasonable, then it is the intention of the parties that such restrictions be enforced to the fullest extent which the panel or court deems reasonable, and this Agreement shall thereby be reformed.</w:t>
      </w:r>
    </w:p>
    <w:p>
      <w:pPr>
        <w:spacing w:after="0" w:line="203" w:lineRule="exact"/>
        <w:rPr>
          <w:rFonts w:ascii="Arial" w:cs="Arial" w:eastAsia="Arial" w:hAnsi="Arial"/>
          <w:sz w:val="21"/>
          <w:szCs w:val="21"/>
          <w:color w:val="auto"/>
        </w:rPr>
      </w:pPr>
    </w:p>
    <w:p>
      <w:pPr>
        <w:jc w:val="both"/>
        <w:ind w:right="40" w:firstLine="882"/>
        <w:spacing w:after="0" w:line="238" w:lineRule="auto"/>
        <w:tabs>
          <w:tab w:leader="none" w:pos="1728" w:val="left"/>
        </w:tabs>
        <w:numPr>
          <w:ilvl w:val="1"/>
          <w:numId w:val="301"/>
        </w:numPr>
        <w:rPr>
          <w:rFonts w:ascii="Arial" w:cs="Arial" w:eastAsia="Arial" w:hAnsi="Arial"/>
          <w:sz w:val="21"/>
          <w:szCs w:val="21"/>
          <w:color w:val="auto"/>
        </w:rPr>
      </w:pPr>
      <w:r>
        <w:rPr>
          <w:rFonts w:ascii="Arial" w:cs="Arial" w:eastAsia="Arial" w:hAnsi="Arial"/>
          <w:sz w:val="21"/>
          <w:szCs w:val="21"/>
          <w:color w:val="auto"/>
        </w:rPr>
        <w:t>Each of the covenants in this Section 7 shall be construed as an agreement independent of any other provision in this Agreement, and the existence of any claim or cause of action of the Optionee against the Company or Employer, whether predicated on this Agreement or otherwise, shall not constitute a defense to the enforcement by the Company or Employer of such covenants or provisions.</w:t>
      </w:r>
    </w:p>
    <w:p>
      <w:pPr>
        <w:spacing w:after="0" w:line="173" w:lineRule="exact"/>
        <w:rPr>
          <w:rFonts w:ascii="Arial" w:cs="Arial" w:eastAsia="Arial" w:hAnsi="Arial"/>
          <w:sz w:val="21"/>
          <w:szCs w:val="21"/>
          <w:color w:val="auto"/>
        </w:rPr>
      </w:pPr>
    </w:p>
    <w:p>
      <w:pPr>
        <w:ind w:left="780" w:hanging="777"/>
        <w:spacing w:after="0"/>
        <w:tabs>
          <w:tab w:leader="none" w:pos="780" w:val="left"/>
        </w:tabs>
        <w:numPr>
          <w:ilvl w:val="0"/>
          <w:numId w:val="30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03" w:lineRule="exact"/>
        <w:rPr>
          <w:rFonts w:ascii="Arial" w:cs="Arial" w:eastAsia="Arial" w:hAnsi="Arial"/>
          <w:sz w:val="21"/>
          <w:szCs w:val="21"/>
          <w:b w:val="1"/>
          <w:bCs w:val="1"/>
          <w:color w:val="auto"/>
        </w:rPr>
      </w:pPr>
    </w:p>
    <w:p>
      <w:pPr>
        <w:jc w:val="both"/>
        <w:ind w:right="40" w:firstLine="882"/>
        <w:spacing w:after="0" w:line="248" w:lineRule="auto"/>
        <w:tabs>
          <w:tab w:leader="none" w:pos="1728" w:val="left"/>
        </w:tabs>
        <w:numPr>
          <w:ilvl w:val="1"/>
          <w:numId w:val="302"/>
        </w:numPr>
        <w:rPr>
          <w:rFonts w:ascii="Arial" w:cs="Arial" w:eastAsia="Arial" w:hAnsi="Arial"/>
          <w:sz w:val="20"/>
          <w:szCs w:val="20"/>
          <w:color w:val="auto"/>
        </w:rPr>
      </w:pPr>
      <w:r>
        <w:rPr>
          <w:rFonts w:ascii="Arial" w:cs="Arial" w:eastAsia="Arial" w:hAnsi="Arial"/>
          <w:sz w:val="20"/>
          <w:szCs w:val="20"/>
          <w:color w:val="auto"/>
        </w:rPr>
        <w:t>If the Optionee’s employment terminates at age 60 or older, for reasons other than “Cause” (</w:t>
      </w:r>
      <w:r>
        <w:rPr>
          <w:rFonts w:ascii="Arial" w:cs="Arial" w:eastAsia="Arial" w:hAnsi="Arial"/>
          <w:sz w:val="20"/>
          <w:szCs w:val="20"/>
          <w:i w:val="1"/>
          <w:iCs w:val="1"/>
          <w:color w:val="auto"/>
        </w:rPr>
        <w:t>as defined below</w:t>
      </w:r>
      <w:r>
        <w:rPr>
          <w:rFonts w:ascii="Arial" w:cs="Arial" w:eastAsia="Arial" w:hAnsi="Arial"/>
          <w:sz w:val="20"/>
          <w:szCs w:val="20"/>
          <w:color w:val="auto"/>
        </w:rPr>
        <w:t xml:space="preserve">), and the Optionee has at least ten years of continuous employment with either or both the Company or a Subsidiary, any unvested Options shall continue to vest and be payable according to the terms of the Agreement; </w:t>
      </w:r>
      <w:r>
        <w:rPr>
          <w:rFonts w:ascii="Arial" w:cs="Arial" w:eastAsia="Arial" w:hAnsi="Arial"/>
          <w:sz w:val="20"/>
          <w:szCs w:val="20"/>
          <w:u w:val="single" w:color="auto"/>
          <w:color w:val="auto"/>
        </w:rPr>
        <w:t>excep</w:t>
      </w:r>
      <w:r>
        <w:rPr>
          <w:rFonts w:ascii="Arial" w:cs="Arial" w:eastAsia="Arial" w:hAnsi="Arial"/>
          <w:sz w:val="20"/>
          <w:szCs w:val="20"/>
          <w:color w:val="auto"/>
        </w:rPr>
        <w:t>t that if such termination occurs within one year from grant date, the number of Options that will continue to vest shall be reduced to be proportionate to the ratio of the number of days between grant date and termination date and 365, with the balance of the Option immediately cancelled. The Optionee shall have the right to exercise the Option at any time within the lesser of: (i) the term of the option, or (ii) a three (3) year period commencing on the day next following such termination.</w:t>
      </w:r>
    </w:p>
    <w:p>
      <w:pPr>
        <w:spacing w:after="0" w:line="171" w:lineRule="exact"/>
        <w:rPr>
          <w:rFonts w:ascii="Arial" w:cs="Arial" w:eastAsia="Arial" w:hAnsi="Arial"/>
          <w:sz w:val="20"/>
          <w:szCs w:val="20"/>
          <w:color w:val="auto"/>
        </w:rPr>
      </w:pPr>
    </w:p>
    <w:p>
      <w:pPr>
        <w:jc w:val="both"/>
        <w:ind w:right="40" w:firstLine="882"/>
        <w:spacing w:after="0" w:line="237" w:lineRule="auto"/>
        <w:tabs>
          <w:tab w:leader="none" w:pos="1739" w:val="left"/>
        </w:tabs>
        <w:numPr>
          <w:ilvl w:val="1"/>
          <w:numId w:val="302"/>
        </w:numPr>
        <w:rPr>
          <w:rFonts w:ascii="Arial" w:cs="Arial" w:eastAsia="Arial" w:hAnsi="Arial"/>
          <w:sz w:val="21"/>
          <w:szCs w:val="21"/>
          <w:color w:val="auto"/>
        </w:rPr>
      </w:pPr>
      <w:r>
        <w:rPr>
          <w:rFonts w:ascii="Arial" w:cs="Arial" w:eastAsia="Arial" w:hAnsi="Arial"/>
          <w:sz w:val="21"/>
          <w:szCs w:val="21"/>
          <w:color w:val="auto"/>
        </w:rPr>
        <w:t>If the Optionee is an executive officer, categorized as a Tier 1 Executive Officer at the time of grant or at the time of termination, age 65 or older with at least ten years of continuous employment with either or both of the Company or a Subsidiary and the Optionee’s employment terminates for reason other than Cause, or death or “Long-term Disability” (</w:t>
      </w:r>
      <w:r>
        <w:rPr>
          <w:rFonts w:ascii="Arial" w:cs="Arial" w:eastAsia="Arial" w:hAnsi="Arial"/>
          <w:sz w:val="21"/>
          <w:szCs w:val="21"/>
          <w:i w:val="1"/>
          <w:iCs w:val="1"/>
          <w:color w:val="auto"/>
        </w:rPr>
        <w:t>as defined below</w:t>
      </w:r>
      <w:r>
        <w:rPr>
          <w:rFonts w:ascii="Arial" w:cs="Arial" w:eastAsia="Arial" w:hAnsi="Arial"/>
          <w:sz w:val="21"/>
          <w:szCs w:val="21"/>
          <w:color w:val="auto"/>
        </w:rPr>
        <w:t>), any unvested Options shall continue to vest according to the terms of the Agreement and Optionee shall have the right to exercise the Options for the full term of this Agreement.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90" w:name="page191"/>
    <w:bookmarkEnd w:id="190"/>
    <w:p>
      <w:pPr>
        <w:jc w:val="both"/>
        <w:ind w:right="40" w:firstLine="882"/>
        <w:spacing w:after="0" w:line="237" w:lineRule="auto"/>
        <w:tabs>
          <w:tab w:leader="none" w:pos="1728" w:val="left"/>
        </w:tabs>
        <w:numPr>
          <w:ilvl w:val="1"/>
          <w:numId w:val="303"/>
        </w:numPr>
        <w:rPr>
          <w:rFonts w:ascii="Arial" w:cs="Arial" w:eastAsia="Arial" w:hAnsi="Arial"/>
          <w:sz w:val="21"/>
          <w:szCs w:val="21"/>
          <w:color w:val="auto"/>
        </w:rPr>
      </w:pPr>
      <w:r>
        <w:rPr>
          <w:rFonts w:ascii="Arial" w:cs="Arial" w:eastAsia="Arial" w:hAnsi="Arial"/>
          <w:sz w:val="21"/>
          <w:szCs w:val="21"/>
          <w:color w:val="auto"/>
        </w:rPr>
        <w:t>If the Optionee’s employment terminates by reason of death or “Long-term Disability”, of the Optionee, the Option shall vest in full, as of the date of death or the date of such termination and be exercisable pursuant to the terms of Section 4, and the Optionee or his/her personal representatives, heirs, legatees or distributees shall have the right to exercise the Option granted hereunder at any time within the lesser of: (1) the term of the Option or, (ii) a three (3) year period commencing on the date next following the date of such termination.</w:t>
      </w:r>
    </w:p>
    <w:p>
      <w:pPr>
        <w:spacing w:after="0" w:line="177" w:lineRule="exact"/>
        <w:rPr>
          <w:rFonts w:ascii="Arial" w:cs="Arial" w:eastAsia="Arial" w:hAnsi="Arial"/>
          <w:sz w:val="21"/>
          <w:szCs w:val="21"/>
          <w:color w:val="auto"/>
        </w:rPr>
      </w:pPr>
    </w:p>
    <w:p>
      <w:pPr>
        <w:jc w:val="both"/>
        <w:ind w:right="40" w:firstLine="882"/>
        <w:spacing w:after="0" w:line="265" w:lineRule="auto"/>
        <w:tabs>
          <w:tab w:leader="none" w:pos="1739" w:val="left"/>
        </w:tabs>
        <w:numPr>
          <w:ilvl w:val="1"/>
          <w:numId w:val="303"/>
        </w:numPr>
        <w:rPr>
          <w:rFonts w:ascii="Arial" w:cs="Arial" w:eastAsia="Arial" w:hAnsi="Arial"/>
          <w:sz w:val="19"/>
          <w:szCs w:val="19"/>
          <w:color w:val="auto"/>
        </w:rPr>
      </w:pPr>
      <w:r>
        <w:rPr>
          <w:rFonts w:ascii="Arial" w:cs="Arial" w:eastAsia="Arial" w:hAnsi="Arial"/>
          <w:sz w:val="19"/>
          <w:szCs w:val="19"/>
          <w:color w:val="auto"/>
        </w:rPr>
        <w:t xml:space="preserve">If the Optionee’s employment terminates by reason of a workforce reduction, the Options shall continue to vest and be exercisable according to their terms;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that, unless the Optionee is an executive officer categorized as a Tier 1 Executive Officer at the time of grant or the time of termination, age 65 or older and has at least ten years of continuous employment with either or both of the Company or a Subsidiary at the time of termination, if such termination occurs within one year from the grant date, the number of Options that will vest in full shall be reduced to be proportionate to the ratio of the number of days between the grant date and the date of termination and 365, with the balance of the Option immediately cancelled.</w:t>
      </w:r>
    </w:p>
    <w:p>
      <w:pPr>
        <w:spacing w:after="0" w:line="154" w:lineRule="exact"/>
        <w:rPr>
          <w:rFonts w:ascii="Arial" w:cs="Arial" w:eastAsia="Arial" w:hAnsi="Arial"/>
          <w:sz w:val="19"/>
          <w:szCs w:val="19"/>
          <w:color w:val="auto"/>
        </w:rPr>
      </w:pPr>
    </w:p>
    <w:p>
      <w:pPr>
        <w:jc w:val="both"/>
        <w:ind w:right="40" w:firstLine="882"/>
        <w:spacing w:after="0" w:line="254" w:lineRule="auto"/>
        <w:tabs>
          <w:tab w:leader="none" w:pos="1728" w:val="left"/>
        </w:tabs>
        <w:numPr>
          <w:ilvl w:val="1"/>
          <w:numId w:val="303"/>
        </w:numPr>
        <w:rPr>
          <w:rFonts w:ascii="Arial" w:cs="Arial" w:eastAsia="Arial" w:hAnsi="Arial"/>
          <w:sz w:val="20"/>
          <w:szCs w:val="20"/>
          <w:color w:val="auto"/>
        </w:rPr>
      </w:pPr>
      <w:r>
        <w:rPr>
          <w:rFonts w:ascii="Arial" w:cs="Arial" w:eastAsia="Arial" w:hAnsi="Arial"/>
          <w:sz w:val="20"/>
          <w:szCs w:val="20"/>
          <w:color w:val="auto"/>
        </w:rPr>
        <w:t>If the Optionee’s employment terminates other than as provided for in Sections (a), (b), (c) or (d) above, no additional Options shall vest for the benefit of the Optionee after the termination date, and the Options shall be exercisable by the Optionee, with respect to those Shares which had already vested only, within a three (3) month period after such termination or the term of the Options, whichever is less, but only to the extent exercisable immediately prior to the date of termination.</w:t>
      </w:r>
    </w:p>
    <w:p>
      <w:pPr>
        <w:spacing w:after="0" w:line="163" w:lineRule="exact"/>
        <w:rPr>
          <w:rFonts w:ascii="Arial" w:cs="Arial" w:eastAsia="Arial" w:hAnsi="Arial"/>
          <w:sz w:val="20"/>
          <w:szCs w:val="20"/>
          <w:color w:val="auto"/>
        </w:rPr>
      </w:pPr>
    </w:p>
    <w:p>
      <w:pPr>
        <w:ind w:right="40" w:firstLine="882"/>
        <w:spacing w:after="0" w:line="253" w:lineRule="auto"/>
        <w:tabs>
          <w:tab w:leader="none" w:pos="1705" w:val="left"/>
        </w:tabs>
        <w:numPr>
          <w:ilvl w:val="1"/>
          <w:numId w:val="303"/>
        </w:numPr>
        <w:rPr>
          <w:rFonts w:ascii="Arial" w:cs="Arial" w:eastAsia="Arial" w:hAnsi="Arial"/>
          <w:sz w:val="21"/>
          <w:szCs w:val="21"/>
          <w:color w:val="auto"/>
        </w:rPr>
      </w:pPr>
      <w:r>
        <w:rPr>
          <w:rFonts w:ascii="Arial" w:cs="Arial" w:eastAsia="Arial" w:hAnsi="Arial"/>
          <w:sz w:val="21"/>
          <w:szCs w:val="21"/>
          <w:color w:val="auto"/>
        </w:rPr>
        <w:t>If the Optionee’s employment is terminated for Cause, the Options shall terminate and no longer be exercisable for either the vested or the unvested Options.</w:t>
      </w:r>
    </w:p>
    <w:p>
      <w:pPr>
        <w:spacing w:after="0" w:line="162" w:lineRule="exact"/>
        <w:rPr>
          <w:rFonts w:ascii="Arial" w:cs="Arial" w:eastAsia="Arial" w:hAnsi="Arial"/>
          <w:sz w:val="21"/>
          <w:szCs w:val="21"/>
          <w:color w:val="auto"/>
        </w:rPr>
      </w:pPr>
    </w:p>
    <w:p>
      <w:pPr>
        <w:jc w:val="both"/>
        <w:ind w:right="40" w:firstLine="882"/>
        <w:spacing w:after="0" w:line="236" w:lineRule="auto"/>
        <w:tabs>
          <w:tab w:leader="none" w:pos="1739" w:val="left"/>
        </w:tabs>
        <w:numPr>
          <w:ilvl w:val="1"/>
          <w:numId w:val="303"/>
        </w:numPr>
        <w:rPr>
          <w:rFonts w:ascii="Arial" w:cs="Arial" w:eastAsia="Arial" w:hAnsi="Arial"/>
          <w:sz w:val="21"/>
          <w:szCs w:val="21"/>
          <w:color w:val="auto"/>
        </w:rPr>
      </w:pPr>
      <w:r>
        <w:rPr>
          <w:rFonts w:ascii="Arial" w:cs="Arial" w:eastAsia="Arial" w:hAnsi="Arial"/>
          <w:sz w:val="21"/>
          <w:szCs w:val="21"/>
          <w:color w:val="auto"/>
        </w:rPr>
        <w:t>Any other agreement between the Optionee and the Company notwithstanding, if there is a termination in connection with a “Change in Control” (</w:t>
      </w:r>
      <w:r>
        <w:rPr>
          <w:rFonts w:ascii="Arial" w:cs="Arial" w:eastAsia="Arial" w:hAnsi="Arial"/>
          <w:sz w:val="21"/>
          <w:szCs w:val="21"/>
          <w:i w:val="1"/>
          <w:iCs w:val="1"/>
          <w:color w:val="auto"/>
        </w:rPr>
        <w:t>as defined below</w:t>
      </w:r>
      <w:r>
        <w:rPr>
          <w:rFonts w:ascii="Arial" w:cs="Arial" w:eastAsia="Arial" w:hAnsi="Arial"/>
          <w:sz w:val="21"/>
          <w:szCs w:val="21"/>
          <w:color w:val="auto"/>
        </w:rPr>
        <w:t>), the Options shall immediately vest and be exercisable in full pursuant to the terms of Section 5. For the purposes of this Award Agreement, a termination in connection with a Change in Control shall mean a Change in Control shall have occurred and there has occurred a termination of the Optionee’s employment with the Company or a Subsidiary either by the Company or a Subsidiary without Cause, or by the Optionee for “Good Reason” (</w:t>
      </w:r>
      <w:r>
        <w:rPr>
          <w:rFonts w:ascii="Arial" w:cs="Arial" w:eastAsia="Arial" w:hAnsi="Arial"/>
          <w:sz w:val="21"/>
          <w:szCs w:val="21"/>
          <w:i w:val="1"/>
          <w:iCs w:val="1"/>
          <w:color w:val="auto"/>
        </w:rPr>
        <w:t>as defined below</w:t>
      </w:r>
      <w:r>
        <w:rPr>
          <w:rFonts w:ascii="Arial" w:cs="Arial" w:eastAsia="Arial" w:hAnsi="Arial"/>
          <w:sz w:val="21"/>
          <w:szCs w:val="21"/>
          <w:color w:val="auto"/>
        </w:rPr>
        <w:t>) during the “Effective Period” (</w:t>
      </w:r>
      <w:r>
        <w:rPr>
          <w:rFonts w:ascii="Arial" w:cs="Arial" w:eastAsia="Arial" w:hAnsi="Arial"/>
          <w:sz w:val="21"/>
          <w:szCs w:val="21"/>
          <w:i w:val="1"/>
          <w:iCs w:val="1"/>
          <w:color w:val="auto"/>
        </w:rPr>
        <w:t>as defined below</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jc w:val="both"/>
        <w:ind w:right="40" w:firstLine="882"/>
        <w:spacing w:after="0" w:line="274" w:lineRule="auto"/>
        <w:tabs>
          <w:tab w:leader="none" w:pos="1739"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“Cause” for the purposes hereof, shall mean the Optionee has (1) engaged in gross negligence or willful misconduct in the performance of his or her duties and responsibilities respecting his or her position with the Company or a Subsidiary; (2) willfully refused, without proper legal reason, to perform the duties and responsibilities respecting his or her position with the Company or a Subsidiary; (3) breached any material policy or code of conduct established by the Company or a Subsidiary and affecting the Optionee;</w:t>
      </w:r>
    </w:p>
    <w:p>
      <w:pPr>
        <w:spacing w:after="0" w:line="3" w:lineRule="exact"/>
        <w:rPr>
          <w:rFonts w:ascii="Arial" w:cs="Arial" w:eastAsia="Arial" w:hAnsi="Arial"/>
          <w:sz w:val="18"/>
          <w:szCs w:val="18"/>
          <w:color w:val="auto"/>
        </w:rPr>
      </w:pPr>
    </w:p>
    <w:p>
      <w:pPr>
        <w:jc w:val="both"/>
        <w:ind w:right="40" w:firstLine="3"/>
        <w:spacing w:after="0" w:line="235" w:lineRule="auto"/>
        <w:tabs>
          <w:tab w:leader="none" w:pos="293" w:val="left"/>
        </w:tabs>
        <w:numPr>
          <w:ilvl w:val="0"/>
          <w:numId w:val="304"/>
        </w:numPr>
        <w:rPr>
          <w:rFonts w:ascii="Arial" w:cs="Arial" w:eastAsia="Arial" w:hAnsi="Arial"/>
          <w:sz w:val="21"/>
          <w:szCs w:val="21"/>
          <w:color w:val="auto"/>
        </w:rPr>
      </w:pPr>
      <w:r>
        <w:rPr>
          <w:rFonts w:ascii="Arial" w:cs="Arial" w:eastAsia="Arial" w:hAnsi="Arial"/>
          <w:sz w:val="21"/>
          <w:szCs w:val="21"/>
          <w:color w:val="auto"/>
        </w:rPr>
        <w:t>engaged in conduct that Optionee knows or should know is materially injurious to the Company or a Subsidiary; (5) been convicted of a felony or a misdemeanor involving moral turpitude; or (6) engaged in an act of dishonest or impropriety which materially impairs the Optionee’s effectiveness in his or her position with the Company or a Subsidiary.</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91" w:name="page192"/>
    <w:bookmarkEnd w:id="191"/>
    <w:p>
      <w:pPr>
        <w:jc w:val="both"/>
        <w:ind w:right="40" w:firstLine="882"/>
        <w:spacing w:after="0" w:line="242" w:lineRule="auto"/>
        <w:tabs>
          <w:tab w:leader="none" w:pos="1693" w:val="left"/>
        </w:tabs>
        <w:numPr>
          <w:ilvl w:val="0"/>
          <w:numId w:val="305"/>
        </w:numPr>
        <w:rPr>
          <w:rFonts w:ascii="Arial" w:cs="Arial" w:eastAsia="Arial" w:hAnsi="Arial"/>
          <w:sz w:val="21"/>
          <w:szCs w:val="21"/>
          <w:color w:val="auto"/>
        </w:rPr>
      </w:pPr>
      <w:r>
        <w:rPr>
          <w:rFonts w:ascii="Arial" w:cs="Arial" w:eastAsia="Arial" w:hAnsi="Arial"/>
          <w:sz w:val="21"/>
          <w:szCs w:val="21"/>
          <w:color w:val="auto"/>
        </w:rPr>
        <w:t>“Long-term Disability” for the purposes hereof, shall mean that the Optionee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73" w:lineRule="exact"/>
        <w:rPr>
          <w:rFonts w:ascii="Arial" w:cs="Arial" w:eastAsia="Arial" w:hAnsi="Arial"/>
          <w:sz w:val="21"/>
          <w:szCs w:val="21"/>
          <w:color w:val="auto"/>
        </w:rPr>
      </w:pPr>
    </w:p>
    <w:p>
      <w:pPr>
        <w:ind w:left="1700" w:hanging="818"/>
        <w:spacing w:after="0"/>
        <w:tabs>
          <w:tab w:leader="none" w:pos="170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“Change in Control” for the purposes of this Agreement, shall mean the earliest date on which:</w:t>
      </w:r>
    </w:p>
    <w:p>
      <w:pPr>
        <w:spacing w:after="0" w:line="197" w:lineRule="exact"/>
        <w:rPr>
          <w:rFonts w:ascii="Arial" w:cs="Arial" w:eastAsia="Arial" w:hAnsi="Arial"/>
          <w:sz w:val="21"/>
          <w:szCs w:val="21"/>
          <w:color w:val="auto"/>
        </w:rPr>
      </w:pPr>
    </w:p>
    <w:p>
      <w:pPr>
        <w:jc w:val="both"/>
        <w:ind w:left="1740" w:right="40" w:hanging="535"/>
        <w:spacing w:after="0" w:line="238" w:lineRule="auto"/>
        <w:tabs>
          <w:tab w:leader="none" w:pos="1740" w:val="left"/>
        </w:tabs>
        <w:numPr>
          <w:ilvl w:val="1"/>
          <w:numId w:val="305"/>
        </w:numPr>
        <w:rPr>
          <w:rFonts w:ascii="Arial" w:cs="Arial" w:eastAsia="Arial" w:hAnsi="Arial"/>
          <w:sz w:val="21"/>
          <w:szCs w:val="21"/>
          <w:color w:val="auto"/>
        </w:rPr>
      </w:pPr>
      <w:r>
        <w:rPr>
          <w:rFonts w:ascii="Arial" w:cs="Arial" w:eastAsia="Arial" w:hAnsi="Arial"/>
          <w:sz w:val="21"/>
          <w:szCs w:val="21"/>
          <w:color w:val="auto"/>
        </w:rPr>
        <w:t>any Person is or becomes the “beneficial owner” (as defined in Rule 13d-3 under the Exchange Act), directly or indirectly, of securities of the Company representing 20% or more of the combined voting power of the Company’s outstanding voting securities, other than through the purchase of voting securities directly from the Company through a private placement; or</w:t>
      </w:r>
    </w:p>
    <w:p>
      <w:pPr>
        <w:spacing w:after="0" w:line="179" w:lineRule="exact"/>
        <w:rPr>
          <w:rFonts w:ascii="Arial" w:cs="Arial" w:eastAsia="Arial" w:hAnsi="Arial"/>
          <w:sz w:val="21"/>
          <w:szCs w:val="21"/>
          <w:color w:val="auto"/>
        </w:rPr>
      </w:pPr>
    </w:p>
    <w:p>
      <w:pPr>
        <w:jc w:val="both"/>
        <w:ind w:left="1740" w:right="40" w:hanging="535"/>
        <w:spacing w:after="0" w:line="237" w:lineRule="auto"/>
        <w:tabs>
          <w:tab w:leader="none" w:pos="1740" w:val="left"/>
        </w:tabs>
        <w:numPr>
          <w:ilvl w:val="1"/>
          <w:numId w:val="305"/>
        </w:numPr>
        <w:rPr>
          <w:rFonts w:ascii="Arial" w:cs="Arial" w:eastAsia="Arial" w:hAnsi="Arial"/>
          <w:sz w:val="21"/>
          <w:szCs w:val="21"/>
          <w:color w:val="auto"/>
        </w:rPr>
      </w:pPr>
      <w:r>
        <w:rPr>
          <w:rFonts w:ascii="Arial" w:cs="Arial" w:eastAsia="Arial" w:hAnsi="Arial"/>
          <w:sz w:val="21"/>
          <w:szCs w:val="21"/>
          <w:color w:val="auto"/>
        </w:rPr>
        <w:t>individuals who constitute the Board on the date hereof (the “Incumbent Board”) cease for any reason to constitute at least a majority thereof, provided that any person becoming a director subsequent to the date hereof whose election, or nomination for election by the Company’s shareholders, was approved by a vote of at least two-thirds of the directors comprising the Incumbent Board shall from and after such election be deemed to be a member of the Incumbent Board; or</w:t>
      </w:r>
    </w:p>
    <w:p>
      <w:pPr>
        <w:spacing w:after="0" w:line="177" w:lineRule="exact"/>
        <w:rPr>
          <w:rFonts w:ascii="Arial" w:cs="Arial" w:eastAsia="Arial" w:hAnsi="Arial"/>
          <w:sz w:val="21"/>
          <w:szCs w:val="21"/>
          <w:color w:val="auto"/>
        </w:rPr>
      </w:pPr>
    </w:p>
    <w:p>
      <w:pPr>
        <w:jc w:val="both"/>
        <w:ind w:left="1740" w:right="40" w:hanging="535"/>
        <w:spacing w:after="0" w:line="261" w:lineRule="auto"/>
        <w:tabs>
          <w:tab w:leader="none" w:pos="174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a merger or consolidation involving the Company or its stock, or an acquisition by the Company, directly or indirectly or through one or more subsidiaries, of another entity or its stock or assets in exchange for the stock of the Company unless, immediately following such transaction at least 50% of the then outstanding voting securities of the surviving or resulting corporation or entity will be (or is) then beneficially owned, directly or indirectly, by all or substantially of the individuals and entities who were the beneficial owners of the Company’s outstanding voting securities immediately prior to such transaction (treating, for purposes of determining whether the 50% test is met, any ownership of the voting securities of the surviving or resulting corporation or entity that results from a stockholder’s ownership of the stock of, or their ownership interest in, the corporation or other entity with which the Company is merged or consolidated as not owned by persons who were beneficial owners of the Company’s outstanding voting securities immediately prior to the transaction); or</w:t>
      </w:r>
    </w:p>
    <w:p>
      <w:pPr>
        <w:spacing w:after="0" w:line="156" w:lineRule="exact"/>
        <w:rPr>
          <w:rFonts w:ascii="Arial" w:cs="Arial" w:eastAsia="Arial" w:hAnsi="Arial"/>
          <w:sz w:val="19"/>
          <w:szCs w:val="19"/>
          <w:color w:val="auto"/>
        </w:rPr>
      </w:pPr>
    </w:p>
    <w:p>
      <w:pPr>
        <w:jc w:val="both"/>
        <w:ind w:left="1740" w:right="40" w:hanging="535"/>
        <w:spacing w:after="0" w:line="238" w:lineRule="auto"/>
        <w:tabs>
          <w:tab w:leader="none" w:pos="1740" w:val="left"/>
        </w:tabs>
        <w:numPr>
          <w:ilvl w:val="1"/>
          <w:numId w:val="305"/>
        </w:numPr>
        <w:rPr>
          <w:rFonts w:ascii="Arial" w:cs="Arial" w:eastAsia="Arial" w:hAnsi="Arial"/>
          <w:sz w:val="21"/>
          <w:szCs w:val="21"/>
          <w:color w:val="auto"/>
        </w:rPr>
      </w:pPr>
      <w:r>
        <w:rPr>
          <w:rFonts w:ascii="Arial" w:cs="Arial" w:eastAsia="Arial" w:hAnsi="Arial"/>
          <w:sz w:val="21"/>
          <w:szCs w:val="21"/>
          <w:color w:val="auto"/>
        </w:rPr>
        <w:t>all or substantially all of the assets of the Company are sold or transferred to a Person as to which (a) the Incumbent Board does not have authority (whether by law or contract) to directly control the use or further disposition of such assets and (b) the financial results of the Company and such Person are not consolidated for financial reporting purposes.</w:t>
      </w:r>
    </w:p>
    <w:p>
      <w:pPr>
        <w:spacing w:after="0" w:line="179" w:lineRule="exact"/>
        <w:rPr>
          <w:sz w:val="20"/>
          <w:szCs w:val="20"/>
          <w:color w:val="auto"/>
        </w:rPr>
      </w:pPr>
    </w:p>
    <w:p>
      <w:pPr>
        <w:jc w:val="both"/>
        <w:ind w:right="40" w:firstLine="878"/>
        <w:spacing w:after="0" w:line="237" w:lineRule="auto"/>
        <w:rPr>
          <w:sz w:val="20"/>
          <w:szCs w:val="20"/>
          <w:color w:val="auto"/>
        </w:rPr>
      </w:pPr>
      <w:r>
        <w:rPr>
          <w:rFonts w:ascii="Arial" w:cs="Arial" w:eastAsia="Arial" w:hAnsi="Arial"/>
          <w:sz w:val="21"/>
          <w:szCs w:val="21"/>
          <w:color w:val="auto"/>
        </w:rPr>
        <w:t>Anything else in this definition to the contrary notwithstanding, no Change of Control shall be deemed to have occurred by virtue of any transaction which results in the Optionee, or a group of Persons which includes the Optionee, acquiring 20% or more of either the combined voting power of the Company’s outstanding voting securities or the voting securities of any other corporation or entity which acquires all or substantially all of the assets of the Company, whether by way of merger, consolidation, sale of such assets or otherwise.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92" w:name="page193"/>
    <w:bookmarkEnd w:id="192"/>
    <w:p>
      <w:pPr>
        <w:jc w:val="both"/>
        <w:ind w:right="40" w:firstLine="882"/>
        <w:spacing w:after="0" w:line="259" w:lineRule="auto"/>
        <w:tabs>
          <w:tab w:leader="none" w:pos="1739"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“Effective Period” shall mean for the purposes of this Award Agreement the period from (A) the earliest date to occur of any of the following: (1) any of the events set forth under the definition of Change in Control shall have occurred, (2) the receipt by the Company of a Schedule 13D stating the intention of any person to take actions which if accomplished, would constitute a Change in Control; (3) the public announcement by any person of its intention to take any such action, in each case without regard for any contingency or condition which has not been satisfied on such date; (4) the agreement by the Company to enter into a transaction which, if consummated, would result in a Change in Control; or (5) consideration by the Board of a transaction which, if consummated, would result in a Change in Control and continues until (B) the Scheduled Vesting Date, provided that the Change in Control is consummated prior to the last scheduled vesting date. If, however, an Effective Period occurs but the proposed transaction to which it relates ceases to be actively considered or pending, the Effective Period will be deemed not to have commenced for purposes of this Agreement. If, however, an Effective Period occurs with respect to a proposed transaction which ceased to be actively considered but for which active consideration is revived, the Effective Period with respect to the Change in Control that ultimately occurs shall begin on the date upon which consideration was revived and continue until the Scheduled Vesting Date, provided that the consummation of the Change in Control occurs during the term of the Option.</w:t>
      </w:r>
    </w:p>
    <w:p>
      <w:pPr>
        <w:spacing w:after="0" w:line="164" w:lineRule="exact"/>
        <w:rPr>
          <w:rFonts w:ascii="Arial" w:cs="Arial" w:eastAsia="Arial" w:hAnsi="Arial"/>
          <w:sz w:val="19"/>
          <w:szCs w:val="19"/>
          <w:color w:val="auto"/>
        </w:rPr>
      </w:pPr>
    </w:p>
    <w:p>
      <w:pPr>
        <w:jc w:val="both"/>
        <w:ind w:right="40" w:firstLine="882"/>
        <w:spacing w:after="0" w:line="258" w:lineRule="auto"/>
        <w:tabs>
          <w:tab w:leader="none" w:pos="1693" w:val="left"/>
        </w:tabs>
        <w:numPr>
          <w:ilvl w:val="0"/>
          <w:numId w:val="306"/>
        </w:numPr>
        <w:rPr>
          <w:rFonts w:ascii="Arial" w:cs="Arial" w:eastAsia="Arial" w:hAnsi="Arial"/>
          <w:sz w:val="19"/>
          <w:szCs w:val="19"/>
          <w:color w:val="auto"/>
        </w:rPr>
      </w:pPr>
      <w:r>
        <w:rPr>
          <w:rFonts w:ascii="Arial" w:cs="Arial" w:eastAsia="Arial" w:hAnsi="Arial"/>
          <w:sz w:val="19"/>
          <w:szCs w:val="19"/>
          <w:color w:val="auto"/>
        </w:rPr>
        <w:t>“Good Reason” for the purposes of the Award Agreement shall mean the occurrence of any of the following without the Optionee’s express written consent: (1) a material change in the Optionee’s status, title(s) or positions(s) with the Company, including as an officer of the Company, as in effect immediately prior to the Effective Period which in the Optionee’s reasonable judgment, does not represent a promotion, with commensurate adjustment of compensation, from the Optionee’s status, title(s) and positions(s) immediately prior to the Effective Period; or the assignment to the Optionee of any duties or responsibilities which, in the Optionee’s reasonable judgment, are materially inconsistent with such status, title(s) or positions(s); or any removal of the Optionee from or any failure to reappoint or reelect the Optionee to such position(s); provided that the circumstances described in this item (1) do not apply if as a result of the Optionee’s Death, voluntary termination of employment after age 60 with 10 years of service, Long-Term Disability or following receipt by the Optionee of written notice from the Company of the termination of the Optionee’s employment for Cause; (2) a reduction by the Company during the Effective Period in the Optionee’s then current base salary; (3) the failure by the Company to continue in effect any material Plan in which the Optionee was participating immediately prior to the Effective Period other than as a result of the normal expiration or amendment of any such Plan in accordance with its terms; or the taking of any action, or the failure to act, by the Company which would materially adversely affect the Optionee’s continued participation in any such Plan on at least as favorable a basis to the Optionee’s participation as in effect immediately prior to the Effective Period or which would materially reduce the Optionee’s benefits under any such Plan or deprive the Optionee of any material benefit enjoyed by Optionee immediately prior to the Effective Period; or (4) the relocation of the principal place of Optionee’s employment to a location 25 miles further from the Optionee’s principal residence. To qualify as Good Reason, an Optionee must (i) give written notice of an event constituting Good Reason within 90 days of its initial occurrence, (ii) give the Company 30 days in which to cure such condition, and (iii) actually terminate employment within two years following the initial occurrence of the Good Reason condition and prior to the Scheduled Vesting Date.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93" w:name="page194"/>
    <w:bookmarkEnd w:id="193"/>
    <w:p>
      <w:pPr>
        <w:ind w:right="40" w:firstLine="882"/>
        <w:spacing w:after="0" w:line="259" w:lineRule="auto"/>
        <w:tabs>
          <w:tab w:leader="none" w:pos="1653" w:val="left"/>
        </w:tabs>
        <w:numPr>
          <w:ilvl w:val="0"/>
          <w:numId w:val="30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not an employment agreement. Nothing contained herein shall be construed as</w:t>
      </w:r>
      <w:r>
        <w:rPr>
          <w:rFonts w:ascii="Arial" w:cs="Arial" w:eastAsia="Arial" w:hAnsi="Arial"/>
          <w:sz w:val="21"/>
          <w:szCs w:val="21"/>
          <w:b w:val="1"/>
          <w:bCs w:val="1"/>
          <w:color w:val="auto"/>
        </w:rPr>
        <w:t xml:space="preserve"> </w:t>
      </w:r>
      <w:r>
        <w:rPr>
          <w:rFonts w:ascii="Arial" w:cs="Arial" w:eastAsia="Arial" w:hAnsi="Arial"/>
          <w:sz w:val="21"/>
          <w:szCs w:val="21"/>
          <w:color w:val="auto"/>
        </w:rPr>
        <w:t>creating any employment relationship.</w:t>
      </w:r>
    </w:p>
    <w:p>
      <w:pPr>
        <w:spacing w:after="0" w:line="150" w:lineRule="exact"/>
        <w:rPr>
          <w:rFonts w:ascii="Arial" w:cs="Arial" w:eastAsia="Arial" w:hAnsi="Arial"/>
          <w:sz w:val="21"/>
          <w:szCs w:val="21"/>
          <w:b w:val="1"/>
          <w:bCs w:val="1"/>
          <w:color w:val="auto"/>
        </w:rPr>
      </w:pPr>
    </w:p>
    <w:p>
      <w:pPr>
        <w:jc w:val="both"/>
        <w:ind w:right="40" w:firstLine="882"/>
        <w:spacing w:after="0" w:line="245" w:lineRule="auto"/>
        <w:tabs>
          <w:tab w:leader="none" w:pos="1757" w:val="left"/>
        </w:tabs>
        <w:numPr>
          <w:ilvl w:val="0"/>
          <w:numId w:val="30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under this Agreement shall be in writing and shall be delivered personally</w:t>
      </w:r>
      <w:r>
        <w:rPr>
          <w:rFonts w:ascii="Arial" w:cs="Arial" w:eastAsia="Arial" w:hAnsi="Arial"/>
          <w:sz w:val="21"/>
          <w:szCs w:val="21"/>
          <w:b w:val="1"/>
          <w:bCs w:val="1"/>
          <w:color w:val="auto"/>
        </w:rPr>
        <w:t xml:space="preserve"> </w:t>
      </w:r>
      <w:r>
        <w:rPr>
          <w:rFonts w:ascii="Arial" w:cs="Arial" w:eastAsia="Arial" w:hAnsi="Arial"/>
          <w:sz w:val="21"/>
          <w:szCs w:val="21"/>
          <w:color w:val="auto"/>
        </w:rPr>
        <w:t>or by mailing the same by registered or certified mail postage prepaid, to the other party. Notice given by mail as below set out shall be deemed delivered at the time and on the date the same is postmarked.</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Notices to the Company should be addressed to:</w:t>
      </w:r>
    </w:p>
    <w:p>
      <w:pPr>
        <w:ind w:left="1760"/>
        <w:spacing w:after="0"/>
        <w:rPr>
          <w:sz w:val="20"/>
          <w:szCs w:val="20"/>
          <w:color w:val="auto"/>
        </w:rPr>
      </w:pPr>
      <w:r>
        <w:rPr>
          <w:rFonts w:ascii="Arial" w:cs="Arial" w:eastAsia="Arial" w:hAnsi="Arial"/>
          <w:sz w:val="21"/>
          <w:szCs w:val="21"/>
          <w:color w:val="auto"/>
        </w:rPr>
        <w:t>Cameron International Corporation</w:t>
      </w:r>
    </w:p>
    <w:p>
      <w:pPr>
        <w:ind w:left="1760"/>
        <w:spacing w:after="0" w:line="231" w:lineRule="auto"/>
        <w:rPr>
          <w:sz w:val="20"/>
          <w:szCs w:val="20"/>
          <w:color w:val="auto"/>
        </w:rPr>
      </w:pPr>
      <w:r>
        <w:rPr>
          <w:rFonts w:ascii="Arial" w:cs="Arial" w:eastAsia="Arial" w:hAnsi="Arial"/>
          <w:sz w:val="21"/>
          <w:szCs w:val="21"/>
          <w:color w:val="auto"/>
        </w:rPr>
        <w:t>1333 West Loop South, Suite 1700</w:t>
      </w:r>
    </w:p>
    <w:p>
      <w:pPr>
        <w:ind w:left="1760"/>
        <w:spacing w:after="0" w:line="231" w:lineRule="auto"/>
        <w:rPr>
          <w:sz w:val="20"/>
          <w:szCs w:val="20"/>
          <w:color w:val="auto"/>
        </w:rPr>
      </w:pPr>
      <w:r>
        <w:rPr>
          <w:rFonts w:ascii="Arial" w:cs="Arial" w:eastAsia="Arial" w:hAnsi="Arial"/>
          <w:sz w:val="21"/>
          <w:szCs w:val="21"/>
          <w:color w:val="auto"/>
        </w:rPr>
        <w:t>Houston, Texas 77027</w:t>
      </w:r>
    </w:p>
    <w:p>
      <w:pPr>
        <w:ind w:left="1760"/>
        <w:spacing w:after="0" w:line="231" w:lineRule="auto"/>
        <w:rPr>
          <w:sz w:val="20"/>
          <w:szCs w:val="20"/>
          <w:color w:val="auto"/>
        </w:rPr>
      </w:pPr>
      <w:r>
        <w:rPr>
          <w:rFonts w:ascii="Arial" w:cs="Arial" w:eastAsia="Arial" w:hAnsi="Arial"/>
          <w:sz w:val="21"/>
          <w:szCs w:val="21"/>
          <w:color w:val="auto"/>
        </w:rPr>
        <w:t>Attention: Corporate Secretary</w:t>
      </w:r>
    </w:p>
    <w:p>
      <w:pPr>
        <w:ind w:left="1700"/>
        <w:spacing w:after="0"/>
        <w:rPr>
          <w:sz w:val="20"/>
          <w:szCs w:val="20"/>
          <w:color w:val="auto"/>
        </w:rPr>
      </w:pPr>
      <w:r>
        <w:rPr>
          <w:rFonts w:ascii="Arial" w:cs="Arial" w:eastAsia="Arial" w:hAnsi="Arial"/>
          <w:sz w:val="21"/>
          <w:szCs w:val="21"/>
          <w:color w:val="auto"/>
        </w:rPr>
        <w:t>Telephone: 713-513-3322</w:t>
      </w:r>
    </w:p>
    <w:p>
      <w:pPr>
        <w:spacing w:after="0" w:line="174" w:lineRule="exact"/>
        <w:rPr>
          <w:sz w:val="20"/>
          <w:szCs w:val="20"/>
          <w:color w:val="auto"/>
        </w:rPr>
      </w:pPr>
    </w:p>
    <w:p>
      <w:pPr>
        <w:ind w:left="1740" w:hanging="858"/>
        <w:spacing w:after="0"/>
        <w:tabs>
          <w:tab w:leader="none" w:pos="1740" w:val="left"/>
        </w:tabs>
        <w:numPr>
          <w:ilvl w:val="1"/>
          <w:numId w:val="30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undefined capitalized terms used herein shall have the meanings assigned to them in the Plan.</w:t>
      </w:r>
    </w:p>
    <w:p>
      <w:pPr>
        <w:spacing w:after="0" w:line="220" w:lineRule="exact"/>
        <w:rPr>
          <w:rFonts w:ascii="Arial" w:cs="Arial" w:eastAsia="Arial" w:hAnsi="Arial"/>
          <w:sz w:val="19"/>
          <w:szCs w:val="19"/>
          <w:b w:val="1"/>
          <w:bCs w:val="1"/>
          <w:color w:val="auto"/>
        </w:rPr>
      </w:pPr>
    </w:p>
    <w:p>
      <w:pPr>
        <w:jc w:val="both"/>
        <w:ind w:right="40" w:firstLine="882"/>
        <w:spacing w:after="0" w:line="276" w:lineRule="auto"/>
        <w:tabs>
          <w:tab w:leader="none" w:pos="1757"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Paragraph 9 hereof, this Agreement shall inure to the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of and be binding upon the heirs, legatees, distributees, executors and administrators of the Optionee and the successors and assigns of the Company. This Agreement shall be interpreted, construed, and enforced in accordance with the laws of the State of Texas. In no event shall an Option granted hereunder be voluntarily or involuntarily sold, pledged, assigned or transferred by the Optionee other than:</w:t>
      </w:r>
    </w:p>
    <w:p>
      <w:pPr>
        <w:spacing w:after="0" w:line="2" w:lineRule="exact"/>
        <w:rPr>
          <w:rFonts w:ascii="Arial" w:cs="Arial" w:eastAsia="Arial" w:hAnsi="Arial"/>
          <w:sz w:val="18"/>
          <w:szCs w:val="18"/>
          <w:b w:val="1"/>
          <w:bCs w:val="1"/>
          <w:color w:val="auto"/>
        </w:rPr>
      </w:pPr>
    </w:p>
    <w:p>
      <w:pPr>
        <w:jc w:val="both"/>
        <w:ind w:right="40" w:firstLine="3"/>
        <w:spacing w:after="0" w:line="246" w:lineRule="auto"/>
        <w:tabs>
          <w:tab w:leader="none" w:pos="26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by will or the laws of descent and distribution; or (ii) pursuant to the qualified domestic relations order (as defined by the Internal Revenue Code); or (iii) with respect to grants of nonqualified stock options, by transfer by an Optionee to a member of the Optionee’s Immediate Family, or to a partnership or limited liability company whose only partners or shareholders are the Optionee and members of his Immediate Family. However, any grant transferred shall continue to be subject to all terms and conditions contained in the Agreement. “Immediate Family” means the spouse, children or grandchildren of the Optionee.</w:t>
      </w:r>
    </w:p>
    <w:p>
      <w:pPr>
        <w:spacing w:after="0" w:line="166" w:lineRule="exact"/>
        <w:rPr>
          <w:rFonts w:ascii="Arial" w:cs="Arial" w:eastAsia="Arial" w:hAnsi="Arial"/>
          <w:sz w:val="20"/>
          <w:szCs w:val="20"/>
          <w:color w:val="auto"/>
        </w:rPr>
      </w:pPr>
    </w:p>
    <w:p>
      <w:pPr>
        <w:ind w:left="1760" w:hanging="878"/>
        <w:spacing w:after="0"/>
        <w:tabs>
          <w:tab w:leader="none" w:pos="1760" w:val="left"/>
        </w:tabs>
        <w:numPr>
          <w:ilvl w:val="1"/>
          <w:numId w:val="3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Withholding.</w:t>
      </w:r>
    </w:p>
    <w:p>
      <w:pPr>
        <w:spacing w:after="0" w:line="204" w:lineRule="exact"/>
        <w:rPr>
          <w:sz w:val="20"/>
          <w:szCs w:val="20"/>
          <w:color w:val="auto"/>
        </w:rPr>
      </w:pPr>
    </w:p>
    <w:p>
      <w:pPr>
        <w:jc w:val="both"/>
        <w:ind w:right="40" w:firstLine="882"/>
        <w:spacing w:after="0" w:line="247" w:lineRule="auto"/>
        <w:tabs>
          <w:tab w:leader="none" w:pos="1728" w:val="left"/>
        </w:tabs>
        <w:numPr>
          <w:ilvl w:val="0"/>
          <w:numId w:val="310"/>
        </w:numPr>
        <w:rPr>
          <w:rFonts w:ascii="Arial" w:cs="Arial" w:eastAsia="Arial" w:hAnsi="Arial"/>
          <w:sz w:val="20"/>
          <w:szCs w:val="20"/>
          <w:color w:val="auto"/>
        </w:rPr>
      </w:pPr>
      <w:r>
        <w:rPr>
          <w:rFonts w:ascii="Arial" w:cs="Arial" w:eastAsia="Arial" w:hAnsi="Arial"/>
          <w:sz w:val="20"/>
          <w:szCs w:val="20"/>
          <w:color w:val="auto"/>
        </w:rPr>
        <w:t>Regardless of any action the Company or Optionee’s employer (the “Employer”) takes with respect to any or all income tax (including foreign, federal, state and local tax), social insurance, payroll tax, payment on account or other tax-related items related to Optionee’s participation in the Plan and legally applicable to Optionee (“Tax-Related Items”), Optionee acknowledges that the ultimate liability for all Tax-Related Items legally due by Optionee is and remains Optionee’s responsibility and may exceed the amount actually withheld by the Company and/or the Employer. Optionee further acknowledges that the Company and/or the Employer (i) make no representations or undertakings regarding the treatment of any Tax-Related Items in connection with any aspect of the Option, including but not limited to, the grant, vesting, exercise of the Option, the issuance of Shares upon exercise, the subsequent sale of Shares acquired pursuant to the exercise of the Option and the receipt of any dividends; and (ii) do not commit to and are under no obligation to structure the terms of the grant or any aspect of the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26" w:right="199" w:bottom="1440" w:gutter="0" w:footer="0" w:header="0"/>
        </w:sectPr>
      </w:pPr>
    </w:p>
    <w:bookmarkStart w:id="194" w:name="page195"/>
    <w:bookmarkEnd w:id="194"/>
    <w:p>
      <w:pPr>
        <w:jc w:val="both"/>
        <w:ind w:right="40"/>
        <w:spacing w:after="0" w:line="260" w:lineRule="auto"/>
        <w:rPr>
          <w:sz w:val="20"/>
          <w:szCs w:val="20"/>
          <w:color w:val="auto"/>
        </w:rPr>
      </w:pPr>
      <w:r>
        <w:rPr>
          <w:rFonts w:ascii="Arial" w:cs="Arial" w:eastAsia="Arial" w:hAnsi="Arial"/>
          <w:sz w:val="20"/>
          <w:szCs w:val="20"/>
          <w:color w:val="auto"/>
        </w:rPr>
        <w:t>Option to reduce or eliminate Optionee’s liability for Tax-Related Items or achieve any particular tax result. Further, if Optionee has become subject to tax in more than one jurisdiction, Optionee acknowledges that the Company and/or the Employer (or former employer, as applicable) may be required to withhold or account for Tax-Related Items in more than one jurisdiction.</w:t>
      </w:r>
    </w:p>
    <w:p>
      <w:pPr>
        <w:spacing w:after="0" w:line="157" w:lineRule="exact"/>
        <w:rPr>
          <w:sz w:val="20"/>
          <w:szCs w:val="20"/>
          <w:color w:val="auto"/>
        </w:rPr>
      </w:pPr>
    </w:p>
    <w:p>
      <w:pPr>
        <w:jc w:val="both"/>
        <w:ind w:right="40" w:firstLine="882"/>
        <w:spacing w:after="0" w:line="261" w:lineRule="auto"/>
        <w:tabs>
          <w:tab w:leader="none" w:pos="1739" w:val="left"/>
        </w:tabs>
        <w:numPr>
          <w:ilvl w:val="0"/>
          <w:numId w:val="311"/>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(“Tax Date”), as applicable, Optionee will pay or make adequate arrangements satisfactory to the Company and/or the Employer to satisfy all Tax-Related Items. In this regard, Optionee authorizes the Company and/or the Employer or their respective agents, at their discretion, to satisfy the obligations with regard to all Tax-Related Items by one or a combination of the following: (i) accept a cash payment in U.S. Dollars in the amount of Tax-Related Items, (ii) withhold whole Shares which would otherwise be delivered to Optionee having an aggregate Fair Market Value, determined as of the Tax Date, or withhold an amount of cash from Optionee’s wages or other cash compensation which would otherwise be payable to Optionee by the Company and/or the Employer, equal to the amount necessary to satisfy any such obligations, (iii) withhold from proceeds of the sale of Shares acquired upon exercise of the Option either through a voluntary sale or through a mandatory sale arranged by the Company (on Optionee’s behalf pursuant to this authorization), or (iv) a cash payment to the Company by a broker-dealer acceptable to the Company to whom Optionee have submitted an irrevocable notice of exercise.</w:t>
      </w:r>
    </w:p>
    <w:p>
      <w:pPr>
        <w:spacing w:after="0" w:line="156" w:lineRule="exact"/>
        <w:rPr>
          <w:rFonts w:ascii="Arial" w:cs="Arial" w:eastAsia="Arial" w:hAnsi="Arial"/>
          <w:sz w:val="19"/>
          <w:szCs w:val="19"/>
          <w:color w:val="auto"/>
        </w:rPr>
      </w:pPr>
    </w:p>
    <w:p>
      <w:pPr>
        <w:jc w:val="both"/>
        <w:ind w:right="40" w:firstLine="882"/>
        <w:spacing w:after="0" w:line="246" w:lineRule="auto"/>
        <w:tabs>
          <w:tab w:leader="none" w:pos="1728" w:val="left"/>
        </w:tabs>
        <w:numPr>
          <w:ilvl w:val="0"/>
          <w:numId w:val="311"/>
        </w:numPr>
        <w:rPr>
          <w:rFonts w:ascii="Arial" w:cs="Arial" w:eastAsia="Arial" w:hAnsi="Arial"/>
          <w:sz w:val="20"/>
          <w:szCs w:val="20"/>
          <w:color w:val="auto"/>
        </w:rPr>
      </w:pPr>
      <w:r>
        <w:rPr>
          <w:rFonts w:ascii="Arial" w:cs="Arial" w:eastAsia="Arial" w:hAnsi="Arial"/>
          <w:sz w:val="20"/>
          <w:szCs w:val="20"/>
          <w:color w:val="auto"/>
        </w:rPr>
        <w:t>To avoid negative accounting treatment, the Company may withhold or account for Tax-Related Items by considering applicable minimum statutory withholding rates. If the obligation for Tax-Related Items is satisfied by withholding in Shares, for tax purposes, Optionee are deemed to have been issued the full number of Shares subject to the Option, notwithstanding that a number of Shares are held back solely for the purpose of paying the Tax-Related Items. Finally, Optionee shall pay to the Company or the Employer any amount of Tax-Related Items that the Company or the Employer may be required to withhold as a result of Optionee’s participation in the Plan that cannot be satisfied by the means previously described. The Company shall have sole discretion to deliver the Shares if Optionee fails to comply with his or her obligations in connection with the Tax-Related Items as described in this section and Optionee unconditionally consents to and approves any such action taken by the Company. Optionee (or any beneficiary or person entitled to act on Optionee’s behalf) shall provide the Company with any forms, documents or other information reasonably required by the Company.</w:t>
      </w:r>
    </w:p>
    <w:p>
      <w:pPr>
        <w:spacing w:after="0" w:line="169" w:lineRule="exact"/>
        <w:rPr>
          <w:sz w:val="20"/>
          <w:szCs w:val="20"/>
          <w:color w:val="auto"/>
        </w:rPr>
      </w:pPr>
    </w:p>
    <w:p>
      <w:pPr>
        <w:jc w:val="both"/>
        <w:ind w:right="40" w:firstLine="882"/>
        <w:spacing w:after="0" w:line="247" w:lineRule="auto"/>
        <w:tabs>
          <w:tab w:leader="none" w:pos="1757" w:val="left"/>
        </w:tabs>
        <w:numPr>
          <w:ilvl w:val="0"/>
          <w:numId w:val="3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Repatriation; Compliance with Laws</w:t>
      </w:r>
      <w:r>
        <w:rPr>
          <w:rFonts w:ascii="Arial" w:cs="Arial" w:eastAsia="Arial" w:hAnsi="Arial"/>
          <w:sz w:val="20"/>
          <w:szCs w:val="20"/>
          <w:b w:val="1"/>
          <w:bCs w:val="1"/>
          <w:color w:val="auto"/>
        </w:rPr>
        <w:t xml:space="preserve">. </w:t>
      </w:r>
      <w:r>
        <w:rPr>
          <w:rFonts w:ascii="Arial" w:cs="Arial" w:eastAsia="Arial" w:hAnsi="Arial"/>
          <w:sz w:val="20"/>
          <w:szCs w:val="20"/>
          <w:color w:val="auto"/>
        </w:rPr>
        <w:t>If the Optionee is resident or employed outside of the United States,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repatriate all payments attributable to the Shares and/or cash acquired under the Plan (including, but not limited to, dividends and any proceeds derived from the sale of the Shares acquired pursuant to the Option) in accordance with local foreign exchange rules and regulations in the Optionee’s country of residence (and country of employment, if different). It is the Optionee’s responsibility to comply with all foreign exchange rules and all other local compliance requirements that he or she may be subject to with respect to his or her participation in the Plan. In addition, the Optionee is required to take any and all actions, and consent to any and all actions taken by the Company and its Subsidiaries, as may be necessary to allow the Company and its Subsidiaries to comply with local laws, rules and regulations in the Optionee’s country of residence (and country of employment, if different). The Optionee is also required to take any and all actions as may be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95" w:name="page196"/>
    <w:bookmarkEnd w:id="195"/>
    <w:p>
      <w:pPr>
        <w:ind w:right="40"/>
        <w:spacing w:after="0" w:line="253" w:lineRule="auto"/>
        <w:rPr>
          <w:sz w:val="20"/>
          <w:szCs w:val="20"/>
          <w:color w:val="auto"/>
        </w:rPr>
      </w:pPr>
      <w:r>
        <w:rPr>
          <w:rFonts w:ascii="Arial" w:cs="Arial" w:eastAsia="Arial" w:hAnsi="Arial"/>
          <w:sz w:val="21"/>
          <w:szCs w:val="21"/>
          <w:color w:val="auto"/>
        </w:rPr>
        <w:t>necessary to comply with the Optionee’s personal legal, and tax obligations under local laws, rules and regulations in the Optionee’s country of residence (and country of employment, if different).</w:t>
      </w:r>
    </w:p>
    <w:p>
      <w:pPr>
        <w:spacing w:after="0" w:line="157" w:lineRule="exact"/>
        <w:rPr>
          <w:sz w:val="20"/>
          <w:szCs w:val="20"/>
          <w:color w:val="auto"/>
        </w:rPr>
      </w:pPr>
    </w:p>
    <w:p>
      <w:pPr>
        <w:jc w:val="both"/>
        <w:ind w:right="40" w:firstLine="882"/>
        <w:spacing w:after="0" w:line="236" w:lineRule="auto"/>
        <w:tabs>
          <w:tab w:leader="none" w:pos="1757" w:val="left"/>
        </w:tabs>
        <w:numPr>
          <w:ilvl w:val="0"/>
          <w:numId w:val="3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Securities Matters</w:t>
      </w:r>
      <w:r>
        <w:rPr>
          <w:rFonts w:ascii="Arial" w:cs="Arial" w:eastAsia="Arial" w:hAnsi="Arial"/>
          <w:sz w:val="21"/>
          <w:szCs w:val="21"/>
          <w:color w:val="auto"/>
        </w:rPr>
        <w:t>. The Company shall not be required to deliver any Shares until the requirements of any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state or foreign securities or other laws, rules or regulations (including the rules of any securities exchange) as may be determined by the Company to be applicable are satisfied. If the Optionee is resident or employed outside of the United States, neither the grant of the Options under the Plan nor the issuance of the underlying Shares upon exercise of the Options is intended to be a public offering of securities in the Optionee’s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172" w:lineRule="exact"/>
        <w:rPr>
          <w:rFonts w:ascii="Arial" w:cs="Arial" w:eastAsia="Arial" w:hAnsi="Arial"/>
          <w:sz w:val="21"/>
          <w:szCs w:val="21"/>
          <w:b w:val="1"/>
          <w:bCs w:val="1"/>
          <w:color w:val="auto"/>
        </w:rPr>
      </w:pPr>
    </w:p>
    <w:p>
      <w:pPr>
        <w:jc w:val="both"/>
        <w:ind w:right="40" w:firstLine="882"/>
        <w:spacing w:after="0" w:line="269" w:lineRule="auto"/>
        <w:tabs>
          <w:tab w:leader="none" w:pos="1757" w:val="left"/>
        </w:tabs>
        <w:numPr>
          <w:ilvl w:val="0"/>
          <w:numId w:val="3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Legal Requirements and Risks</w:t>
      </w:r>
      <w:r>
        <w:rPr>
          <w:rFonts w:ascii="Arial" w:cs="Arial" w:eastAsia="Arial" w:hAnsi="Arial"/>
          <w:sz w:val="19"/>
          <w:szCs w:val="19"/>
          <w:b w:val="1"/>
          <w:bCs w:val="1"/>
          <w:color w:val="auto"/>
        </w:rPr>
        <w:t xml:space="preserve">. </w:t>
      </w:r>
      <w:r>
        <w:rPr>
          <w:rFonts w:ascii="Arial" w:cs="Arial" w:eastAsia="Arial" w:hAnsi="Arial"/>
          <w:sz w:val="19"/>
          <w:szCs w:val="19"/>
          <w:color w:val="auto"/>
        </w:rPr>
        <w:t>No employee of the Company or a Subsidiary is permitted to advise the Optionee</w:t>
      </w:r>
      <w:r>
        <w:rPr>
          <w:rFonts w:ascii="Arial" w:cs="Arial" w:eastAsia="Arial" w:hAnsi="Arial"/>
          <w:sz w:val="19"/>
          <w:szCs w:val="19"/>
          <w:b w:val="1"/>
          <w:bCs w:val="1"/>
          <w:color w:val="auto"/>
        </w:rPr>
        <w:t xml:space="preserve"> </w:t>
      </w:r>
      <w:r>
        <w:rPr>
          <w:rFonts w:ascii="Arial" w:cs="Arial" w:eastAsia="Arial" w:hAnsi="Arial"/>
          <w:sz w:val="19"/>
          <w:szCs w:val="19"/>
          <w:color w:val="auto"/>
        </w:rPr>
        <w:t>on whether the Optionee should acquire Shares under the Plan. Acquiring Shares involves a degree of risk. Before deciding to acquire Shares pursuant to the Options, the Optionee should carefully consider all risk factors relevant to the acquisition of Shares under the Plan and the Optionee should carefully review all of the materials related to the Options and the Plan. In addition, the Optionee should consult with the Optionee’s own financial advisor and legal advisor for professional investment advice.</w:t>
      </w:r>
    </w:p>
    <w:p>
      <w:pPr>
        <w:spacing w:after="0" w:line="145" w:lineRule="exact"/>
        <w:rPr>
          <w:rFonts w:ascii="Arial" w:cs="Arial" w:eastAsia="Arial" w:hAnsi="Arial"/>
          <w:sz w:val="19"/>
          <w:szCs w:val="19"/>
          <w:b w:val="1"/>
          <w:bCs w:val="1"/>
          <w:color w:val="auto"/>
        </w:rPr>
      </w:pPr>
    </w:p>
    <w:p>
      <w:pPr>
        <w:ind w:left="1820" w:hanging="938"/>
        <w:spacing w:after="0"/>
        <w:tabs>
          <w:tab w:leader="none" w:pos="1820" w:val="left"/>
        </w:tabs>
        <w:numPr>
          <w:ilvl w:val="0"/>
          <w:numId w:val="3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Consent to Collection, Processing and Transfer of Personal Data.</w:t>
      </w:r>
    </w:p>
    <w:p>
      <w:pPr>
        <w:spacing w:after="0" w:line="204" w:lineRule="exact"/>
        <w:rPr>
          <w:sz w:val="20"/>
          <w:szCs w:val="20"/>
          <w:color w:val="auto"/>
        </w:rPr>
      </w:pPr>
    </w:p>
    <w:p>
      <w:pPr>
        <w:jc w:val="both"/>
        <w:ind w:right="40" w:firstLine="882"/>
        <w:spacing w:after="0" w:line="248" w:lineRule="auto"/>
        <w:tabs>
          <w:tab w:leader="none" w:pos="1779" w:val="left"/>
        </w:tabs>
        <w:numPr>
          <w:ilvl w:val="0"/>
          <w:numId w:val="314"/>
        </w:numPr>
        <w:rPr>
          <w:rFonts w:ascii="Arial" w:cs="Arial" w:eastAsia="Arial" w:hAnsi="Arial"/>
          <w:sz w:val="20"/>
          <w:szCs w:val="20"/>
          <w:color w:val="auto"/>
        </w:rPr>
      </w:pPr>
      <w:r>
        <w:rPr>
          <w:rFonts w:ascii="Arial" w:cs="Arial" w:eastAsia="Arial" w:hAnsi="Arial"/>
          <w:sz w:val="20"/>
          <w:szCs w:val="20"/>
          <w:color w:val="auto"/>
        </w:rPr>
        <w:t>Pursuant to applicable personal data protection laws, the Company and the Employer (if different) hereby notify the Optionee of the following in relation to the Optionee’s personal data and the collection, processing and transfer of such data in relation to the Company’s grant of this Option and the Optionee’s participation in the Plan. The collection, processing and transfer of the Optionee’s personal data are necessary for the Company’s administration of the Plan and the Optionee’s participation in the Plan. The Optionee’s denial and/or objection to the collection, processing and transfer of personal data may affect the Optionee’s participation in the Plan. The Optionee voluntarily acknowledges and consents (where required under applicable law) to the collection, use, processing and transfer of personal data as described herein.</w:t>
      </w:r>
    </w:p>
    <w:p>
      <w:pPr>
        <w:spacing w:after="0" w:line="171" w:lineRule="exact"/>
        <w:rPr>
          <w:rFonts w:ascii="Arial" w:cs="Arial" w:eastAsia="Arial" w:hAnsi="Arial"/>
          <w:sz w:val="20"/>
          <w:szCs w:val="20"/>
          <w:color w:val="auto"/>
        </w:rPr>
      </w:pPr>
    </w:p>
    <w:p>
      <w:pPr>
        <w:jc w:val="both"/>
        <w:ind w:right="40" w:firstLine="882"/>
        <w:spacing w:after="0" w:line="247" w:lineRule="auto"/>
        <w:tabs>
          <w:tab w:leader="none" w:pos="1804"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Company and the Employer (if different) hold certain personal information about the Optionee, including the Optionee’s name, home address and telephone number, date of birth, social security number or other employee identification number, salary, nationality, job title, any Shares or directorships held in the Company, details of all awards or any other entitlement to Shares awarded, canceled, purchased, vested, unvested or outstanding in the Optionee’s favor, for the purpose of managing and administering the Plan (“Data”). The Data may be provided by the Optionee or collected, where lawful, from third parties, and the Company and Employer (if different) will process the Data for the exclusive purpose of implementing, administering and managing the Optionee’s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in the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6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34"/>
        </w:trPr>
        <w:tc>
          <w:tcPr>
            <w:tcW w:w="68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32" w:right="199" w:bottom="1440" w:gutter="0" w:footer="0" w:header="0"/>
        </w:sectPr>
      </w:pPr>
    </w:p>
    <w:bookmarkStart w:id="196" w:name="page197"/>
    <w:bookmarkEnd w:id="196"/>
    <w:p>
      <w:pPr>
        <w:jc w:val="both"/>
        <w:ind w:right="40"/>
        <w:spacing w:after="0" w:line="238" w:lineRule="auto"/>
        <w:rPr>
          <w:sz w:val="20"/>
          <w:szCs w:val="20"/>
          <w:color w:val="auto"/>
        </w:rPr>
      </w:pPr>
      <w:r>
        <w:rPr>
          <w:rFonts w:ascii="Arial" w:cs="Arial" w:eastAsia="Arial" w:hAnsi="Arial"/>
          <w:sz w:val="21"/>
          <w:szCs w:val="21"/>
          <w:color w:val="auto"/>
        </w:rPr>
        <w:t>Optionee’s country of residence.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Optionee’s participation in the Plan.</w:t>
      </w:r>
    </w:p>
    <w:p>
      <w:pPr>
        <w:spacing w:after="0" w:line="205" w:lineRule="exact"/>
        <w:rPr>
          <w:sz w:val="20"/>
          <w:szCs w:val="20"/>
          <w:color w:val="auto"/>
        </w:rPr>
      </w:pPr>
    </w:p>
    <w:p>
      <w:pPr>
        <w:jc w:val="both"/>
        <w:ind w:right="40" w:firstLine="882"/>
        <w:spacing w:after="0" w:line="279" w:lineRule="auto"/>
        <w:tabs>
          <w:tab w:leader="none" w:pos="177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Company and the Employer (if different) will transfer Data amongst themselves as necessary for the purpose of implementation, administration and management of the Optionee’s participation in the Plan, and the Company and the Employer may each further transfer Data to any third parties assisting the Company in the implementation, administration and management of the Plan. These recipients may be located in the European Economic Area, or elsewhere throughout the world, such as the United States. The Optionee hereby authorizes (where required under applicable law) them to receive, possess, use, retain and transfer the Data, in electronic or other form, for purposes of implementing, administering and managing the Optionee’s participation in the Plan, including any requisite transfer of such Data as may be required for the administration of the Plan and/or the subsequent holding of Shares on the Optionee’s behalf to a broker or other third party with whom the Optionee may elect to deposit any Shares acquired pursuant to the Plan.</w:t>
      </w:r>
    </w:p>
    <w:p>
      <w:pPr>
        <w:spacing w:after="0" w:line="142" w:lineRule="exact"/>
        <w:rPr>
          <w:rFonts w:ascii="Arial" w:cs="Arial" w:eastAsia="Arial" w:hAnsi="Arial"/>
          <w:sz w:val="18"/>
          <w:szCs w:val="18"/>
          <w:color w:val="auto"/>
        </w:rPr>
      </w:pPr>
    </w:p>
    <w:p>
      <w:pPr>
        <w:jc w:val="both"/>
        <w:ind w:right="40" w:firstLine="882"/>
        <w:spacing w:after="0" w:line="249" w:lineRule="auto"/>
        <w:tabs>
          <w:tab w:leader="none" w:pos="1791"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The Optionee may, at any time, exercise his or her rights provided under applicable personal data protection laws, which may include the right to (i) obtain confirmation as to the existence of the Data, (ii) verify the content, origin and accuracy of the Data, (iii) request the integration, update, amendment, deletion, or blockage (for breach of applicable laws) of the Data, and (iv) to oppose, for legal reasons, the collection, processing or transfer of the Data which is not necessary or required for the implementation, administration and/or operation of the Plan and the Optionee’s participation in the Plan. The Optionee may seek to exercise these rights by contacting the Company’s Corporate Secretary’s Department</w:t>
      </w:r>
      <w:r>
        <w:rPr>
          <w:rFonts w:ascii="Arial" w:cs="Arial" w:eastAsia="Arial" w:hAnsi="Arial"/>
          <w:sz w:val="20"/>
          <w:szCs w:val="20"/>
          <w:b w:val="1"/>
          <w:bCs w:val="1"/>
          <w:color w:val="auto"/>
        </w:rPr>
        <w:t>.</w:t>
      </w:r>
    </w:p>
    <w:p>
      <w:pPr>
        <w:spacing w:after="0" w:line="164" w:lineRule="exact"/>
        <w:rPr>
          <w:sz w:val="20"/>
          <w:szCs w:val="20"/>
          <w:color w:val="auto"/>
        </w:rPr>
      </w:pPr>
    </w:p>
    <w:p>
      <w:pPr>
        <w:jc w:val="both"/>
        <w:ind w:right="40" w:firstLine="882"/>
        <w:spacing w:after="0" w:line="238" w:lineRule="auto"/>
        <w:tabs>
          <w:tab w:leader="none" w:pos="1847" w:val="left"/>
        </w:tabs>
        <w:numPr>
          <w:ilvl w:val="0"/>
          <w:numId w:val="3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English 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 acknowledges and agrees that it is the Optionee’s express intent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the Plan and all other documents, notices and legal proceedings entered into, given or instituted pursuant to the Option, be drawn up in English. If the Optionee has received the Agreement, the Plan or any other documents related to the Options translated into a language other than English, and if the meaning of the translated version is different than the English version, the English version will control.</w:t>
      </w:r>
    </w:p>
    <w:p>
      <w:pPr>
        <w:spacing w:after="0" w:line="172" w:lineRule="exact"/>
        <w:rPr>
          <w:rFonts w:ascii="Arial" w:cs="Arial" w:eastAsia="Arial" w:hAnsi="Arial"/>
          <w:sz w:val="21"/>
          <w:szCs w:val="21"/>
          <w:b w:val="1"/>
          <w:bCs w:val="1"/>
          <w:color w:val="auto"/>
        </w:rPr>
      </w:pPr>
    </w:p>
    <w:p>
      <w:pPr>
        <w:ind w:left="1760" w:hanging="878"/>
        <w:spacing w:after="0"/>
        <w:tabs>
          <w:tab w:leader="none" w:pos="1760" w:val="left"/>
        </w:tabs>
        <w:numPr>
          <w:ilvl w:val="0"/>
          <w:numId w:val="3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Grant</w:t>
      </w:r>
      <w:r>
        <w:rPr>
          <w:rFonts w:ascii="Arial" w:cs="Arial" w:eastAsia="Arial" w:hAnsi="Arial"/>
          <w:sz w:val="21"/>
          <w:szCs w:val="21"/>
          <w:u w:val="single" w:color="auto"/>
          <w:color w:val="auto"/>
        </w:rPr>
        <w: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of Options, Optionee acknowledges that:</w:t>
      </w:r>
    </w:p>
    <w:p>
      <w:pPr>
        <w:spacing w:after="0" w:line="224" w:lineRule="exact"/>
        <w:rPr>
          <w:sz w:val="20"/>
          <w:szCs w:val="20"/>
          <w:color w:val="auto"/>
        </w:rPr>
      </w:pPr>
    </w:p>
    <w:p>
      <w:pPr>
        <w:ind w:right="40" w:firstLine="882"/>
        <w:spacing w:after="0" w:line="278" w:lineRule="auto"/>
        <w:tabs>
          <w:tab w:leader="none" w:pos="1779"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64" w:lineRule="exact"/>
        <w:rPr>
          <w:rFonts w:ascii="Arial" w:cs="Arial" w:eastAsia="Arial" w:hAnsi="Arial"/>
          <w:sz w:val="20"/>
          <w:szCs w:val="20"/>
          <w:color w:val="auto"/>
        </w:rPr>
      </w:pPr>
    </w:p>
    <w:p>
      <w:pPr>
        <w:ind w:right="40" w:firstLine="882"/>
        <w:spacing w:after="0" w:line="253" w:lineRule="auto"/>
        <w:tabs>
          <w:tab w:leader="none" w:pos="1791" w:val="left"/>
        </w:tabs>
        <w:numPr>
          <w:ilvl w:val="0"/>
          <w:numId w:val="317"/>
        </w:numPr>
        <w:rPr>
          <w:rFonts w:ascii="Arial" w:cs="Arial" w:eastAsia="Arial" w:hAnsi="Arial"/>
          <w:sz w:val="21"/>
          <w:szCs w:val="21"/>
          <w:color w:val="auto"/>
        </w:rPr>
      </w:pPr>
      <w:r>
        <w:rPr>
          <w:rFonts w:ascii="Arial" w:cs="Arial" w:eastAsia="Arial" w:hAnsi="Arial"/>
          <w:sz w:val="21"/>
          <w:szCs w:val="21"/>
          <w:color w:val="auto"/>
        </w:rPr>
        <w:t>The grant of Options is a one-time benefit and does not create any contractual or other right to receive an award or benefits in lieu of an award in the future; future awards, if any, will be at the sole discretion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34"/>
        </w:trPr>
        <w:tc>
          <w:tcPr>
            <w:tcW w:w="6760" w:type="dxa"/>
            <w:vAlign w:val="bottom"/>
            <w:tcBorders>
              <w:bottom w:val="single" w:sz="8" w:color="9A9A9A"/>
            </w:tcBorders>
          </w:tcPr>
          <w:p>
            <w:pPr>
              <w:spacing w:after="0"/>
              <w:rPr>
                <w:sz w:val="11"/>
                <w:szCs w:val="11"/>
                <w:color w:val="auto"/>
              </w:rPr>
            </w:pPr>
          </w:p>
        </w:tc>
        <w:tc>
          <w:tcPr>
            <w:tcW w:w="4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197" w:name="page198"/>
    <w:bookmarkEnd w:id="197"/>
    <w:p>
      <w:pPr>
        <w:ind w:left="1780" w:hanging="898"/>
        <w:spacing w:after="0"/>
        <w:tabs>
          <w:tab w:leader="none" w:pos="178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Optionee is voluntarily participating in the Plan.</w:t>
      </w:r>
    </w:p>
    <w:p>
      <w:pPr>
        <w:spacing w:after="0" w:line="223" w:lineRule="exact"/>
        <w:rPr>
          <w:rFonts w:ascii="Arial" w:cs="Arial" w:eastAsia="Arial" w:hAnsi="Arial"/>
          <w:sz w:val="21"/>
          <w:szCs w:val="21"/>
          <w:color w:val="auto"/>
        </w:rPr>
      </w:pPr>
    </w:p>
    <w:p>
      <w:pPr>
        <w:ind w:right="40" w:firstLine="882"/>
        <w:spacing w:after="0" w:line="253" w:lineRule="auto"/>
        <w:tabs>
          <w:tab w:leader="none" w:pos="1817" w:val="left"/>
        </w:tabs>
        <w:numPr>
          <w:ilvl w:val="0"/>
          <w:numId w:val="318"/>
        </w:numPr>
        <w:rPr>
          <w:rFonts w:ascii="Arial" w:cs="Arial" w:eastAsia="Arial" w:hAnsi="Arial"/>
          <w:sz w:val="21"/>
          <w:szCs w:val="21"/>
          <w:color w:val="auto"/>
        </w:rPr>
      </w:pPr>
      <w:r>
        <w:rPr>
          <w:rFonts w:ascii="Arial" w:cs="Arial" w:eastAsia="Arial" w:hAnsi="Arial"/>
          <w:sz w:val="21"/>
          <w:szCs w:val="21"/>
          <w:color w:val="auto"/>
        </w:rPr>
        <w:t>An Option is an extraordinary item that does not constitute compensation of any kind for services of any kind rendered to the Employer, and which is outside the scope of the Optionee’s employment contract, if any.</w:t>
      </w:r>
    </w:p>
    <w:p>
      <w:pPr>
        <w:spacing w:after="0" w:line="188" w:lineRule="exact"/>
        <w:rPr>
          <w:rFonts w:ascii="Arial" w:cs="Arial" w:eastAsia="Arial" w:hAnsi="Arial"/>
          <w:sz w:val="21"/>
          <w:szCs w:val="21"/>
          <w:color w:val="auto"/>
        </w:rPr>
      </w:pPr>
    </w:p>
    <w:p>
      <w:pPr>
        <w:jc w:val="both"/>
        <w:ind w:right="40" w:firstLine="882"/>
        <w:spacing w:after="0" w:line="238" w:lineRule="auto"/>
        <w:tabs>
          <w:tab w:leader="none" w:pos="1779"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Options are not part of normal or expected compensation or salary for any purpose,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the Employer.</w:t>
      </w:r>
    </w:p>
    <w:p>
      <w:pPr>
        <w:spacing w:after="0" w:line="204" w:lineRule="exact"/>
        <w:rPr>
          <w:rFonts w:ascii="Arial" w:cs="Arial" w:eastAsia="Arial" w:hAnsi="Arial"/>
          <w:sz w:val="21"/>
          <w:szCs w:val="21"/>
          <w:color w:val="auto"/>
        </w:rPr>
      </w:pPr>
    </w:p>
    <w:p>
      <w:pPr>
        <w:ind w:right="40" w:firstLine="882"/>
        <w:spacing w:after="0" w:line="253" w:lineRule="auto"/>
        <w:tabs>
          <w:tab w:leader="none" w:pos="1795"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Options will not be interpreted to form an employment contract or relationship with the Company; and furthermore, the Options will not be interpreted to form an employment contract with any Subsidiary.</w:t>
      </w:r>
    </w:p>
    <w:p>
      <w:pPr>
        <w:spacing w:after="0" w:line="188" w:lineRule="exact"/>
        <w:rPr>
          <w:rFonts w:ascii="Arial" w:cs="Arial" w:eastAsia="Arial" w:hAnsi="Arial"/>
          <w:sz w:val="21"/>
          <w:szCs w:val="21"/>
          <w:color w:val="auto"/>
        </w:rPr>
      </w:pPr>
    </w:p>
    <w:p>
      <w:pPr>
        <w:jc w:val="both"/>
        <w:ind w:right="40" w:firstLine="882"/>
        <w:spacing w:after="0" w:line="242" w:lineRule="auto"/>
        <w:tabs>
          <w:tab w:leader="none" w:pos="1791"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This Agreement shall not confer upon the Optionee any right to continuation of employment by the Employer, nor shall this Agreement interfere in any way with the Employer’s right to terminate the Optionee’s employment at any time, as may be permitted under local law.</w:t>
      </w:r>
    </w:p>
    <w:p>
      <w:pPr>
        <w:spacing w:after="0" w:line="199" w:lineRule="exact"/>
        <w:rPr>
          <w:rFonts w:ascii="Arial" w:cs="Arial" w:eastAsia="Arial" w:hAnsi="Arial"/>
          <w:sz w:val="21"/>
          <w:szCs w:val="21"/>
          <w:color w:val="auto"/>
        </w:rPr>
      </w:pPr>
    </w:p>
    <w:p>
      <w:pPr>
        <w:ind w:right="40" w:firstLine="882"/>
        <w:spacing w:after="0" w:line="253" w:lineRule="auto"/>
        <w:tabs>
          <w:tab w:leader="none" w:pos="1804"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and cannot be predicted with certainty; if the value of the Shares does not increase after the time of grant, this Option will have no value.</w:t>
      </w:r>
    </w:p>
    <w:p>
      <w:pPr>
        <w:spacing w:after="0" w:line="188" w:lineRule="exact"/>
        <w:rPr>
          <w:rFonts w:ascii="Arial" w:cs="Arial" w:eastAsia="Arial" w:hAnsi="Arial"/>
          <w:sz w:val="21"/>
          <w:szCs w:val="21"/>
          <w:color w:val="auto"/>
        </w:rPr>
      </w:pPr>
    </w:p>
    <w:p>
      <w:pPr>
        <w:ind w:left="1740" w:hanging="858"/>
        <w:spacing w:after="0"/>
        <w:tabs>
          <w:tab w:leader="none" w:pos="17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the Options vest and the Optionee obtains Shares, the value of those Shares acquired may increase or decrease in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value.</w:t>
      </w:r>
    </w:p>
    <w:p>
      <w:pPr>
        <w:spacing w:after="0" w:line="179" w:lineRule="exact"/>
        <w:rPr>
          <w:rFonts w:ascii="Arial" w:cs="Arial" w:eastAsia="Arial" w:hAnsi="Arial"/>
          <w:sz w:val="18"/>
          <w:szCs w:val="18"/>
          <w:color w:val="auto"/>
        </w:rPr>
      </w:pPr>
    </w:p>
    <w:p>
      <w:pPr>
        <w:jc w:val="both"/>
        <w:ind w:right="40" w:firstLine="882"/>
        <w:spacing w:after="0" w:line="249" w:lineRule="auto"/>
        <w:tabs>
          <w:tab w:leader="none" w:pos="1758" w:val="left"/>
        </w:tabs>
        <w:numPr>
          <w:ilvl w:val="0"/>
          <w:numId w:val="318"/>
        </w:numPr>
        <w:rPr>
          <w:rFonts w:ascii="Arial" w:cs="Arial" w:eastAsia="Arial" w:hAnsi="Arial"/>
          <w:sz w:val="20"/>
          <w:szCs w:val="20"/>
          <w:color w:val="auto"/>
        </w:rPr>
      </w:pPr>
      <w:r>
        <w:rPr>
          <w:rFonts w:ascii="Arial" w:cs="Arial" w:eastAsia="Arial" w:hAnsi="Arial"/>
          <w:sz w:val="20"/>
          <w:szCs w:val="20"/>
          <w:color w:val="auto"/>
        </w:rPr>
        <w:t>In consideration of the grant of the Options, no claim or entitlement to compensation or damages shall arise from termination of the Options or diminution in value of the Options or Shares acquired upon exercise of the Option resulting from termination of the Optionee’s employment (for any reason whatsoever and whether or not in breach of local labor laws) and the Optionee irrevocably releases the Company and the Employer (if different) from any such claim that may arise; if, notwithstanding the foregoing, any such claim is found by a court of competent jurisdiction to have arisen, then, by accepting this Option, the Optionee will be deemed irrevocably to have waived the Optionee’s entitlement to pursue such claim.</w:t>
      </w:r>
    </w:p>
    <w:p>
      <w:pPr>
        <w:spacing w:after="0" w:line="170" w:lineRule="exact"/>
        <w:rPr>
          <w:rFonts w:ascii="Arial" w:cs="Arial" w:eastAsia="Arial" w:hAnsi="Arial"/>
          <w:sz w:val="20"/>
          <w:szCs w:val="20"/>
          <w:color w:val="auto"/>
        </w:rPr>
      </w:pPr>
    </w:p>
    <w:p>
      <w:pPr>
        <w:jc w:val="both"/>
        <w:ind w:right="40" w:firstLine="882"/>
        <w:spacing w:after="0" w:line="247" w:lineRule="auto"/>
        <w:tabs>
          <w:tab w:leader="none" w:pos="1804" w:val="left"/>
        </w:tabs>
        <w:numPr>
          <w:ilvl w:val="0"/>
          <w:numId w:val="318"/>
        </w:numPr>
        <w:rPr>
          <w:rFonts w:ascii="Arial" w:cs="Arial" w:eastAsia="Arial" w:hAnsi="Arial"/>
          <w:sz w:val="20"/>
          <w:szCs w:val="20"/>
          <w:color w:val="auto"/>
        </w:rPr>
      </w:pPr>
      <w:r>
        <w:rPr>
          <w:rFonts w:ascii="Arial" w:cs="Arial" w:eastAsia="Arial" w:hAnsi="Arial"/>
          <w:sz w:val="20"/>
          <w:szCs w:val="20"/>
          <w:color w:val="auto"/>
        </w:rPr>
        <w:t>In the event of involuntary termination of Optionee’s employment (whether or not in breach of local labor laws), Optionee’s right to receive Options and vest under the Plan, if any, will terminate effective as of the date that Optionee is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Optionee’s right to exercise Options and vesting in Options after termination of employment, if any will be measured by the date of termination of Optionee’s active employment and will not be extended by a notice period mandated under local law; the Committee shall have the exclusive discretion to determine when the Optionee is no longer actively employed for purposes of the award of the Options.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20"/>
                <w:szCs w:val="20"/>
                <w:color w:val="auto"/>
              </w:rPr>
            </w:pPr>
            <w:r>
              <w:rPr>
                <w:rFonts w:ascii="Arial" w:cs="Arial" w:eastAsia="Arial" w:hAnsi="Arial"/>
                <w:sz w:val="14"/>
                <w:szCs w:val="14"/>
                <w:color w:val="auto"/>
              </w:rPr>
              <w:t>Incentive Stock Option Agreement 2014</w:t>
            </w:r>
          </w:p>
        </w:tc>
        <w:tc>
          <w:tcPr>
            <w:tcW w:w="47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34"/>
        </w:trPr>
        <w:tc>
          <w:tcPr>
            <w:tcW w:w="6760" w:type="dxa"/>
            <w:vAlign w:val="bottom"/>
            <w:tcBorders>
              <w:bottom w:val="single" w:sz="8" w:color="9A9A9A"/>
            </w:tcBorders>
          </w:tcPr>
          <w:p>
            <w:pPr>
              <w:spacing w:after="0"/>
              <w:rPr>
                <w:sz w:val="11"/>
                <w:szCs w:val="11"/>
                <w:color w:val="auto"/>
              </w:rPr>
            </w:pPr>
          </w:p>
        </w:tc>
        <w:tc>
          <w:tcPr>
            <w:tcW w:w="47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58" w:right="199" w:bottom="1440" w:gutter="0" w:footer="0" w:header="0"/>
        </w:sectPr>
      </w:pPr>
    </w:p>
    <w:bookmarkStart w:id="198" w:name="page199"/>
    <w:bookmarkEnd w:id="198"/>
    <w:p>
      <w:pPr>
        <w:ind w:firstLine="882"/>
        <w:spacing w:after="0" w:line="253" w:lineRule="auto"/>
        <w:tabs>
          <w:tab w:leader="none" w:pos="1745" w:val="left"/>
        </w:tabs>
        <w:numPr>
          <w:ilvl w:val="0"/>
          <w:numId w:val="319"/>
        </w:numPr>
        <w:rPr>
          <w:rFonts w:ascii="Arial" w:cs="Arial" w:eastAsia="Arial" w:hAnsi="Arial"/>
          <w:sz w:val="21"/>
          <w:szCs w:val="21"/>
          <w:color w:val="auto"/>
        </w:rPr>
      </w:pPr>
      <w:r>
        <w:rPr>
          <w:rFonts w:ascii="Arial" w:cs="Arial" w:eastAsia="Arial" w:hAnsi="Arial"/>
          <w:sz w:val="21"/>
          <w:szCs w:val="21"/>
          <w:color w:val="auto"/>
        </w:rPr>
        <w:t>The Options and benefits under the Plan, if any, will not automatically transfer to another company in the case of a merger, take-over or transfer of liability.</w:t>
      </w:r>
    </w:p>
    <w:p>
      <w:pPr>
        <w:spacing w:after="0" w:line="157" w:lineRule="exact"/>
        <w:rPr>
          <w:sz w:val="20"/>
          <w:szCs w:val="20"/>
          <w:color w:val="auto"/>
        </w:rPr>
      </w:pPr>
    </w:p>
    <w:p>
      <w:pPr>
        <w:jc w:val="both"/>
        <w:ind w:firstLine="882"/>
        <w:spacing w:after="0"/>
        <w:tabs>
          <w:tab w:leader="none" w:pos="1808" w:val="left"/>
        </w:tabs>
        <w:numPr>
          <w:ilvl w:val="0"/>
          <w:numId w:val="3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the Option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rFonts w:ascii="Arial" w:cs="Arial" w:eastAsia="Arial" w:hAnsi="Arial"/>
          <w:sz w:val="21"/>
          <w:szCs w:val="21"/>
          <w:b w:val="1"/>
          <w:bCs w:val="1"/>
          <w:color w:val="auto"/>
        </w:rPr>
      </w:pPr>
    </w:p>
    <w:p>
      <w:pPr>
        <w:jc w:val="both"/>
        <w:ind w:firstLine="882"/>
        <w:spacing w:after="0"/>
        <w:tabs>
          <w:tab w:leader="none" w:pos="1757" w:val="left"/>
        </w:tabs>
        <w:numPr>
          <w:ilvl w:val="0"/>
          <w:numId w:val="3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 Providing Advice.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is not providing any tax, legal or financial advice, nor is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any recommendations regarding Optionee’s participation in the Plan, or Optionee’s acquisition or sale of the Shares underlying the Option. Optionee is hereby advised to consult with his or her own personal tax, legal and financial advisors regarding his or her participation in the Plan before taking any action related to the Plan.</w:t>
      </w:r>
    </w:p>
    <w:p>
      <w:pPr>
        <w:spacing w:after="0" w:line="171" w:lineRule="exact"/>
        <w:rPr>
          <w:rFonts w:ascii="Arial" w:cs="Arial" w:eastAsia="Arial" w:hAnsi="Arial"/>
          <w:sz w:val="21"/>
          <w:szCs w:val="21"/>
          <w:b w:val="1"/>
          <w:bCs w:val="1"/>
          <w:color w:val="auto"/>
        </w:rPr>
      </w:pPr>
    </w:p>
    <w:p>
      <w:pPr>
        <w:jc w:val="both"/>
        <w:ind w:firstLine="882"/>
        <w:spacing w:after="0"/>
        <w:tabs>
          <w:tab w:leader="none" w:pos="1808" w:val="left"/>
        </w:tabs>
        <w:numPr>
          <w:ilvl w:val="0"/>
          <w:numId w:val="3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questions concerning the validity, construction and effect of this Award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by the laws of the State of Delaware, without reference to principles of conflict of laws. Any dispute concerning this Agreement will be resolved exclusively in the state or federal courts in Harris County, Texas, and the Optionee agrees to exclusive venue and jurisdiction in such courts as a condition of receiving this Award.</w:t>
      </w:r>
    </w:p>
    <w:p>
      <w:pPr>
        <w:spacing w:after="0" w:line="196" w:lineRule="exact"/>
        <w:rPr>
          <w:rFonts w:ascii="Arial" w:cs="Arial" w:eastAsia="Arial" w:hAnsi="Arial"/>
          <w:sz w:val="21"/>
          <w:szCs w:val="21"/>
          <w:b w:val="1"/>
          <w:bCs w:val="1"/>
          <w:color w:val="auto"/>
        </w:rPr>
      </w:pPr>
    </w:p>
    <w:p>
      <w:pPr>
        <w:jc w:val="both"/>
        <w:ind w:firstLine="882"/>
        <w:spacing w:after="0" w:line="264" w:lineRule="auto"/>
        <w:tabs>
          <w:tab w:leader="none" w:pos="1808" w:val="left"/>
        </w:tabs>
        <w:numPr>
          <w:ilvl w:val="0"/>
          <w:numId w:val="3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 Terms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Agreement to the contrary, the Option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special terms and conditions for the Optionee’s country of residence (and country of employment, if different), as are set forth in the Appendix to this Agreement (the “Appendix”). Further, if the Optionee transfers residency and/or employment to another country, any special terms and conditions for such country will apply to the Option to the extent the Company determines, in its sole discretion, that the application of such terms and conditions is necessary or advisable in order to comply with local law or to facilitate the operation and administration of the Option and the Plan (or the Company may establish alternative terms and conditions as may be necessary or advisable to accommodate the Optionee’s transfer). In all circumstances, the Appendix shall constitute part of this Agreement.</w:t>
      </w:r>
    </w:p>
    <w:p>
      <w:pPr>
        <w:spacing w:after="0" w:line="152" w:lineRule="exact"/>
        <w:rPr>
          <w:rFonts w:ascii="Arial" w:cs="Arial" w:eastAsia="Arial" w:hAnsi="Arial"/>
          <w:sz w:val="19"/>
          <w:szCs w:val="19"/>
          <w:b w:val="1"/>
          <w:bCs w:val="1"/>
          <w:color w:val="auto"/>
        </w:rPr>
      </w:pPr>
    </w:p>
    <w:p>
      <w:pPr>
        <w:jc w:val="both"/>
        <w:ind w:firstLine="882"/>
        <w:spacing w:after="0" w:line="262" w:lineRule="auto"/>
        <w:tabs>
          <w:tab w:leader="none" w:pos="1834" w:val="left"/>
        </w:tabs>
        <w:numPr>
          <w:ilvl w:val="0"/>
          <w:numId w:val="3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Additional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reserves the right to impose other requirements on the Options, 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acquired pursuant to the Options, and the Optionee’s participation in the Plan, to the extent the Company determines, in its sole discretion, that such other requirements are necessary or advisable in order to comply with local law or to facilitate the operation and administration of the Options and the Plan. Such requirements may include (but are not limited to) requiring the Optionee to sign any</w:t>
      </w:r>
    </w:p>
    <w:p>
      <w:pPr>
        <w:spacing w:after="0"/>
        <w:rPr>
          <w:rFonts w:ascii="Arial" w:cs="Arial" w:eastAsia="Arial" w:hAnsi="Arial"/>
          <w:sz w:val="19"/>
          <w:szCs w:val="19"/>
          <w:b w:val="1"/>
          <w:bCs w:val="1"/>
          <w:color w:val="auto"/>
        </w:rPr>
      </w:pPr>
      <w:r>
        <w:rPr>
          <w:rFonts w:ascii="Arial" w:cs="Arial" w:eastAsia="Arial" w:hAnsi="Arial"/>
          <w:sz w:val="21"/>
          <w:szCs w:val="21"/>
          <w:color w:val="auto"/>
        </w:rPr>
        <w:t>agreements or undertakings that may be necessary to accomplish the foregoing.</w:t>
      </w:r>
    </w:p>
    <w:p>
      <w:pPr>
        <w:spacing w:after="0" w:line="215"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____________________________________________</w:t>
      </w:r>
    </w:p>
    <w:p>
      <w:pPr>
        <w:sectPr>
          <w:pgSz w:w="11900" w:h="16838" w:orient="portrait"/>
          <w:cols w:equalWidth="0" w:num="1">
            <w:col w:w="11420"/>
          </w:cols>
          <w:pgMar w:left="240" w:top="532"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1"/>
          <w:szCs w:val="11"/>
          <w:color w:val="auto"/>
        </w:rPr>
        <w:t>Incentive Stock Option Agreement 2014</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12</w:t>
      </w:r>
    </w:p>
    <w:p>
      <w:pPr>
        <w:sectPr>
          <w:pgSz w:w="11900" w:h="16838" w:orient="portrait"/>
          <w:cols w:equalWidth="0" w:num="2">
            <w:col w:w="10560" w:space="720"/>
            <w:col w:w="140"/>
          </w:cols>
          <w:pgMar w:left="240" w:top="532" w:right="239" w:bottom="1440" w:gutter="0" w:footer="0" w:header="0"/>
          <w:type w:val="continuous"/>
        </w:sectPr>
      </w:pPr>
    </w:p>
    <w:bookmarkStart w:id="199" w:name="page200"/>
    <w:bookmarkEnd w:id="199"/>
    <w:p>
      <w:pPr>
        <w:jc w:val="right"/>
        <w:spacing w:after="0"/>
        <w:rPr>
          <w:sz w:val="20"/>
          <w:szCs w:val="20"/>
          <w:color w:val="auto"/>
        </w:rPr>
      </w:pPr>
      <w:r>
        <w:rPr>
          <w:rFonts w:ascii="Arial" w:cs="Arial" w:eastAsia="Arial" w:hAnsi="Arial"/>
          <w:sz w:val="17"/>
          <w:szCs w:val="17"/>
          <w:b w:val="1"/>
          <w:bCs w:val="1"/>
          <w:u w:val="single" w:color="auto"/>
          <w:color w:val="auto"/>
        </w:rPr>
        <w:t>Exhibit 21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Significant Subsidiaries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Listed below are the significant subsidiaries of the Registrant as of December 31, 2016,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2016.</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Schlumberger B.V., Netherlands</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Cameron Lux I SARL, Luxembourg</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OneSubsea BV, Netherlands</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Schlumberger Canada Limited, Canada</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SA, France</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Services Petroliers Schlumberger, France</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Norge AS, Norway</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Holdings Corporation, Delaware</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Cameron International Corporation, Delaware</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Technology Corporation, Texas</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Smith International Inc., Delaware</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UK Limited, UK</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Plc, UK</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Schlumberger Oilfield UK Plc, UK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Schlumberger Oilfield Holdings Limited, BVI</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Schlumberger Holdings II Limited, BVI</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Dowell Schlumberger Corporation, BVI</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Logelco, Inc., Panama</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Middle East SA., Panama</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Offshore Services Limited, BVI</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Overseas, SA, Panama</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Schlumberger Seaco, Inc., Panama</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Schlumberger Oilfield Eastern Ltd., BVI</w:t>
      </w:r>
    </w:p>
    <w:p>
      <w:pPr>
        <w:sectPr>
          <w:pgSz w:w="11900" w:h="16838" w:orient="portrait"/>
          <w:cols w:equalWidth="0" w:num="1">
            <w:col w:w="11420"/>
          </w:cols>
          <w:pgMar w:left="240" w:top="121"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b w:val="1"/>
          <w:bCs w:val="1"/>
          <w:u w:val="single" w:color="auto"/>
          <w:color w:val="auto"/>
        </w:rPr>
        <w:t>Exhibit 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0" w:lineRule="exact"/>
        <w:rPr>
          <w:sz w:val="20"/>
          <w:szCs w:val="20"/>
          <w:color w:val="auto"/>
        </w:rPr>
      </w:pPr>
    </w:p>
    <w:p>
      <w:pPr>
        <w:jc w:val="both"/>
        <w:ind w:firstLine="762"/>
        <w:spacing w:after="0" w:line="261"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333-36366; 333-104225; 333-115277; 333-124534; 333-151920; 333-173055, as amended by post-effective amendment on Form S-8; 333-188589; and 333-188590); on Form S-3 (Nos. 333-195342 and 333-190822); on Form S-4 (No. 333-97899); and on Form S-4 as amended by post-effective amendment on Form S-8 (Nos. 333-207260 and 333-166326) of Schlumberger Limited of our report dated January 25, 2017 relating to the consolidated financial statements and the effectiveness of internal control over financial reporting, which appears in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8962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January 25, 2017</w:t>
      </w:r>
    </w:p>
    <w:p>
      <w:pPr>
        <w:sectPr>
          <w:pgSz w:w="11900" w:h="16838" w:orient="portrait"/>
          <w:cols w:equalWidth="0" w:num="1">
            <w:col w:w="11420"/>
          </w:cols>
          <w:pgMar w:left="240" w:top="12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7"/>
          <w:szCs w:val="17"/>
          <w:b w:val="1"/>
          <w:bCs w:val="1"/>
          <w:u w:val="single" w:color="auto"/>
          <w:color w:val="auto"/>
        </w:rPr>
        <w:t>Exhibit 24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Powers of Attorney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and/or an officer of Schlumberger Limited, a Curaçao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2016,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32569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256915" cy="8255"/>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Peter L.S. Currie</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 V. 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32569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56915" cy="8255"/>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Maureen Kempston Darkes</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32569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56915" cy="8255"/>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Paal Kibsgaard</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Chairman of the Board and Chief Executive Officer</w:t>
      </w:r>
    </w:p>
    <w:p>
      <w:pPr>
        <w:spacing w:after="0" w:line="200" w:lineRule="exact"/>
        <w:rPr>
          <w:sz w:val="20"/>
          <w:szCs w:val="20"/>
          <w:color w:val="auto"/>
        </w:rPr>
      </w:pPr>
    </w:p>
    <w:p>
      <w:pPr>
        <w:spacing w:after="0" w:line="38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32569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56915" cy="8255"/>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Nikolay Kudryavtsev</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32569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56915" cy="8255"/>
                    </a:xfrm>
                    <a:prstGeom prst="rect">
                      <a:avLst/>
                    </a:prstGeom>
                    <a:noFill/>
                  </pic:spPr>
                </pic:pic>
              </a:graphicData>
            </a:graphic>
          </wp:anchor>
        </w:drawing>
      </w:r>
    </w:p>
    <w:p>
      <w:pPr>
        <w:spacing w:after="0" w:line="3"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Michael E. Marks</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/s/ Helge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32569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56915"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Helge Lund</w:t>
      </w:r>
    </w:p>
    <w:p>
      <w:pPr>
        <w:spacing w:after="0" w:line="1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/s/Indra K. Nooyi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26035</wp:posOffset>
            </wp:positionV>
            <wp:extent cx="32486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Indra K. Nooyi</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33020</wp:posOffset>
            </wp:positionV>
            <wp:extent cx="32486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Lubna S. Olayan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26035</wp:posOffset>
            </wp:positionV>
            <wp:extent cx="32486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Leo Rafael Reif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4"/>
          <w:szCs w:val="14"/>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26035</wp:posOffset>
            </wp:positionV>
            <wp:extent cx="32486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Tore Sandvold</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26035</wp:posOffset>
            </wp:positionV>
            <wp:extent cx="32486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Henri Seydoux</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Director</w:t>
      </w:r>
    </w:p>
    <w:p>
      <w:pPr>
        <w:spacing w:after="0" w:line="1311" w:lineRule="exact"/>
        <w:rPr>
          <w:sz w:val="20"/>
          <w:szCs w:val="20"/>
          <w:color w:val="auto"/>
        </w:rPr>
      </w:pPr>
    </w:p>
    <w:p>
      <w:pPr>
        <w:sectPr>
          <w:pgSz w:w="11900" w:h="16838" w:orient="portrait"/>
          <w:cols w:equalWidth="0" w:num="2">
            <w:col w:w="7540" w:space="720"/>
            <w:col w:w="316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Date: January 25, 2017</w:t>
      </w:r>
    </w:p>
    <w:p>
      <w:pPr>
        <w:sectPr>
          <w:pgSz w:w="11900" w:h="16838" w:orient="portrait"/>
          <w:cols w:equalWidth="0" w:num="1">
            <w:col w:w="11420"/>
          </w:cols>
          <w:pgMar w:left="240" w:top="121" w:right="23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7"/>
          <w:szCs w:val="17"/>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Paal Kibsgaard, certify that:</w:t>
      </w:r>
    </w:p>
    <w:p>
      <w:pPr>
        <w:spacing w:after="0" w:line="115" w:lineRule="exact"/>
        <w:rPr>
          <w:sz w:val="20"/>
          <w:szCs w:val="20"/>
          <w:color w:val="auto"/>
        </w:rPr>
      </w:pPr>
    </w:p>
    <w:p>
      <w:pPr>
        <w:ind w:left="560" w:hanging="177"/>
        <w:spacing w:after="0"/>
        <w:tabs>
          <w:tab w:leader="none" w:pos="5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Schlumberger Limited;</w:t>
      </w:r>
    </w:p>
    <w:p>
      <w:pPr>
        <w:spacing w:after="0" w:line="114" w:lineRule="exact"/>
        <w:rPr>
          <w:rFonts w:ascii="Arial" w:cs="Arial" w:eastAsia="Arial" w:hAnsi="Arial"/>
          <w:sz w:val="17"/>
          <w:szCs w:val="17"/>
          <w:color w:val="auto"/>
        </w:rPr>
      </w:pPr>
    </w:p>
    <w:p>
      <w:pPr>
        <w:ind w:firstLine="383"/>
        <w:spacing w:after="0" w:line="315" w:lineRule="auto"/>
        <w:tabs>
          <w:tab w:leader="none" w:pos="55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6"/>
          <w:szCs w:val="16"/>
          <w:color w:val="auto"/>
        </w:rPr>
      </w:pPr>
    </w:p>
    <w:p>
      <w:pPr>
        <w:ind w:firstLine="383"/>
        <w:spacing w:after="0" w:line="283" w:lineRule="auto"/>
        <w:tabs>
          <w:tab w:leader="none" w:pos="5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7"/>
          <w:szCs w:val="17"/>
          <w:color w:val="auto"/>
        </w:rPr>
      </w:pPr>
    </w:p>
    <w:p>
      <w:pPr>
        <w:ind w:firstLine="383"/>
        <w:spacing w:after="0" w:line="352" w:lineRule="auto"/>
        <w:tabs>
          <w:tab w:leader="none" w:pos="553"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Arial" w:cs="Arial" w:eastAsia="Arial" w:hAnsi="Arial"/>
          <w:sz w:val="15"/>
          <w:szCs w:val="15"/>
          <w:color w:val="auto"/>
        </w:rPr>
      </w:pPr>
    </w:p>
    <w:p>
      <w:pPr>
        <w:jc w:val="both"/>
        <w:ind w:left="1120" w:hanging="509"/>
        <w:spacing w:after="0" w:line="268" w:lineRule="auto"/>
        <w:tabs>
          <w:tab w:leader="none" w:pos="11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jc w:val="both"/>
        <w:ind w:left="1120" w:hanging="509"/>
        <w:spacing w:after="0" w:line="268" w:lineRule="auto"/>
        <w:tabs>
          <w:tab w:leader="none" w:pos="11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ind w:left="1120" w:hanging="509"/>
        <w:spacing w:after="0" w:line="283" w:lineRule="auto"/>
        <w:tabs>
          <w:tab w:leader="none" w:pos="11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jc w:val="both"/>
        <w:ind w:left="1120" w:hanging="509"/>
        <w:spacing w:after="0" w:line="268" w:lineRule="auto"/>
        <w:tabs>
          <w:tab w:leader="none" w:pos="11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7"/>
          <w:szCs w:val="17"/>
          <w:color w:val="auto"/>
        </w:rPr>
      </w:pPr>
    </w:p>
    <w:p>
      <w:pPr>
        <w:ind w:firstLine="383"/>
        <w:spacing w:after="0" w:line="283" w:lineRule="auto"/>
        <w:tabs>
          <w:tab w:leader="none" w:pos="58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1120" w:hanging="509"/>
        <w:spacing w:after="0" w:line="283" w:lineRule="auto"/>
        <w:tabs>
          <w:tab w:leader="none" w:pos="11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120" w:hanging="509"/>
        <w:spacing w:after="0" w:line="283" w:lineRule="auto"/>
        <w:tabs>
          <w:tab w:leader="none" w:pos="112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40" w:type="dxa"/>
            <w:vAlign w:val="bottom"/>
          </w:tcPr>
          <w:p>
            <w:pPr>
              <w:spacing w:after="0"/>
              <w:rPr>
                <w:sz w:val="20"/>
                <w:szCs w:val="20"/>
                <w:color w:val="auto"/>
              </w:rPr>
            </w:pPr>
            <w:r>
              <w:rPr>
                <w:rFonts w:ascii="Arial" w:cs="Arial" w:eastAsia="Arial" w:hAnsi="Arial"/>
                <w:sz w:val="17"/>
                <w:szCs w:val="17"/>
                <w:color w:val="auto"/>
              </w:rPr>
              <w:t>Date: January 25, 2017</w:t>
            </w:r>
          </w:p>
        </w:tc>
        <w:tc>
          <w:tcPr>
            <w:tcW w:w="7180" w:type="dxa"/>
            <w:vAlign w:val="bottom"/>
            <w:gridSpan w:val="2"/>
          </w:tcPr>
          <w:p>
            <w:pPr>
              <w:ind w:left="2620"/>
              <w:spacing w:after="0"/>
              <w:rPr>
                <w:sz w:val="20"/>
                <w:szCs w:val="20"/>
                <w:color w:val="auto"/>
              </w:rPr>
            </w:pPr>
            <w:r>
              <w:rPr>
                <w:rFonts w:ascii="Arial" w:cs="Arial" w:eastAsia="Arial" w:hAnsi="Arial"/>
                <w:sz w:val="17"/>
                <w:szCs w:val="17"/>
                <w:color w:val="auto"/>
              </w:rPr>
              <w:t>/s/ Paal Kibsgaard</w:t>
            </w:r>
          </w:p>
        </w:tc>
      </w:tr>
      <w:tr>
        <w:trPr>
          <w:trHeight w:val="187"/>
        </w:trPr>
        <w:tc>
          <w:tcPr>
            <w:tcW w:w="4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56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7"/>
                <w:szCs w:val="17"/>
                <w:color w:val="auto"/>
              </w:rPr>
              <w:t>Paal Kibsgaard</w:t>
            </w:r>
          </w:p>
        </w:tc>
      </w:tr>
      <w:tr>
        <w:trPr>
          <w:trHeight w:val="219"/>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420"/>
          </w:cols>
          <w:pgMar w:left="240" w:top="12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Simon Ayat, certify that:</w:t>
      </w:r>
    </w:p>
    <w:p>
      <w:pPr>
        <w:spacing w:after="0" w:line="115" w:lineRule="exact"/>
        <w:rPr>
          <w:sz w:val="20"/>
          <w:szCs w:val="20"/>
          <w:color w:val="auto"/>
        </w:rPr>
      </w:pPr>
    </w:p>
    <w:p>
      <w:pPr>
        <w:ind w:left="560" w:hanging="177"/>
        <w:spacing w:after="0"/>
        <w:tabs>
          <w:tab w:leader="none" w:pos="5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Schlumberger Limited;</w:t>
      </w:r>
    </w:p>
    <w:p>
      <w:pPr>
        <w:spacing w:after="0" w:line="114" w:lineRule="exact"/>
        <w:rPr>
          <w:rFonts w:ascii="Arial" w:cs="Arial" w:eastAsia="Arial" w:hAnsi="Arial"/>
          <w:sz w:val="17"/>
          <w:szCs w:val="17"/>
          <w:color w:val="auto"/>
        </w:rPr>
      </w:pPr>
    </w:p>
    <w:p>
      <w:pPr>
        <w:ind w:firstLine="383"/>
        <w:spacing w:after="0" w:line="315" w:lineRule="auto"/>
        <w:tabs>
          <w:tab w:leader="none" w:pos="55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Arial" w:cs="Arial" w:eastAsia="Arial" w:hAnsi="Arial"/>
          <w:sz w:val="16"/>
          <w:szCs w:val="16"/>
          <w:color w:val="auto"/>
        </w:rPr>
      </w:pPr>
    </w:p>
    <w:p>
      <w:pPr>
        <w:ind w:firstLine="383"/>
        <w:spacing w:after="0" w:line="283" w:lineRule="auto"/>
        <w:tabs>
          <w:tab w:leader="none" w:pos="5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7"/>
          <w:szCs w:val="17"/>
          <w:color w:val="auto"/>
        </w:rPr>
      </w:pPr>
    </w:p>
    <w:p>
      <w:pPr>
        <w:ind w:firstLine="383"/>
        <w:spacing w:after="0" w:line="352" w:lineRule="auto"/>
        <w:tabs>
          <w:tab w:leader="none" w:pos="553"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Arial" w:cs="Arial" w:eastAsia="Arial" w:hAnsi="Arial"/>
          <w:sz w:val="15"/>
          <w:szCs w:val="15"/>
          <w:color w:val="auto"/>
        </w:rPr>
      </w:pPr>
    </w:p>
    <w:p>
      <w:pPr>
        <w:jc w:val="both"/>
        <w:ind w:left="1120" w:hanging="509"/>
        <w:spacing w:after="0" w:line="268" w:lineRule="auto"/>
        <w:tabs>
          <w:tab w:leader="none" w:pos="11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7"/>
          <w:szCs w:val="17"/>
          <w:color w:val="auto"/>
        </w:rPr>
      </w:pPr>
    </w:p>
    <w:p>
      <w:pPr>
        <w:jc w:val="both"/>
        <w:ind w:left="1120" w:hanging="509"/>
        <w:spacing w:after="0" w:line="268" w:lineRule="auto"/>
        <w:tabs>
          <w:tab w:leader="none" w:pos="11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7"/>
          <w:szCs w:val="17"/>
          <w:color w:val="auto"/>
        </w:rPr>
      </w:pPr>
    </w:p>
    <w:p>
      <w:pPr>
        <w:ind w:left="1120" w:hanging="509"/>
        <w:spacing w:after="0" w:line="283" w:lineRule="auto"/>
        <w:tabs>
          <w:tab w:leader="none" w:pos="11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jc w:val="both"/>
        <w:ind w:left="1120" w:hanging="509"/>
        <w:spacing w:after="0" w:line="268" w:lineRule="auto"/>
        <w:tabs>
          <w:tab w:leader="none" w:pos="11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7"/>
          <w:szCs w:val="17"/>
          <w:color w:val="auto"/>
        </w:rPr>
      </w:pPr>
    </w:p>
    <w:p>
      <w:pPr>
        <w:ind w:firstLine="383"/>
        <w:spacing w:after="0" w:line="283" w:lineRule="auto"/>
        <w:tabs>
          <w:tab w:leader="none" w:pos="58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1120" w:hanging="509"/>
        <w:spacing w:after="0" w:line="283" w:lineRule="auto"/>
        <w:tabs>
          <w:tab w:leader="none" w:pos="11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Arial" w:cs="Arial" w:eastAsia="Arial" w:hAnsi="Arial"/>
          <w:sz w:val="17"/>
          <w:szCs w:val="17"/>
          <w:color w:val="auto"/>
        </w:rPr>
      </w:pPr>
    </w:p>
    <w:p>
      <w:pPr>
        <w:ind w:left="1120" w:hanging="509"/>
        <w:spacing w:after="0" w:line="283" w:lineRule="auto"/>
        <w:tabs>
          <w:tab w:leader="none" w:pos="112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60" w:type="dxa"/>
            <w:vAlign w:val="bottom"/>
          </w:tcPr>
          <w:p>
            <w:pPr>
              <w:spacing w:after="0"/>
              <w:rPr>
                <w:sz w:val="20"/>
                <w:szCs w:val="20"/>
                <w:color w:val="auto"/>
              </w:rPr>
            </w:pPr>
            <w:r>
              <w:rPr>
                <w:rFonts w:ascii="Arial" w:cs="Arial" w:eastAsia="Arial" w:hAnsi="Arial"/>
                <w:sz w:val="17"/>
                <w:szCs w:val="17"/>
                <w:color w:val="auto"/>
              </w:rPr>
              <w:t>Date: January 25,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Simon Ayat</w:t>
            </w:r>
          </w:p>
        </w:tc>
      </w:tr>
      <w:tr>
        <w:trPr>
          <w:trHeight w:val="187"/>
        </w:trPr>
        <w:tc>
          <w:tcPr>
            <w:tcW w:w="6860" w:type="dxa"/>
            <w:vAlign w:val="bottom"/>
          </w:tcPr>
          <w:p>
            <w:pPr>
              <w:spacing w:after="0"/>
              <w:rPr>
                <w:sz w:val="16"/>
                <w:szCs w:val="16"/>
                <w:color w:val="auto"/>
              </w:rPr>
            </w:pPr>
          </w:p>
        </w:tc>
        <w:tc>
          <w:tcPr>
            <w:tcW w:w="4560" w:type="dxa"/>
            <w:vAlign w:val="bottom"/>
          </w:tcPr>
          <w:p>
            <w:pPr>
              <w:spacing w:after="0" w:line="187" w:lineRule="exact"/>
              <w:rPr>
                <w:sz w:val="20"/>
                <w:szCs w:val="20"/>
                <w:color w:val="auto"/>
              </w:rPr>
            </w:pPr>
            <w:r>
              <w:rPr>
                <w:rFonts w:ascii="Arial" w:cs="Arial" w:eastAsia="Arial" w:hAnsi="Arial"/>
                <w:sz w:val="17"/>
                <w:szCs w:val="17"/>
                <w:color w:val="auto"/>
              </w:rPr>
              <w:t>Simon Ayat</w:t>
            </w:r>
          </w:p>
        </w:tc>
      </w:tr>
      <w:tr>
        <w:trPr>
          <w:trHeight w:val="219"/>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b w:val="1"/>
          <w:bCs w:val="1"/>
          <w:u w:val="single" w:color="auto"/>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2016 as filed with the Securities and Exchange Commission on the date hereof (the “Report”), I, Paal Kibsgaard, Chief Executive Officer of the Company, certify, pursuant to 18 U.S.C. § 1350, as adopted pursuant to § 906 of the Sarbanes-Oxley Act of 2002, that:</w:t>
      </w:r>
    </w:p>
    <w:p>
      <w:pPr>
        <w:spacing w:after="0" w:line="69" w:lineRule="exact"/>
        <w:rPr>
          <w:sz w:val="20"/>
          <w:szCs w:val="20"/>
          <w:color w:val="auto"/>
        </w:rPr>
      </w:pPr>
    </w:p>
    <w:p>
      <w:pPr>
        <w:ind w:left="1040" w:hanging="520"/>
        <w:spacing w:after="0" w:line="283" w:lineRule="auto"/>
        <w:tabs>
          <w:tab w:leader="none" w:pos="104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(the “Exchange Act”), and</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40" w:type="dxa"/>
            <w:vAlign w:val="bottom"/>
          </w:tcPr>
          <w:p>
            <w:pPr>
              <w:spacing w:after="0"/>
              <w:rPr>
                <w:sz w:val="20"/>
                <w:szCs w:val="20"/>
                <w:color w:val="auto"/>
              </w:rPr>
            </w:pPr>
            <w:r>
              <w:rPr>
                <w:rFonts w:ascii="Arial" w:cs="Arial" w:eastAsia="Arial" w:hAnsi="Arial"/>
                <w:sz w:val="17"/>
                <w:szCs w:val="17"/>
                <w:color w:val="auto"/>
              </w:rPr>
              <w:t>Date: January 25, 2017</w:t>
            </w:r>
          </w:p>
        </w:tc>
        <w:tc>
          <w:tcPr>
            <w:tcW w:w="7180" w:type="dxa"/>
            <w:vAlign w:val="bottom"/>
            <w:gridSpan w:val="2"/>
          </w:tcPr>
          <w:p>
            <w:pPr>
              <w:ind w:left="2620"/>
              <w:spacing w:after="0"/>
              <w:rPr>
                <w:sz w:val="20"/>
                <w:szCs w:val="20"/>
                <w:color w:val="auto"/>
              </w:rPr>
            </w:pPr>
            <w:r>
              <w:rPr>
                <w:rFonts w:ascii="Arial" w:cs="Arial" w:eastAsia="Arial" w:hAnsi="Arial"/>
                <w:sz w:val="17"/>
                <w:szCs w:val="17"/>
                <w:color w:val="auto"/>
              </w:rPr>
              <w:t>/s/ Paal Kibsgaard</w:t>
            </w:r>
          </w:p>
        </w:tc>
      </w:tr>
      <w:tr>
        <w:trPr>
          <w:trHeight w:val="187"/>
        </w:trPr>
        <w:tc>
          <w:tcPr>
            <w:tcW w:w="4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56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7"/>
                <w:szCs w:val="17"/>
                <w:color w:val="auto"/>
              </w:rPr>
              <w:t>Paal Kibsgaard</w:t>
            </w:r>
          </w:p>
        </w:tc>
      </w:tr>
      <w:tr>
        <w:trPr>
          <w:trHeight w:val="219"/>
        </w:trPr>
        <w:tc>
          <w:tcPr>
            <w:tcW w:w="42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bl>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b w:val="1"/>
          <w:bCs w:val="1"/>
          <w:u w:val="single" w:color="auto"/>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2016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9" w:lineRule="exact"/>
        <w:rPr>
          <w:sz w:val="20"/>
          <w:szCs w:val="20"/>
          <w:color w:val="auto"/>
        </w:rPr>
      </w:pPr>
    </w:p>
    <w:p>
      <w:pPr>
        <w:ind w:left="1040" w:hanging="520"/>
        <w:spacing w:after="0" w:line="283" w:lineRule="auto"/>
        <w:tabs>
          <w:tab w:leader="none" w:pos="10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(the “Exchange Act”), and</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60" w:type="dxa"/>
            <w:vAlign w:val="bottom"/>
          </w:tcPr>
          <w:p>
            <w:pPr>
              <w:spacing w:after="0"/>
              <w:rPr>
                <w:sz w:val="20"/>
                <w:szCs w:val="20"/>
                <w:color w:val="auto"/>
              </w:rPr>
            </w:pPr>
            <w:r>
              <w:rPr>
                <w:rFonts w:ascii="Arial" w:cs="Arial" w:eastAsia="Arial" w:hAnsi="Arial"/>
                <w:sz w:val="17"/>
                <w:szCs w:val="17"/>
                <w:color w:val="auto"/>
              </w:rPr>
              <w:t>Date: January 25,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Simon Ayat</w:t>
            </w:r>
          </w:p>
        </w:tc>
      </w:tr>
      <w:tr>
        <w:trPr>
          <w:trHeight w:val="187"/>
        </w:trPr>
        <w:tc>
          <w:tcPr>
            <w:tcW w:w="6860" w:type="dxa"/>
            <w:vAlign w:val="bottom"/>
          </w:tcPr>
          <w:p>
            <w:pPr>
              <w:spacing w:after="0"/>
              <w:rPr>
                <w:sz w:val="16"/>
                <w:szCs w:val="16"/>
                <w:color w:val="auto"/>
              </w:rPr>
            </w:pPr>
          </w:p>
        </w:tc>
        <w:tc>
          <w:tcPr>
            <w:tcW w:w="4560" w:type="dxa"/>
            <w:vAlign w:val="bottom"/>
          </w:tcPr>
          <w:p>
            <w:pPr>
              <w:spacing w:after="0" w:line="187" w:lineRule="exact"/>
              <w:rPr>
                <w:sz w:val="20"/>
                <w:szCs w:val="20"/>
                <w:color w:val="auto"/>
              </w:rPr>
            </w:pPr>
            <w:r>
              <w:rPr>
                <w:rFonts w:ascii="Arial" w:cs="Arial" w:eastAsia="Arial" w:hAnsi="Arial"/>
                <w:sz w:val="17"/>
                <w:szCs w:val="17"/>
                <w:color w:val="auto"/>
              </w:rPr>
              <w:t>Simon Ayat</w:t>
            </w:r>
          </w:p>
        </w:tc>
      </w:tr>
      <w:tr>
        <w:trPr>
          <w:trHeight w:val="219"/>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u w:val="single" w:color="auto"/>
          <w:color w:val="auto"/>
        </w:rPr>
        <w:t>Exhibit 95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 Safety Disclosure</w:t>
      </w:r>
    </w:p>
    <w:p>
      <w:pPr>
        <w:spacing w:after="0" w:line="22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2" w:lineRule="exact"/>
        <w:rPr>
          <w:sz w:val="20"/>
          <w:szCs w:val="20"/>
          <w:color w:val="auto"/>
        </w:rPr>
      </w:pPr>
    </w:p>
    <w:p>
      <w:pPr>
        <w:jc w:val="both"/>
        <w:ind w:right="140" w:firstLine="518"/>
        <w:spacing w:after="0" w:line="268"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full year ended December 31, 2016. Due to timing and other factors, the data may not agree with the mine data retrieval system maintained by the MSHA at www.MSHA.gov.</w:t>
      </w:r>
    </w:p>
    <w:p>
      <w:pPr>
        <w:spacing w:after="0" w:line="269" w:lineRule="exact"/>
        <w:rPr>
          <w:sz w:val="20"/>
          <w:szCs w:val="20"/>
          <w:color w:val="auto"/>
        </w:rPr>
      </w:pPr>
    </w:p>
    <w:p>
      <w:pPr>
        <w:ind w:left="5180"/>
        <w:spacing w:after="0"/>
        <w:rPr>
          <w:sz w:val="20"/>
          <w:szCs w:val="20"/>
          <w:color w:val="auto"/>
        </w:rPr>
      </w:pPr>
      <w:r>
        <w:rPr>
          <w:rFonts w:ascii="Arial" w:cs="Arial" w:eastAsia="Arial" w:hAnsi="Arial"/>
          <w:sz w:val="17"/>
          <w:szCs w:val="17"/>
          <w:b w:val="1"/>
          <w:bCs w:val="1"/>
          <w:u w:val="single" w:color="auto"/>
          <w:color w:val="auto"/>
        </w:rPr>
        <w:t>Full Year 2016</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(whole dollars)</w:t>
      </w:r>
    </w:p>
    <w:p>
      <w:pPr>
        <w:spacing w:after="0" w:line="361"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Received</w:t>
            </w: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97"/>
              </w:rPr>
              <w:t>Notice of</w:t>
            </w: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92"/>
              </w:rPr>
              <w:t>Notice of</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88"/>
              </w:rPr>
              <w:t>Pattern of</w:t>
            </w: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93"/>
              </w:rPr>
              <w:t>Potential to</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96"/>
              </w:rPr>
              <w:t>Violations</w:t>
            </w: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91"/>
              </w:rPr>
              <w:t>Have Pattern</w:t>
            </w:r>
          </w:p>
        </w:tc>
        <w:tc>
          <w:tcPr>
            <w:tcW w:w="740" w:type="dxa"/>
            <w:vAlign w:val="bottom"/>
          </w:tcPr>
          <w:p>
            <w:pPr>
              <w:jc w:val="center"/>
              <w:spacing w:after="0" w:line="129" w:lineRule="exact"/>
              <w:rPr>
                <w:sz w:val="20"/>
                <w:szCs w:val="20"/>
                <w:color w:val="auto"/>
              </w:rPr>
            </w:pPr>
            <w:r>
              <w:rPr>
                <w:rFonts w:ascii="Arial" w:cs="Arial" w:eastAsia="Arial" w:hAnsi="Arial"/>
                <w:sz w:val="12"/>
                <w:szCs w:val="12"/>
                <w:color w:val="auto"/>
                <w:w w:val="94"/>
              </w:rPr>
              <w:t>Legal Actions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jc w:val="center"/>
              <w:ind w:left="40"/>
              <w:spacing w:after="0" w:line="129" w:lineRule="exact"/>
              <w:rPr>
                <w:sz w:val="20"/>
                <w:szCs w:val="20"/>
                <w:color w:val="auto"/>
              </w:rPr>
            </w:pPr>
            <w:r>
              <w:rPr>
                <w:rFonts w:ascii="Arial" w:cs="Arial" w:eastAsia="Arial" w:hAnsi="Arial"/>
                <w:sz w:val="12"/>
                <w:szCs w:val="12"/>
                <w:color w:val="auto"/>
                <w:w w:val="89"/>
              </w:rPr>
              <w:t>Section 104(d)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2"/>
                <w:szCs w:val="12"/>
                <w:color w:val="auto"/>
                <w:w w:val="96"/>
              </w:rPr>
              <w:t>Mining</w:t>
            </w:r>
          </w:p>
        </w:tc>
        <w:tc>
          <w:tcPr>
            <w:tcW w:w="2180" w:type="dxa"/>
            <w:vAlign w:val="bottom"/>
            <w:gridSpan w:val="3"/>
          </w:tcPr>
          <w:p>
            <w:pPr>
              <w:jc w:val="center"/>
              <w:spacing w:after="0" w:line="129" w:lineRule="exact"/>
              <w:rPr>
                <w:sz w:val="20"/>
                <w:szCs w:val="20"/>
                <w:color w:val="auto"/>
              </w:rPr>
            </w:pPr>
            <w:r>
              <w:rPr>
                <w:rFonts w:ascii="Arial" w:cs="Arial" w:eastAsia="Arial" w:hAnsi="Arial"/>
                <w:sz w:val="12"/>
                <w:szCs w:val="12"/>
                <w:color w:val="auto"/>
                <w:w w:val="90"/>
              </w:rPr>
              <w:t>Under Section Under Section Pending as of</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4"/>
              </w:rPr>
              <w:t>Legal Actions</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4"/>
              </w:rPr>
              <w:t>Legal Actions</w:t>
            </w:r>
          </w:p>
        </w:tc>
        <w:tc>
          <w:tcPr>
            <w:tcW w:w="0" w:type="dxa"/>
            <w:vAlign w:val="bottom"/>
          </w:tcPr>
          <w:p>
            <w:pPr>
              <w:spacing w:after="0"/>
              <w:rPr>
                <w:sz w:val="1"/>
                <w:szCs w:val="1"/>
                <w:color w:val="auto"/>
              </w:rPr>
            </w:pPr>
          </w:p>
        </w:tc>
      </w:tr>
      <w:tr>
        <w:trPr>
          <w:trHeight w:val="129"/>
        </w:trPr>
        <w:tc>
          <w:tcPr>
            <w:tcW w:w="1860" w:type="dxa"/>
            <w:vAlign w:val="bottom"/>
          </w:tcPr>
          <w:p>
            <w:pPr>
              <w:spacing w:after="0" w:line="129" w:lineRule="exact"/>
              <w:rPr>
                <w:sz w:val="20"/>
                <w:szCs w:val="20"/>
                <w:color w:val="auto"/>
              </w:rPr>
            </w:pPr>
            <w:r>
              <w:rPr>
                <w:rFonts w:ascii="Arial" w:cs="Arial" w:eastAsia="Arial" w:hAnsi="Arial"/>
                <w:sz w:val="12"/>
                <w:szCs w:val="12"/>
                <w:color w:val="auto"/>
              </w:rPr>
              <w:t>Mine or Operating Name/MSHA</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w w:val="88"/>
              </w:rPr>
              <w:t>Section 104</w:t>
            </w: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color w:val="auto"/>
                <w:w w:val="95"/>
              </w:rPr>
              <w:t>Section 104(b) Citations and</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color w:val="auto"/>
                <w:w w:val="91"/>
              </w:rPr>
              <w:t>Section 110(b) Section 107(a)</w:t>
            </w:r>
          </w:p>
        </w:tc>
        <w:tc>
          <w:tcPr>
            <w:tcW w:w="960" w:type="dxa"/>
            <w:vAlign w:val="bottom"/>
          </w:tcPr>
          <w:p>
            <w:pPr>
              <w:jc w:val="center"/>
              <w:spacing w:after="0" w:line="129" w:lineRule="exact"/>
              <w:rPr>
                <w:sz w:val="20"/>
                <w:szCs w:val="20"/>
                <w:color w:val="auto"/>
              </w:rPr>
            </w:pPr>
            <w:r>
              <w:rPr>
                <w:rFonts w:ascii="Arial" w:cs="Arial" w:eastAsia="Arial" w:hAnsi="Arial"/>
                <w:sz w:val="12"/>
                <w:szCs w:val="12"/>
                <w:color w:val="auto"/>
                <w:w w:val="91"/>
              </w:rPr>
              <w:t>Proposed MSHA</w:t>
            </w:r>
          </w:p>
        </w:tc>
        <w:tc>
          <w:tcPr>
            <w:tcW w:w="580" w:type="dxa"/>
            <w:vAlign w:val="bottom"/>
          </w:tcPr>
          <w:p>
            <w:pPr>
              <w:jc w:val="center"/>
              <w:spacing w:after="0" w:line="129" w:lineRule="exact"/>
              <w:rPr>
                <w:sz w:val="20"/>
                <w:szCs w:val="20"/>
                <w:color w:val="auto"/>
              </w:rPr>
            </w:pPr>
            <w:r>
              <w:rPr>
                <w:rFonts w:ascii="Arial" w:cs="Arial" w:eastAsia="Arial" w:hAnsi="Arial"/>
                <w:sz w:val="12"/>
                <w:szCs w:val="12"/>
                <w:color w:val="auto"/>
                <w:w w:val="91"/>
              </w:rPr>
              <w:t>Related</w:t>
            </w: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86"/>
              </w:rPr>
              <w:t>104(e)</w:t>
            </w:r>
          </w:p>
        </w:tc>
        <w:tc>
          <w:tcPr>
            <w:tcW w:w="720" w:type="dxa"/>
            <w:vAlign w:val="bottom"/>
          </w:tcPr>
          <w:p>
            <w:pPr>
              <w:jc w:val="center"/>
              <w:spacing w:after="0" w:line="129" w:lineRule="exact"/>
              <w:rPr>
                <w:sz w:val="20"/>
                <w:szCs w:val="20"/>
                <w:color w:val="auto"/>
              </w:rPr>
            </w:pPr>
            <w:r>
              <w:rPr>
                <w:rFonts w:ascii="Arial" w:cs="Arial" w:eastAsia="Arial" w:hAnsi="Arial"/>
                <w:sz w:val="12"/>
                <w:szCs w:val="12"/>
                <w:color w:val="auto"/>
                <w:w w:val="92"/>
              </w:rPr>
              <w:t>104(e)</w:t>
            </w:r>
          </w:p>
        </w:tc>
        <w:tc>
          <w:tcPr>
            <w:tcW w:w="740" w:type="dxa"/>
            <w:vAlign w:val="bottom"/>
          </w:tcPr>
          <w:p>
            <w:pPr>
              <w:jc w:val="center"/>
              <w:spacing w:after="0" w:line="129" w:lineRule="exact"/>
              <w:rPr>
                <w:sz w:val="20"/>
                <w:szCs w:val="20"/>
                <w:color w:val="auto"/>
              </w:rPr>
            </w:pPr>
            <w:r>
              <w:rPr>
                <w:rFonts w:ascii="Arial" w:cs="Arial" w:eastAsia="Arial" w:hAnsi="Arial"/>
                <w:sz w:val="12"/>
                <w:szCs w:val="12"/>
                <w:color w:val="auto"/>
                <w:w w:val="92"/>
              </w:rPr>
              <w:t>Last Day of</w:t>
            </w:r>
          </w:p>
        </w:tc>
        <w:tc>
          <w:tcPr>
            <w:tcW w:w="1640" w:type="dxa"/>
            <w:vAlign w:val="bottom"/>
            <w:gridSpan w:val="2"/>
          </w:tcPr>
          <w:p>
            <w:pPr>
              <w:ind w:left="20"/>
              <w:spacing w:after="0" w:line="129" w:lineRule="exact"/>
              <w:rPr>
                <w:sz w:val="20"/>
                <w:szCs w:val="20"/>
                <w:color w:val="auto"/>
              </w:rPr>
            </w:pPr>
            <w:r>
              <w:rPr>
                <w:rFonts w:ascii="Arial" w:cs="Arial" w:eastAsia="Arial" w:hAnsi="Arial"/>
                <w:sz w:val="12"/>
                <w:szCs w:val="12"/>
                <w:color w:val="auto"/>
                <w:w w:val="92"/>
              </w:rPr>
              <w:t>Initiated During Resolved During</w:t>
            </w:r>
          </w:p>
        </w:tc>
        <w:tc>
          <w:tcPr>
            <w:tcW w:w="0" w:type="dxa"/>
            <w:vAlign w:val="bottom"/>
          </w:tcPr>
          <w:p>
            <w:pPr>
              <w:spacing w:after="0"/>
              <w:rPr>
                <w:sz w:val="1"/>
                <w:szCs w:val="1"/>
                <w:color w:val="auto"/>
              </w:rPr>
            </w:pPr>
          </w:p>
        </w:tc>
      </w:tr>
      <w:tr>
        <w:trPr>
          <w:trHeight w:val="143"/>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S&amp;S Citations</w:t>
            </w:r>
          </w:p>
        </w:tc>
        <w:tc>
          <w:tcPr>
            <w:tcW w:w="64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color w:val="auto"/>
                <w:w w:val="92"/>
              </w:rPr>
              <w:t>Orders</w:t>
            </w:r>
          </w:p>
        </w:tc>
        <w:tc>
          <w:tcPr>
            <w:tcW w:w="84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color w:val="auto"/>
                <w:w w:val="92"/>
              </w:rPr>
              <w:t>Orders</w:t>
            </w: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94"/>
              </w:rPr>
              <w:t>(2) Violations</w:t>
            </w: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87"/>
              </w:rPr>
              <w:t>Orders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Assessments</w:t>
            </w:r>
            <w:r>
              <w:rPr>
                <w:rFonts w:ascii="Arial" w:cs="Arial" w:eastAsia="Arial" w:hAnsi="Arial"/>
                <w:sz w:val="10"/>
                <w:szCs w:val="10"/>
                <w:color w:val="auto"/>
                <w:w w:val="88"/>
              </w:rPr>
              <w:t>(1)</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Fatalities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tcPr>
          <w:p>
            <w:pPr>
              <w:jc w:val="center"/>
              <w:spacing w:after="0"/>
              <w:rPr>
                <w:sz w:val="20"/>
                <w:szCs w:val="20"/>
                <w:color w:val="auto"/>
              </w:rPr>
            </w:pPr>
            <w:r>
              <w:rPr>
                <w:rFonts w:ascii="Arial" w:cs="Arial" w:eastAsia="Arial" w:hAnsi="Arial"/>
                <w:sz w:val="12"/>
                <w:szCs w:val="12"/>
                <w:color w:val="auto"/>
                <w:w w:val="97"/>
              </w:rPr>
              <w:t>$300 *</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1</w:t>
            </w:r>
          </w:p>
        </w:tc>
        <w:tc>
          <w:tcPr>
            <w:tcW w:w="640" w:type="dxa"/>
            <w:vAlign w:val="bottom"/>
            <w:vMerge w:val="restart"/>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89"/>
              </w:rPr>
              <w:t>$778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86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vMerge w:val="restart"/>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89"/>
              </w:rPr>
              <w:t>$241</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1860" w:type="dxa"/>
            <w:vAlign w:val="bottom"/>
          </w:tcPr>
          <w:p>
            <w:pPr>
              <w:spacing w:after="0"/>
              <w:rPr>
                <w:sz w:val="20"/>
                <w:szCs w:val="20"/>
                <w:color w:val="auto"/>
              </w:rPr>
            </w:pPr>
            <w:r>
              <w:rPr>
                <w:rFonts w:ascii="Arial" w:cs="Arial" w:eastAsia="Arial" w:hAnsi="Arial"/>
                <w:sz w:val="12"/>
                <w:szCs w:val="12"/>
                <w:color w:val="auto"/>
                <w:w w:val="97"/>
              </w:rPr>
              <w:t>Greybull Milling Operation/4800602</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tcPr>
          <w:p>
            <w:pPr>
              <w:jc w:val="center"/>
              <w:spacing w:after="0"/>
              <w:rPr>
                <w:sz w:val="20"/>
                <w:szCs w:val="20"/>
                <w:color w:val="auto"/>
              </w:rPr>
            </w:pPr>
            <w:r>
              <w:rPr>
                <w:rFonts w:ascii="Arial" w:cs="Arial" w:eastAsia="Arial" w:hAnsi="Arial"/>
                <w:sz w:val="12"/>
                <w:szCs w:val="12"/>
                <w:color w:val="auto"/>
                <w:w w:val="89"/>
              </w:rPr>
              <w:t>$955</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401"/>
        </w:trPr>
        <w:tc>
          <w:tcPr>
            <w:tcW w:w="1860" w:type="dxa"/>
            <w:vAlign w:val="bottom"/>
          </w:tcPr>
          <w:p>
            <w:pPr>
              <w:spacing w:after="0"/>
              <w:rPr>
                <w:sz w:val="20"/>
                <w:szCs w:val="20"/>
                <w:color w:val="auto"/>
              </w:rPr>
            </w:pPr>
            <w:r>
              <w:rPr>
                <w:rFonts w:ascii="Arial" w:cs="Arial" w:eastAsia="Arial" w:hAnsi="Arial"/>
                <w:sz w:val="12"/>
                <w:szCs w:val="12"/>
                <w:color w:val="auto"/>
                <w:w w:val="97"/>
              </w:rPr>
              <w:t>Greybull Mining Operation/4800603</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tcPr>
          <w:p>
            <w:pPr>
              <w:jc w:val="center"/>
              <w:spacing w:after="0"/>
              <w:rPr>
                <w:sz w:val="20"/>
                <w:szCs w:val="20"/>
                <w:color w:val="auto"/>
              </w:rPr>
            </w:pPr>
            <w:r>
              <w:rPr>
                <w:rFonts w:ascii="Arial" w:cs="Arial" w:eastAsia="Arial" w:hAnsi="Arial"/>
                <w:sz w:val="12"/>
                <w:szCs w:val="12"/>
                <w:color w:val="auto"/>
                <w:w w:val="89"/>
              </w:rPr>
              <w:t>$713</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36"/>
        </w:trPr>
        <w:tc>
          <w:tcPr>
            <w:tcW w:w="1860" w:type="dxa"/>
            <w:vAlign w:val="bottom"/>
          </w:tcPr>
          <w:p>
            <w:pPr>
              <w:spacing w:after="0"/>
              <w:rPr>
                <w:sz w:val="20"/>
                <w:szCs w:val="20"/>
                <w:color w:val="auto"/>
              </w:rPr>
            </w:pPr>
            <w:r>
              <w:rPr>
                <w:rFonts w:ascii="Arial" w:cs="Arial" w:eastAsia="Arial" w:hAnsi="Arial"/>
                <w:sz w:val="12"/>
                <w:szCs w:val="12"/>
                <w:color w:val="auto"/>
              </w:rPr>
              <w:t>Greystone Mine/2600411</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tcPr>
          <w:p>
            <w:pPr>
              <w:jc w:val="center"/>
              <w:spacing w:after="0"/>
              <w:rPr>
                <w:sz w:val="20"/>
                <w:szCs w:val="20"/>
                <w:color w:val="auto"/>
              </w:rPr>
            </w:pPr>
            <w:r>
              <w:rPr>
                <w:rFonts w:ascii="Arial" w:cs="Arial" w:eastAsia="Arial" w:hAnsi="Arial"/>
                <w:sz w:val="12"/>
                <w:szCs w:val="12"/>
                <w:color w:val="auto"/>
                <w:w w:val="89"/>
              </w:rPr>
              <w:t>$668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3</w:t>
            </w:r>
          </w:p>
        </w:tc>
        <w:tc>
          <w:tcPr>
            <w:tcW w:w="640" w:type="dxa"/>
            <w:vAlign w:val="bottom"/>
            <w:vMerge w:val="restart"/>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vMerge w:val="restart"/>
          </w:tcPr>
          <w:p>
            <w:pPr>
              <w:jc w:val="center"/>
              <w:spacing w:after="0"/>
              <w:rPr>
                <w:sz w:val="20"/>
                <w:szCs w:val="20"/>
                <w:color w:val="auto"/>
              </w:rPr>
            </w:pPr>
            <w:r>
              <w:rPr>
                <w:rFonts w:ascii="Arial" w:cs="Arial" w:eastAsia="Arial" w:hAnsi="Arial"/>
                <w:sz w:val="12"/>
                <w:szCs w:val="12"/>
                <w:color w:val="auto"/>
                <w:w w:val="87"/>
              </w:rPr>
              <w:t>$56,218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8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1860" w:type="dxa"/>
            <w:vAlign w:val="bottom"/>
          </w:tcPr>
          <w:p>
            <w:pPr>
              <w:spacing w:after="0"/>
              <w:rPr>
                <w:sz w:val="20"/>
                <w:szCs w:val="20"/>
                <w:color w:val="auto"/>
              </w:rPr>
            </w:pPr>
            <w:r>
              <w:rPr>
                <w:rFonts w:ascii="Arial" w:cs="Arial" w:eastAsia="Arial" w:hAnsi="Arial"/>
                <w:sz w:val="12"/>
                <w:szCs w:val="12"/>
                <w:color w:val="auto"/>
              </w:rPr>
              <w:t>Wisconsin Proppants/4703742</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ind w:left="40"/>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20"/>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40"/>
              <w:spacing w:after="0"/>
              <w:rPr>
                <w:sz w:val="20"/>
                <w:szCs w:val="20"/>
                <w:color w:val="auto"/>
              </w:rPr>
            </w:pPr>
            <w:r>
              <w:rPr>
                <w:rFonts w:ascii="Arial" w:cs="Arial" w:eastAsia="Arial" w:hAnsi="Arial"/>
                <w:sz w:val="12"/>
                <w:szCs w:val="12"/>
                <w:color w:val="auto"/>
                <w:w w:val="89"/>
              </w:rPr>
              <w:t>0</w:t>
            </w:r>
          </w:p>
        </w:tc>
        <w:tc>
          <w:tcPr>
            <w:tcW w:w="9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900" w:right="20" w:hanging="522"/>
        <w:spacing w:after="0" w:line="258" w:lineRule="auto"/>
        <w:tabs>
          <w:tab w:leader="none" w:pos="9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December 31, 2016, regardless of whether the assessment has been challenged or appealed, for citations and orders occurring during the full year 2016.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2016 MSHA had not yet proposed an assessment for one citation at Amelia Barite Plant/1600825.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56867"/>
    <w:multiLevelType w:val="hybridMultilevel"/>
    <w:lvl w:ilvl="0">
      <w:lvlJc w:val="left"/>
      <w:lvlText w:val="☑"/>
      <w:numFmt w:val="bullet"/>
      <w:start w:val="1"/>
    </w:lvl>
  </w:abstractNum>
  <w:abstractNum w:abstractNumId="1">
    <w:nsid w:val="11B1CC33"/>
    <w:multiLevelType w:val="hybridMultilevel"/>
    <w:lvl w:ilvl="0">
      <w:lvlJc w:val="left"/>
      <w:lvlText w:val="☐"/>
      <w:numFmt w:val="bullet"/>
      <w:start w:val="1"/>
    </w:lvl>
  </w:abstractNum>
  <w:abstractNum w:abstractNumId="2">
    <w:nsid w:val="2E22FBB7"/>
    <w:multiLevelType w:val="hybridMultilevel"/>
    <w:lvl w:ilvl="0">
      <w:lvlJc w:val="left"/>
      <w:lvlText w:val="•"/>
      <w:numFmt w:val="bullet"/>
      <w:start w:val="1"/>
    </w:lvl>
  </w:abstractNum>
  <w:abstractNum w:abstractNumId="3">
    <w:nsid w:val="29934699"/>
    <w:multiLevelType w:val="hybridMultilevel"/>
    <w:lvl w:ilvl="0">
      <w:lvlJc w:val="left"/>
      <w:lvlText w:val="•"/>
      <w:numFmt w:val="bullet"/>
      <w:start w:val="1"/>
    </w:lvl>
  </w:abstractNum>
  <w:abstractNum w:abstractNumId="4">
    <w:nsid w:val="77485850"/>
    <w:multiLevelType w:val="hybridMultilevel"/>
    <w:lvl w:ilvl="0">
      <w:lvlJc w:val="left"/>
      <w:lvlText w:val="•"/>
      <w:numFmt w:val="bullet"/>
      <w:start w:val="1"/>
    </w:lvl>
  </w:abstractNum>
  <w:abstractNum w:abstractNumId="5">
    <w:nsid w:val="744939A3"/>
    <w:multiLevelType w:val="hybridMultilevel"/>
    <w:lvl w:ilvl="0">
      <w:lvlJc w:val="left"/>
      <w:lvlText w:val="•"/>
      <w:numFmt w:val="bullet"/>
      <w:start w:val="1"/>
    </w:lvl>
  </w:abstractNum>
  <w:abstractNum w:abstractNumId="6">
    <w:nsid w:val="4FA0D2E3"/>
    <w:multiLevelType w:val="hybridMultilevel"/>
    <w:lvl w:ilvl="0">
      <w:lvlJc w:val="left"/>
      <w:lvlText w:val="•"/>
      <w:numFmt w:val="bullet"/>
      <w:start w:val="1"/>
    </w:lvl>
  </w:abstractNum>
  <w:abstractNum w:abstractNumId="7">
    <w:nsid w:val="6B1D2C14"/>
    <w:multiLevelType w:val="hybridMultilevel"/>
    <w:lvl w:ilvl="0">
      <w:lvlJc w:val="left"/>
      <w:lvlText w:val="●"/>
      <w:numFmt w:val="bullet"/>
      <w:start w:val="1"/>
    </w:lvl>
  </w:abstractNum>
  <w:abstractNum w:abstractNumId="8">
    <w:nsid w:val="68B867D3"/>
    <w:multiLevelType w:val="hybridMultilevel"/>
    <w:lvl w:ilvl="0">
      <w:lvlJc w:val="left"/>
      <w:lvlText w:val="●"/>
      <w:numFmt w:val="bullet"/>
      <w:start w:val="1"/>
    </w:lvl>
  </w:abstractNum>
  <w:abstractNum w:abstractNumId="9">
    <w:nsid w:val="3F7F5DD9"/>
    <w:multiLevelType w:val="hybridMultilevel"/>
    <w:lvl w:ilvl="0">
      <w:lvlJc w:val="left"/>
      <w:lvlText w:val="(%1)"/>
      <w:numFmt w:val="decimal"/>
      <w:start w:val="1"/>
    </w:lvl>
  </w:abstractNum>
  <w:abstractNum w:abstractNumId="10">
    <w:nsid w:val="2AE05A34"/>
    <w:multiLevelType w:val="hybridMultilevel"/>
    <w:lvl w:ilvl="0">
      <w:lvlJc w:val="left"/>
      <w:lvlText w:val="(%1)"/>
      <w:numFmt w:val="decimal"/>
      <w:start w:val="1"/>
    </w:lvl>
  </w:abstractNum>
  <w:abstractNum w:abstractNumId="11">
    <w:nsid w:val="32794FF7"/>
    <w:multiLevelType w:val="hybridMultilevel"/>
    <w:lvl w:ilvl="0">
      <w:lvlJc w:val="left"/>
      <w:lvlText w:val="(%1)"/>
      <w:numFmt w:val="decimal"/>
      <w:start w:val="1"/>
    </w:lvl>
  </w:abstractNum>
  <w:abstractNum w:abstractNumId="12">
    <w:nsid w:val="5454945E"/>
    <w:multiLevelType w:val="hybridMultilevel"/>
    <w:lvl w:ilvl="0">
      <w:lvlJc w:val="left"/>
      <w:lvlText w:val="(%1)"/>
      <w:numFmt w:val="decimal"/>
      <w:start w:val="1"/>
    </w:lvl>
  </w:abstractNum>
  <w:abstractNum w:abstractNumId="13">
    <w:nsid w:val="4DEFDFA0"/>
    <w:multiLevelType w:val="hybridMultilevel"/>
    <w:lvl w:ilvl="0">
      <w:lvlJc w:val="left"/>
      <w:lvlText w:val="•"/>
      <w:numFmt w:val="bullet"/>
      <w:start w:val="1"/>
    </w:lvl>
    <w:lvl w:ilvl="1">
      <w:lvlJc w:val="left"/>
      <w:lvlText w:val="−"/>
      <w:numFmt w:val="bullet"/>
      <w:start w:val="1"/>
    </w:lvl>
  </w:abstractNum>
  <w:abstractNum w:abstractNumId="14">
    <w:nsid w:val="2123D5F2"/>
    <w:multiLevelType w:val="hybridMultilevel"/>
    <w:lvl w:ilvl="0">
      <w:lvlJc w:val="left"/>
      <w:lvlText w:val="•"/>
      <w:numFmt w:val="bullet"/>
      <w:start w:val="1"/>
    </w:lvl>
  </w:abstractNum>
  <w:abstractNum w:abstractNumId="15">
    <w:nsid w:val="135B8110"/>
    <w:multiLevelType w:val="hybridMultilevel"/>
    <w:lvl w:ilvl="0">
      <w:lvlJc w:val="left"/>
      <w:lvlText w:val="●"/>
      <w:numFmt w:val="bullet"/>
      <w:start w:val="1"/>
    </w:lvl>
  </w:abstractNum>
  <w:abstractNum w:abstractNumId="16">
    <w:nsid w:val="94927A8"/>
    <w:multiLevelType w:val="hybridMultilevel"/>
    <w:lvl w:ilvl="0">
      <w:lvlJc w:val="left"/>
      <w:lvlText w:val="(%1)"/>
      <w:numFmt w:val="decimal"/>
      <w:start w:val="2"/>
    </w:lvl>
  </w:abstractNum>
  <w:abstractNum w:abstractNumId="17">
    <w:nsid w:val="DCDF8F6"/>
    <w:multiLevelType w:val="hybridMultilevel"/>
    <w:lvl w:ilvl="0">
      <w:lvlJc w:val="left"/>
      <w:lvlText w:val="●"/>
      <w:numFmt w:val="bullet"/>
      <w:start w:val="1"/>
    </w:lvl>
  </w:abstractNum>
  <w:abstractNum w:abstractNumId="18">
    <w:nsid w:val="52D7B105"/>
    <w:multiLevelType w:val="hybridMultilevel"/>
    <w:lvl w:ilvl="0">
      <w:lvlJc w:val="left"/>
      <w:lvlText w:val="(%1)"/>
      <w:numFmt w:val="decimal"/>
      <w:start w:val="1"/>
    </w:lvl>
  </w:abstractNum>
  <w:abstractNum w:abstractNumId="19">
    <w:nsid w:val="2E8A6394"/>
    <w:multiLevelType w:val="hybridMultilevel"/>
    <w:lvl w:ilvl="0">
      <w:lvlJc w:val="left"/>
      <w:lvlText w:val="%1."/>
      <w:numFmt w:val="decimal"/>
      <w:start w:val="1"/>
    </w:lvl>
  </w:abstractNum>
  <w:abstractNum w:abstractNumId="20">
    <w:nsid w:val="24E60401"/>
    <w:multiLevelType w:val="hybridMultilevel"/>
    <w:lvl w:ilvl="0">
      <w:lvlJc w:val="left"/>
      <w:lvlText w:val="%1."/>
      <w:numFmt w:val="decimal"/>
      <w:start w:val="2"/>
    </w:lvl>
  </w:abstractNum>
  <w:abstractNum w:abstractNumId="21">
    <w:nsid w:val="2A6AD9BE"/>
    <w:multiLevelType w:val="hybridMultilevel"/>
    <w:lvl w:ilvl="0">
      <w:lvlJc w:val="left"/>
      <w:lvlText w:val="%1."/>
      <w:numFmt w:val="decimal"/>
      <w:start w:val="3"/>
    </w:lvl>
  </w:abstractNum>
  <w:abstractNum w:abstractNumId="22">
    <w:nsid w:val="BAAC1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36B2ACBC"/>
    <w:multiLevelType w:val="hybridMultilevel"/>
    <w:lvl w:ilvl="0">
      <w:lvlJc w:val="left"/>
      <w:lvlText w:val="•"/>
      <w:numFmt w:val="bullet"/>
      <w:start w:val="1"/>
    </w:lvl>
  </w:abstractNum>
  <w:abstractNum w:abstractNumId="24">
    <w:nsid w:val="779D8544"/>
    <w:multiLevelType w:val="hybridMultilevel"/>
    <w:lvl w:ilvl="0">
      <w:lvlJc w:val="left"/>
      <w:lvlText w:val="•"/>
      <w:numFmt w:val="bullet"/>
      <w:start w:val="1"/>
    </w:lvl>
    <w:lvl w:ilvl="1">
      <w:lvlJc w:val="left"/>
      <w:lvlText w:val="-"/>
      <w:numFmt w:val="bullet"/>
      <w:start w:val="1"/>
    </w:lvl>
  </w:abstractNum>
  <w:abstractNum w:abstractNumId="25">
    <w:nsid w:val="4AB26E78"/>
    <w:multiLevelType w:val="hybridMultilevel"/>
    <w:lvl w:ilvl="0">
      <w:lvlJc w:val="left"/>
      <w:lvlText w:val="•"/>
      <w:numFmt w:val="bullet"/>
      <w:start w:val="1"/>
    </w:lvl>
  </w:abstractNum>
  <w:abstractNum w:abstractNumId="26">
    <w:nsid w:val="21FAA2FA"/>
    <w:multiLevelType w:val="hybridMultilevel"/>
    <w:lvl w:ilvl="0">
      <w:lvlJc w:val="left"/>
      <w:lvlText w:val="•"/>
      <w:numFmt w:val="bullet"/>
      <w:start w:val="1"/>
    </w:lvl>
  </w:abstractNum>
  <w:abstractNum w:abstractNumId="27">
    <w:nsid w:val="5451CF49"/>
    <w:multiLevelType w:val="hybridMultilevel"/>
    <w:lvl w:ilvl="0">
      <w:lvlJc w:val="left"/>
      <w:lvlText w:val="•"/>
      <w:numFmt w:val="bullet"/>
      <w:start w:val="1"/>
    </w:lvl>
  </w:abstractNum>
  <w:abstractNum w:abstractNumId="28">
    <w:nsid w:val="6181EF69"/>
    <w:multiLevelType w:val="hybridMultilevel"/>
    <w:lvl w:ilvl="0">
      <w:lvlJc w:val="left"/>
      <w:lvlText w:val="•"/>
      <w:numFmt w:val="bullet"/>
      <w:start w:val="1"/>
    </w:lvl>
  </w:abstractNum>
  <w:abstractNum w:abstractNumId="29">
    <w:nsid w:val="3E6400E6"/>
    <w:multiLevelType w:val="hybridMultilevel"/>
    <w:lvl w:ilvl="0">
      <w:lvlJc w:val="left"/>
      <w:lvlText w:val="%1."/>
      <w:numFmt w:val="decimal"/>
      <w:start w:val="4"/>
    </w:lvl>
  </w:abstractNum>
  <w:abstractNum w:abstractNumId="30">
    <w:nsid w:val="14217E23"/>
    <w:multiLevelType w:val="hybridMultilevel"/>
    <w:lvl w:ilvl="0">
      <w:lvlJc w:val="left"/>
      <w:lvlText w:val="(%1)"/>
      <w:numFmt w:val="decimal"/>
      <w:start w:val="1"/>
    </w:lvl>
  </w:abstractNum>
  <w:abstractNum w:abstractNumId="31">
    <w:nsid w:val="710757D0"/>
    <w:multiLevelType w:val="hybridMultilevel"/>
    <w:lvl w:ilvl="0">
      <w:lvlJc w:val="left"/>
      <w:lvlText w:val="%1."/>
      <w:numFmt w:val="decimal"/>
      <w:start w:val="5"/>
    </w:lvl>
  </w:abstractNum>
  <w:abstractNum w:abstractNumId="32">
    <w:nsid w:val="5015CD1A"/>
    <w:multiLevelType w:val="hybridMultilevel"/>
    <w:lvl w:ilvl="0">
      <w:lvlJc w:val="left"/>
      <w:lvlText w:val="%1."/>
      <w:numFmt w:val="decimal"/>
      <w:start w:val="7"/>
    </w:lvl>
  </w:abstractNum>
  <w:abstractNum w:abstractNumId="33">
    <w:nsid w:val="424479DA"/>
    <w:multiLevelType w:val="hybridMultilevel"/>
    <w:lvl w:ilvl="0">
      <w:lvlJc w:val="left"/>
      <w:lvlText w:val="%1."/>
      <w:numFmt w:val="decimal"/>
      <w:start w:val="10"/>
    </w:lvl>
  </w:abstractNum>
  <w:abstractNum w:abstractNumId="34">
    <w:nsid w:val="1A9A9E69"/>
    <w:multiLevelType w:val="hybridMultilevel"/>
    <w:lvl w:ilvl="0">
      <w:lvlJc w:val="left"/>
      <w:lvlText w:val="(%1)"/>
      <w:numFmt w:val="decimal"/>
      <w:start w:val="1"/>
    </w:lvl>
  </w:abstractNum>
  <w:abstractNum w:abstractNumId="35">
    <w:nsid w:val="475E256A"/>
    <w:multiLevelType w:val="hybridMultilevel"/>
    <w:lvl w:ilvl="0">
      <w:lvlJc w:val="left"/>
      <w:lvlText w:val="%1."/>
      <w:numFmt w:val="decimal"/>
      <w:start w:val="11"/>
    </w:lvl>
  </w:abstractNum>
  <w:abstractNum w:abstractNumId="36">
    <w:nsid w:val="368DB37E"/>
    <w:multiLevelType w:val="hybridMultilevel"/>
    <w:lvl w:ilvl="0">
      <w:lvlJc w:val="left"/>
      <w:lvlText w:val="%1."/>
      <w:numFmt w:val="decimal"/>
      <w:start w:val="12"/>
    </w:lvl>
  </w:abstractNum>
  <w:abstractNum w:abstractNumId="37">
    <w:nsid w:val="6A3B714C"/>
    <w:multiLevelType w:val="hybridMultilevel"/>
    <w:lvl w:ilvl="0">
      <w:lvlJc w:val="left"/>
      <w:lvlText w:val="%1."/>
      <w:numFmt w:val="decimal"/>
      <w:start w:val="13"/>
    </w:lvl>
  </w:abstractNum>
  <w:abstractNum w:abstractNumId="38">
    <w:nsid w:val="327B517E"/>
    <w:multiLevelType w:val="hybridMultilevel"/>
    <w:lvl w:ilvl="0">
      <w:lvlJc w:val="left"/>
      <w:lvlText w:val="%1."/>
      <w:numFmt w:val="decimal"/>
      <w:start w:val="14"/>
    </w:lvl>
  </w:abstractNum>
  <w:abstractNum w:abstractNumId="39">
    <w:nsid w:val="1F461B51"/>
    <w:multiLevelType w:val="hybridMultilevel"/>
    <w:lvl w:ilvl="0">
      <w:lvlJc w:val="left"/>
      <w:lvlText w:val="%1."/>
      <w:numFmt w:val="decimal"/>
      <w:start w:val="15"/>
    </w:lvl>
  </w:abstractNum>
  <w:abstractNum w:abstractNumId="40">
    <w:nsid w:val="29BACF25"/>
    <w:multiLevelType w:val="hybridMultilevel"/>
    <w:lvl w:ilvl="0">
      <w:lvlJc w:val="left"/>
      <w:lvlText w:val="%1."/>
      <w:numFmt w:val="decimal"/>
      <w:start w:val="16"/>
    </w:lvl>
  </w:abstractNum>
  <w:abstractNum w:abstractNumId="41">
    <w:nsid w:val="5D5BABB3"/>
    <w:multiLevelType w:val="hybridMultilevel"/>
    <w:lvl w:ilvl="0">
      <w:lvlJc w:val="left"/>
      <w:lvlText w:val="%1."/>
      <w:numFmt w:val="decimal"/>
      <w:start w:val="17"/>
    </w:lvl>
  </w:abstractNum>
  <w:abstractNum w:abstractNumId="42">
    <w:nsid w:val="51BF6B48"/>
    <w:multiLevelType w:val="hybridMultilevel"/>
    <w:lvl w:ilvl="0">
      <w:lvlJc w:val="left"/>
      <w:lvlText w:val="●"/>
      <w:numFmt w:val="bullet"/>
      <w:start w:val="1"/>
    </w:lvl>
  </w:abstractNum>
  <w:abstractNum w:abstractNumId="43">
    <w:nsid w:val="7E0F6384"/>
    <w:multiLevelType w:val="hybridMultilevel"/>
    <w:lvl w:ilvl="0">
      <w:lvlJc w:val="left"/>
      <w:lvlText w:val="(%1)"/>
      <w:numFmt w:val="decimal"/>
      <w:start w:val="1"/>
    </w:lvl>
  </w:abstractNum>
  <w:abstractNum w:abstractNumId="44">
    <w:nsid w:val="2B4B8B53"/>
    <w:multiLevelType w:val="hybridMultilevel"/>
    <w:lvl w:ilvl="0">
      <w:lvlJc w:val="left"/>
      <w:lvlText w:val="(%1)"/>
      <w:numFmt w:val="decimal"/>
      <w:start w:val="1"/>
    </w:lvl>
  </w:abstractNum>
  <w:abstractNum w:abstractNumId="45">
    <w:nsid w:val="72E3413A"/>
    <w:multiLevelType w:val="hybridMultilevel"/>
    <w:lvl w:ilvl="0">
      <w:lvlJc w:val="left"/>
      <w:lvlText w:val="%1."/>
      <w:numFmt w:val="decimal"/>
      <w:start w:val="18"/>
    </w:lvl>
  </w:abstractNum>
  <w:abstractNum w:abstractNumId="46">
    <w:nsid w:val="116AE494"/>
    <w:multiLevelType w:val="hybridMultilevel"/>
    <w:lvl w:ilvl="0">
      <w:lvlJc w:val="left"/>
      <w:lvlText w:val="●"/>
      <w:numFmt w:val="bullet"/>
      <w:start w:val="1"/>
    </w:lvl>
  </w:abstractNum>
  <w:abstractNum w:abstractNumId="47">
    <w:nsid w:val="3494B2FB"/>
    <w:multiLevelType w:val="hybridMultilevel"/>
    <w:lvl w:ilvl="0">
      <w:lvlJc w:val="left"/>
      <w:lvlText w:val="(%1)"/>
      <w:numFmt w:val="lowerLetter"/>
      <w:start w:val="1"/>
    </w:lvl>
  </w:abstractNum>
  <w:abstractNum w:abstractNumId="48">
    <w:nsid w:val="B13A31"/>
    <w:multiLevelType w:val="hybridMultilevel"/>
    <w:lvl w:ilvl="0">
      <w:lvlJc w:val="left"/>
      <w:lvlText w:val="%1."/>
      <w:numFmt w:val="decimal"/>
      <w:start w:val="19"/>
    </w:lvl>
  </w:abstractNum>
  <w:abstractNum w:abstractNumId="49">
    <w:nsid w:val="64429599"/>
    <w:multiLevelType w:val="hybridMultilevel"/>
    <w:lvl w:ilvl="0">
      <w:lvlJc w:val="left"/>
      <w:lvlText w:val="%1."/>
      <w:numFmt w:val="decimal"/>
      <w:start w:val="20"/>
    </w:lvl>
  </w:abstractNum>
  <w:abstractNum w:abstractNumId="50">
    <w:nsid w:val="631F1690"/>
    <w:multiLevelType w:val="hybridMultilevel"/>
    <w:lvl w:ilvl="0">
      <w:lvlJc w:val="left"/>
      <w:lvlText w:val="(%1)"/>
      <w:numFmt w:val="decimal"/>
      <w:start w:val="1"/>
    </w:lvl>
  </w:abstractNum>
  <w:abstractNum w:abstractNumId="51">
    <w:nsid w:val="25973E32"/>
    <w:multiLevelType w:val="hybridMultilevel"/>
    <w:lvl w:ilvl="0">
      <w:lvlJc w:val="left"/>
      <w:lvlText w:val="*"/>
      <w:numFmt w:val="bullet"/>
      <w:start w:val="1"/>
    </w:lvl>
  </w:abstractNum>
  <w:abstractNum w:abstractNumId="52">
    <w:nsid w:val="EAD6F57"/>
    <w:multiLevelType w:val="hybridMultilevel"/>
    <w:lvl w:ilvl="0">
      <w:lvlJc w:val="left"/>
      <w:lvlText w:val="(%1)"/>
      <w:numFmt w:val="decimal"/>
      <w:start w:val="2"/>
    </w:lvl>
  </w:abstractNum>
  <w:abstractNum w:abstractNumId="53">
    <w:nsid w:val="6EC9D844"/>
    <w:multiLevelType w:val="hybridMultilevel"/>
    <w:lvl w:ilvl="0">
      <w:lvlJc w:val="left"/>
      <w:lvlText w:val="(%1)"/>
      <w:numFmt w:val="lowerRoman"/>
      <w:start w:val="3"/>
    </w:lvl>
  </w:abstractNum>
  <w:abstractNum w:abstractNumId="54">
    <w:nsid w:val="5C49EAEE"/>
    <w:multiLevelType w:val="hybridMultilevel"/>
    <w:lvl w:ilvl="0">
      <w:lvlJc w:val="left"/>
      <w:lvlText w:val="(*)"/>
      <w:numFmt w:val="bullet"/>
      <w:start w:val="1"/>
    </w:lvl>
  </w:abstractNum>
  <w:abstractNum w:abstractNumId="55">
    <w:nsid w:val="64AF49B"/>
    <w:multiLevelType w:val="hybridMultilevel"/>
    <w:lvl w:ilvl="0">
      <w:lvlJc w:val="left"/>
      <w:lvlText w:val="%1."/>
      <w:numFmt w:val="lowerLetter"/>
      <w:start w:val="1"/>
    </w:lvl>
  </w:abstractNum>
  <w:abstractNum w:abstractNumId="56">
    <w:nsid w:val="397C46BC"/>
    <w:multiLevelType w:val="hybridMultilevel"/>
    <w:lvl w:ilvl="0">
      <w:lvlJc w:val="left"/>
      <w:lvlText w:val="%1."/>
      <w:numFmt w:val="lowerLetter"/>
      <w:start w:val="4"/>
    </w:lvl>
  </w:abstractNum>
  <w:abstractNum w:abstractNumId="57">
    <w:nsid w:val="7E448DE9"/>
    <w:multiLevelType w:val="hybridMultilevel"/>
    <w:lvl w:ilvl="0">
      <w:lvlJc w:val="left"/>
      <w:lvlText w:val="%1."/>
      <w:numFmt w:val="lowerLetter"/>
      <w:start w:val="1"/>
    </w:lvl>
  </w:abstractNum>
  <w:abstractNum w:abstractNumId="58">
    <w:nsid w:val="5A9CC3E5"/>
    <w:multiLevelType w:val="hybridMultilevel"/>
    <w:lvl w:ilvl="0">
      <w:lvlJc w:val="left"/>
      <w:lvlText w:val="(%1)"/>
      <w:numFmt w:val="lowerLetter"/>
      <w:start w:val="25"/>
    </w:lvl>
  </w:abstractNum>
  <w:abstractNum w:abstractNumId="59">
    <w:nsid w:val="1AFE3625"/>
    <w:multiLevelType w:val="hybridMultilevel"/>
    <w:lvl w:ilvl="0">
      <w:lvlJc w:val="left"/>
      <w:lvlText w:val="%1."/>
      <w:numFmt w:val="lowerLetter"/>
      <w:start w:val="2"/>
    </w:lvl>
  </w:abstractNum>
  <w:abstractNum w:abstractNumId="60">
    <w:nsid w:val="3CA88ECF"/>
    <w:multiLevelType w:val="hybridMultilevel"/>
    <w:lvl w:ilvl="0">
      <w:lvlJc w:val="left"/>
      <w:lvlText w:val="(%1)"/>
      <w:numFmt w:val="lowerLetter"/>
      <w:start w:val="3"/>
    </w:lvl>
  </w:abstractNum>
  <w:abstractNum w:abstractNumId="61">
    <w:nsid w:val="6EBE4208"/>
    <w:multiLevelType w:val="hybridMultilevel"/>
    <w:lvl w:ilvl="0">
      <w:lvlJc w:val="left"/>
      <w:lvlText w:val="%1."/>
      <w:numFmt w:val="lowerLetter"/>
      <w:start w:val="1"/>
    </w:lvl>
  </w:abstractNum>
  <w:abstractNum w:abstractNumId="62">
    <w:nsid w:val="C058DF5"/>
    <w:multiLevelType w:val="hybridMultilevel"/>
    <w:lvl w:ilvl="0">
      <w:lvlJc w:val="left"/>
      <w:lvlText w:val="%1"/>
      <w:numFmt w:val="decimal"/>
      <w:start w:val="1"/>
    </w:lvl>
    <w:lvl w:ilvl="1">
      <w:lvlJc w:val="left"/>
      <w:lvlText w:val="%2."/>
      <w:numFmt w:val="lowerLetter"/>
      <w:start w:val="5"/>
    </w:lvl>
  </w:abstractNum>
  <w:abstractNum w:abstractNumId="63">
    <w:nsid w:val="CBE5BE9"/>
    <w:multiLevelType w:val="hybridMultilevel"/>
    <w:lvl w:ilvl="0">
      <w:lvlJc w:val="left"/>
      <w:lvlText w:val="%1."/>
      <w:numFmt w:val="decimal"/>
      <w:start w:val="7"/>
    </w:lvl>
    <w:lvl w:ilvl="1">
      <w:lvlJc w:val="left"/>
      <w:lvlText w:val="%2"/>
      <w:numFmt w:val="lowerLetter"/>
      <w:start w:val="1"/>
    </w:lvl>
  </w:abstractNum>
  <w:abstractNum w:abstractNumId="64">
    <w:nsid w:val="3102BBE2"/>
    <w:multiLevelType w:val="hybridMultilevel"/>
    <w:lvl w:ilvl="0">
      <w:lvlJc w:val="left"/>
      <w:lvlText w:val="%1."/>
      <w:numFmt w:val="lowerLetter"/>
      <w:start w:val="1"/>
    </w:lvl>
  </w:abstractNum>
  <w:abstractNum w:abstractNumId="65">
    <w:nsid w:val="26A02C5E"/>
    <w:multiLevelType w:val="hybridMultilevel"/>
    <w:lvl w:ilvl="0">
      <w:lvlJc w:val="left"/>
      <w:lvlText w:val="%1."/>
      <w:numFmt w:val="lowerLetter"/>
      <w:start w:val="3"/>
    </w:lvl>
  </w:abstractNum>
  <w:abstractNum w:abstractNumId="66">
    <w:nsid w:val="541C8153"/>
    <w:multiLevelType w:val="hybridMultilevel"/>
    <w:lvl w:ilvl="0">
      <w:lvlJc w:val="left"/>
      <w:lvlText w:val="%1."/>
      <w:numFmt w:val="lowerLetter"/>
      <w:start w:val="1"/>
    </w:lvl>
  </w:abstractNum>
  <w:abstractNum w:abstractNumId="67">
    <w:nsid w:val="67906F60"/>
    <w:multiLevelType w:val="hybridMultilevel"/>
    <w:lvl w:ilvl="0">
      <w:lvlJc w:val="left"/>
      <w:lvlText w:val="%1."/>
      <w:numFmt w:val="lowerLetter"/>
      <w:start w:val="2"/>
    </w:lvl>
  </w:abstractNum>
  <w:abstractNum w:abstractNumId="68">
    <w:nsid w:val="10DB9DAA"/>
    <w:multiLevelType w:val="hybridMultilevel"/>
    <w:lvl w:ilvl="0">
      <w:lvlJc w:val="left"/>
      <w:lvlText w:val="%1."/>
      <w:numFmt w:val="decimal"/>
      <w:start w:val="1"/>
    </w:lvl>
  </w:abstractNum>
  <w:abstractNum w:abstractNumId="69">
    <w:nsid w:val="697D2D2"/>
    <w:multiLevelType w:val="hybridMultilevel"/>
    <w:lvl w:ilvl="0">
      <w:lvlJc w:val="left"/>
      <w:lvlText w:val="(%1)"/>
      <w:numFmt w:val="lowerLetter"/>
      <w:start w:val="1"/>
    </w:lvl>
  </w:abstractNum>
  <w:abstractNum w:abstractNumId="70">
    <w:nsid w:val="6D68AB2"/>
    <w:multiLevelType w:val="hybridMultilevel"/>
    <w:lvl w:ilvl="0">
      <w:lvlJc w:val="left"/>
      <w:lvlText w:val="(%1)"/>
      <w:numFmt w:val="lowerLetter"/>
      <w:start w:val="2"/>
    </w:lvl>
  </w:abstractNum>
  <w:abstractNum w:abstractNumId="71">
    <w:nsid w:val="3A966CD0"/>
    <w:multiLevelType w:val="hybridMultilevel"/>
    <w:lvl w:ilvl="0">
      <w:lvlJc w:val="left"/>
      <w:lvlText w:val="%1."/>
      <w:numFmt w:val="decimal"/>
      <w:start w:val="2"/>
    </w:lvl>
  </w:abstractNum>
  <w:abstractNum w:abstractNumId="72">
    <w:nsid w:val="63F37E85"/>
    <w:multiLevelType w:val="hybridMultilevel"/>
    <w:lvl w:ilvl="0">
      <w:lvlJc w:val="left"/>
      <w:lvlText w:val="(%1)"/>
      <w:numFmt w:val="lowerLetter"/>
      <w:start w:val="1"/>
    </w:lvl>
  </w:abstractNum>
  <w:abstractNum w:abstractNumId="73">
    <w:nsid w:val="5895F5FA"/>
    <w:multiLevelType w:val="hybridMultilevel"/>
    <w:lvl w:ilvl="0">
      <w:lvlJc w:val="left"/>
      <w:lvlText w:val="(%1)"/>
      <w:numFmt w:val="lowerLetter"/>
      <w:start w:val="5"/>
    </w:lvl>
  </w:abstractNum>
  <w:abstractNum w:abstractNumId="74">
    <w:nsid w:val="38A5D054"/>
    <w:multiLevelType w:val="hybridMultilevel"/>
    <w:lvl w:ilvl="0">
      <w:lvlJc w:val="left"/>
      <w:lvlText w:val="%1."/>
      <w:numFmt w:val="decimal"/>
      <w:start w:val="5"/>
    </w:lvl>
  </w:abstractNum>
  <w:abstractNum w:abstractNumId="75">
    <w:nsid w:val="F3F09D8"/>
    <w:multiLevelType w:val="hybridMultilevel"/>
    <w:lvl w:ilvl="0">
      <w:lvlJc w:val="left"/>
      <w:lvlText w:val="(%1)"/>
      <w:numFmt w:val="lowerLetter"/>
      <w:start w:val="1"/>
    </w:lvl>
    <w:lvl w:ilvl="1">
      <w:lvlJc w:val="left"/>
      <w:lvlText w:val="(%2)"/>
      <w:numFmt w:val="lowerRoman"/>
      <w:start w:val="1"/>
    </w:lvl>
  </w:abstractNum>
  <w:abstractNum w:abstractNumId="76">
    <w:nsid w:val="4B793735"/>
    <w:multiLevelType w:val="hybridMultilevel"/>
    <w:lvl w:ilvl="0">
      <w:lvlJc w:val="left"/>
      <w:lvlText w:val="(%1)"/>
      <w:numFmt w:val="lowerRoman"/>
      <w:start w:val="2"/>
    </w:lvl>
  </w:abstractNum>
  <w:abstractNum w:abstractNumId="77">
    <w:nsid w:val="4A10B4E8"/>
    <w:multiLevelType w:val="hybridMultilevel"/>
    <w:lvl w:ilvl="0">
      <w:lvlJc w:val="left"/>
      <w:lvlText w:val="(%1)"/>
      <w:numFmt w:val="lowerLetter"/>
      <w:start w:val="3"/>
    </w:lvl>
    <w:lvl w:ilvl="1">
      <w:lvlJc w:val="left"/>
      <w:lvlText w:val="(%2)"/>
      <w:numFmt w:val="lowerRoman"/>
      <w:start w:val="1"/>
    </w:lvl>
  </w:abstractNum>
  <w:abstractNum w:abstractNumId="78">
    <w:nsid w:val="43D3BCD4"/>
    <w:multiLevelType w:val="hybridMultilevel"/>
    <w:lvl w:ilvl="0">
      <w:lvlJc w:val="left"/>
      <w:lvlText w:val="(%1)"/>
      <w:numFmt w:val="lowerRoman"/>
      <w:start w:val="2"/>
    </w:lvl>
  </w:abstractNum>
  <w:abstractNum w:abstractNumId="79">
    <w:nsid w:val="4C2A7166"/>
    <w:multiLevelType w:val="hybridMultilevel"/>
    <w:lvl w:ilvl="0">
      <w:lvlJc w:val="left"/>
      <w:lvlText w:val="%1."/>
      <w:numFmt w:val="decimal"/>
      <w:start w:val="6"/>
    </w:lvl>
  </w:abstractNum>
  <w:abstractNum w:abstractNumId="80">
    <w:nsid w:val="2E534A82"/>
    <w:multiLevelType w:val="hybridMultilevel"/>
    <w:lvl w:ilvl="0">
      <w:lvlJc w:val="left"/>
      <w:lvlText w:val="(%1)"/>
      <w:numFmt w:val="lowerLetter"/>
      <w:start w:val="1"/>
    </w:lvl>
    <w:lvl w:ilvl="1">
      <w:lvlJc w:val="left"/>
      <w:lvlText w:val="%2."/>
      <w:numFmt w:val="lowerRoman"/>
      <w:start w:val="1"/>
    </w:lvl>
  </w:abstractNum>
  <w:abstractNum w:abstractNumId="81">
    <w:nsid w:val="26F2D364"/>
    <w:multiLevelType w:val="hybridMultilevel"/>
    <w:lvl w:ilvl="0">
      <w:lvlJc w:val="left"/>
      <w:lvlText w:val="(%1)"/>
      <w:numFmt w:val="lowerLetter"/>
      <w:start w:val="4"/>
    </w:lvl>
  </w:abstractNum>
  <w:abstractNum w:abstractNumId="82">
    <w:nsid w:val="71C1AF98"/>
    <w:multiLevelType w:val="hybridMultilevel"/>
    <w:lvl w:ilvl="0">
      <w:lvlJc w:val="left"/>
      <w:lvlText w:val="%1."/>
      <w:numFmt w:val="decimal"/>
      <w:start w:val="7"/>
    </w:lvl>
  </w:abstractNum>
  <w:abstractNum w:abstractNumId="83">
    <w:nsid w:val="3D00B9D9"/>
    <w:multiLevelType w:val="hybridMultilevel"/>
    <w:lvl w:ilvl="0">
      <w:lvlJc w:val="left"/>
      <w:lvlText w:val="(%1)"/>
      <w:numFmt w:val="lowerLetter"/>
      <w:start w:val="1"/>
    </w:lvl>
  </w:abstractNum>
  <w:abstractNum w:abstractNumId="84">
    <w:nsid w:val="15BCABA8"/>
    <w:multiLevelType w:val="hybridMultilevel"/>
    <w:lvl w:ilvl="0">
      <w:lvlJc w:val="left"/>
      <w:lvlText w:val="%1"/>
      <w:numFmt w:val="lowerRoman"/>
      <w:start w:val="1"/>
    </w:lvl>
    <w:lvl w:ilvl="1">
      <w:lvlJc w:val="left"/>
      <w:lvlText w:val="(%2)"/>
      <w:numFmt w:val="lowerLetter"/>
      <w:start w:val="2"/>
    </w:lvl>
  </w:abstractNum>
  <w:abstractNum w:abstractNumId="85">
    <w:nsid w:val="4E0B9A87"/>
    <w:multiLevelType w:val="hybridMultilevel"/>
    <w:lvl w:ilvl="0">
      <w:lvlJc w:val="left"/>
      <w:lvlText w:val="(%1)"/>
      <w:numFmt w:val="lowerRoman"/>
      <w:start w:val="4"/>
    </w:lvl>
    <w:lvl w:ilvl="1">
      <w:lvlJc w:val="left"/>
      <w:lvlText w:val="(%2)"/>
      <w:numFmt w:val="lowerLetter"/>
      <w:start w:val="3"/>
    </w:lvl>
  </w:abstractNum>
  <w:abstractNum w:abstractNumId="86">
    <w:nsid w:val="434BAE75"/>
    <w:multiLevelType w:val="hybridMultilevel"/>
    <w:lvl w:ilvl="0">
      <w:lvlJc w:val="left"/>
      <w:lvlText w:val="%1."/>
      <w:numFmt w:val="decimal"/>
      <w:start w:val="11"/>
    </w:lvl>
  </w:abstractNum>
  <w:abstractNum w:abstractNumId="87">
    <w:nsid w:val="4F38F265"/>
    <w:multiLevelType w:val="hybridMultilevel"/>
    <w:lvl w:ilvl="0">
      <w:lvlJc w:val="left"/>
      <w:lvlText w:val="(%1)"/>
      <w:numFmt w:val="lowerLetter"/>
      <w:start w:val="1"/>
    </w:lvl>
  </w:abstractNum>
  <w:abstractNum w:abstractNumId="88">
    <w:nsid w:val="4C502870"/>
    <w:multiLevelType w:val="hybridMultilevel"/>
    <w:lvl w:ilvl="0">
      <w:lvlJc w:val="left"/>
      <w:lvlText w:val="(%1)"/>
      <w:numFmt w:val="lowerLetter"/>
      <w:start w:val="2"/>
    </w:lvl>
  </w:abstractNum>
  <w:abstractNum w:abstractNumId="89">
    <w:nsid w:val="1DE8725A"/>
    <w:multiLevelType w:val="hybridMultilevel"/>
    <w:lvl w:ilvl="0">
      <w:lvlJc w:val="left"/>
      <w:lvlText w:val="(%1)"/>
      <w:numFmt w:val="lowerLetter"/>
      <w:start w:val="12"/>
    </w:lvl>
  </w:abstractNum>
  <w:abstractNum w:abstractNumId="90">
    <w:nsid w:val="6A37288A"/>
    <w:multiLevelType w:val="hybridMultilevel"/>
    <w:lvl w:ilvl="0">
      <w:lvlJc w:val="left"/>
      <w:lvlText w:val="%1."/>
      <w:numFmt w:val="decimal"/>
      <w:start w:val="12"/>
    </w:lvl>
  </w:abstractNum>
  <w:abstractNum w:abstractNumId="91">
    <w:nsid w:val="8F8B73F"/>
    <w:multiLevelType w:val="hybridMultilevel"/>
    <w:lvl w:ilvl="0">
      <w:lvlJc w:val="left"/>
      <w:lvlText w:val="%1."/>
      <w:numFmt w:val="decimal"/>
      <w:start w:val="13"/>
    </w:lvl>
  </w:abstractNum>
  <w:abstractNum w:abstractNumId="92">
    <w:nsid w:val="CA6B462"/>
    <w:multiLevelType w:val="hybridMultilevel"/>
    <w:lvl w:ilvl="0">
      <w:lvlJc w:val="left"/>
      <w:lvlText w:val="(%1)"/>
      <w:numFmt w:val="lowerLetter"/>
      <w:start w:val="1"/>
    </w:lvl>
  </w:abstractNum>
  <w:abstractNum w:abstractNumId="93">
    <w:nsid w:val="763CB680"/>
    <w:multiLevelType w:val="hybridMultilevel"/>
    <w:lvl w:ilvl="0">
      <w:lvlJc w:val="left"/>
      <w:lvlText w:val="(%1)"/>
      <w:numFmt w:val="lowerLetter"/>
      <w:start w:val="3"/>
    </w:lvl>
  </w:abstractNum>
  <w:abstractNum w:abstractNumId="94">
    <w:nsid w:val="15B71329"/>
    <w:multiLevelType w:val="hybridMultilevel"/>
    <w:lvl w:ilvl="0">
      <w:lvlJc w:val="left"/>
      <w:lvlText w:val="%1."/>
      <w:numFmt w:val="decimal"/>
      <w:start w:val="14"/>
    </w:lvl>
  </w:abstractNum>
  <w:abstractNum w:abstractNumId="95">
    <w:nsid w:val="3DA97044"/>
    <w:multiLevelType w:val="hybridMultilevel"/>
    <w:lvl w:ilvl="0">
      <w:lvlJc w:val="left"/>
      <w:lvlText w:val="%1."/>
      <w:numFmt w:val="decimal"/>
      <w:start w:val="17"/>
    </w:lvl>
  </w:abstractNum>
  <w:abstractNum w:abstractNumId="96">
    <w:nsid w:val="1CDCE2DE"/>
    <w:multiLevelType w:val="hybridMultilevel"/>
    <w:lvl w:ilvl="0">
      <w:lvlJc w:val="left"/>
      <w:lvlText w:val="(%1)"/>
      <w:numFmt w:val="lowerLetter"/>
      <w:start w:val="1"/>
    </w:lvl>
  </w:abstractNum>
  <w:abstractNum w:abstractNumId="97">
    <w:nsid w:val="69D3947C"/>
    <w:multiLevelType w:val="hybridMultilevel"/>
    <w:lvl w:ilvl="0">
      <w:lvlJc w:val="left"/>
      <w:lvlText w:val="(%1)"/>
      <w:numFmt w:val="lowerLetter"/>
      <w:start w:val="4"/>
    </w:lvl>
  </w:abstractNum>
  <w:abstractNum w:abstractNumId="98">
    <w:nsid w:val="2539DFA5"/>
    <w:multiLevelType w:val="hybridMultilevel"/>
    <w:lvl w:ilvl="0">
      <w:lvlJc w:val="left"/>
      <w:lvlText w:val="%1."/>
      <w:numFmt w:val="decimal"/>
      <w:start w:val="19"/>
    </w:lvl>
  </w:abstractNum>
  <w:abstractNum w:abstractNumId="99">
    <w:nsid w:val="2DB88089"/>
    <w:multiLevelType w:val="hybridMultilevel"/>
    <w:lvl w:ilvl="0">
      <w:lvlJc w:val="left"/>
      <w:lvlText w:val="%1."/>
      <w:numFmt w:val="decimal"/>
      <w:start w:val="23"/>
    </w:lvl>
  </w:abstractNum>
  <w:abstractNum w:abstractNumId="100">
    <w:nsid w:val="706B674E"/>
    <w:multiLevelType w:val="hybridMultilevel"/>
    <w:lvl w:ilvl="0">
      <w:lvlJc w:val="left"/>
      <w:lvlText w:val="(%1)"/>
      <w:numFmt w:val="lowerLetter"/>
      <w:start w:val="1"/>
    </w:lvl>
  </w:abstractNum>
  <w:abstractNum w:abstractNumId="101">
    <w:nsid w:val="2C106A57"/>
    <w:multiLevelType w:val="hybridMultilevel"/>
    <w:lvl w:ilvl="0">
      <w:lvlJc w:val="left"/>
      <w:lvlText w:val="%1."/>
      <w:numFmt w:val="decimal"/>
      <w:start w:val="24"/>
    </w:lvl>
  </w:abstractNum>
  <w:abstractNum w:abstractNumId="102">
    <w:nsid w:val="684EED59"/>
    <w:multiLevelType w:val="hybridMultilevel"/>
    <w:lvl w:ilvl="0">
      <w:lvlJc w:val="left"/>
      <w:lvlText w:val="["/>
      <w:numFmt w:val="bullet"/>
      <w:start w:val="1"/>
    </w:lvl>
  </w:abstractNum>
  <w:abstractNum w:abstractNumId="103">
    <w:nsid w:val="545EE5D3"/>
    <w:multiLevelType w:val="hybridMultilevel"/>
    <w:lvl w:ilvl="0">
      <w:lvlJc w:val="left"/>
      <w:lvlText w:val="%1."/>
      <w:numFmt w:val="decimal"/>
      <w:start w:val="1"/>
    </w:lvl>
  </w:abstractNum>
  <w:abstractNum w:abstractNumId="104">
    <w:nsid w:val="4A66051"/>
    <w:multiLevelType w:val="hybridMultilevel"/>
    <w:lvl w:ilvl="0">
      <w:lvlJc w:val="left"/>
      <w:lvlText w:val="(%1)"/>
      <w:numFmt w:val="lowerLetter"/>
      <w:start w:val="1"/>
    </w:lvl>
  </w:abstractNum>
  <w:abstractNum w:abstractNumId="105">
    <w:nsid w:val="20F4BDAD"/>
    <w:multiLevelType w:val="hybridMultilevel"/>
    <w:lvl w:ilvl="0">
      <w:lvlJc w:val="left"/>
      <w:lvlText w:val="(%1)"/>
      <w:numFmt w:val="lowerLetter"/>
      <w:start w:val="2"/>
    </w:lvl>
  </w:abstractNum>
  <w:abstractNum w:abstractNumId="106">
    <w:nsid w:val="639DEFAC"/>
    <w:multiLevelType w:val="hybridMultilevel"/>
    <w:lvl w:ilvl="0">
      <w:lvlJc w:val="left"/>
      <w:lvlText w:val="%1."/>
      <w:numFmt w:val="decimal"/>
      <w:start w:val="2"/>
    </w:lvl>
  </w:abstractNum>
  <w:abstractNum w:abstractNumId="107">
    <w:nsid w:val="501F9786"/>
    <w:multiLevelType w:val="hybridMultilevel"/>
    <w:lvl w:ilvl="0">
      <w:lvlJc w:val="left"/>
      <w:lvlText w:val="["/>
      <w:numFmt w:val="bullet"/>
      <w:start w:val="1"/>
    </w:lvl>
  </w:abstractNum>
  <w:abstractNum w:abstractNumId="108">
    <w:nsid w:val="6B057295"/>
    <w:multiLevelType w:val="hybridMultilevel"/>
    <w:lvl w:ilvl="0">
      <w:lvlJc w:val="left"/>
      <w:lvlText w:val="%1."/>
      <w:numFmt w:val="decimal"/>
      <w:start w:val="4"/>
    </w:lvl>
  </w:abstractNum>
  <w:abstractNum w:abstractNumId="109">
    <w:nsid w:val="2771AC80"/>
    <w:multiLevelType w:val="hybridMultilevel"/>
    <w:lvl w:ilvl="0">
      <w:lvlJc w:val="left"/>
      <w:lvlText w:val="(%1)"/>
      <w:numFmt w:val="lowerLetter"/>
      <w:start w:val="1"/>
    </w:lvl>
  </w:abstractNum>
  <w:abstractNum w:abstractNumId="110">
    <w:nsid w:val="1C4A08EC"/>
    <w:multiLevelType w:val="hybridMultilevel"/>
    <w:lvl w:ilvl="0">
      <w:lvlJc w:val="left"/>
      <w:lvlText w:val="(%1)"/>
      <w:numFmt w:val="lowerLetter"/>
      <w:start w:val="2"/>
    </w:lvl>
  </w:abstractNum>
  <w:abstractNum w:abstractNumId="111">
    <w:nsid w:val="1958BD17"/>
    <w:multiLevelType w:val="hybridMultilevel"/>
    <w:lvl w:ilvl="0">
      <w:lvlJc w:val="left"/>
      <w:lvlText w:val="(%1)"/>
      <w:numFmt w:val="lowerLetter"/>
      <w:start w:val="7"/>
    </w:lvl>
    <w:lvl w:ilvl="1">
      <w:lvlJc w:val="left"/>
      <w:lvlText w:val="%2."/>
      <w:numFmt w:val="lowerRoman"/>
      <w:start w:val="1"/>
    </w:lvl>
  </w:abstractNum>
  <w:abstractNum w:abstractNumId="112">
    <w:nsid w:val="4E647FE4"/>
    <w:multiLevelType w:val="hybridMultilevel"/>
    <w:lvl w:ilvl="0">
      <w:lvlJc w:val="left"/>
      <w:lvlText w:val="%1."/>
      <w:numFmt w:val="lowerRoman"/>
      <w:start w:val="4"/>
    </w:lvl>
  </w:abstractNum>
  <w:abstractNum w:abstractNumId="113">
    <w:nsid w:val="E0BB885"/>
    <w:multiLevelType w:val="hybridMultilevel"/>
    <w:lvl w:ilvl="0">
      <w:lvlJc w:val="left"/>
      <w:lvlText w:val="(%1)"/>
      <w:numFmt w:val="lowerLetter"/>
      <w:start w:val="10"/>
    </w:lvl>
  </w:abstractNum>
  <w:abstractNum w:abstractNumId="114">
    <w:nsid w:val="565976F1"/>
    <w:multiLevelType w:val="hybridMultilevel"/>
    <w:lvl w:ilvl="0">
      <w:lvlJc w:val="left"/>
      <w:lvlText w:val="%1."/>
      <w:numFmt w:val="decimal"/>
      <w:start w:val="5"/>
    </w:lvl>
  </w:abstractNum>
  <w:abstractNum w:abstractNumId="115">
    <w:nsid w:val="64212B8C"/>
    <w:multiLevelType w:val="hybridMultilevel"/>
    <w:lvl w:ilvl="0">
      <w:lvlJc w:val="left"/>
      <w:lvlText w:val="(%1)"/>
      <w:numFmt w:val="lowerLetter"/>
      <w:start w:val="1"/>
    </w:lvl>
    <w:lvl w:ilvl="1">
      <w:lvlJc w:val="left"/>
      <w:lvlText w:val="%2."/>
      <w:numFmt w:val="lowerRoman"/>
      <w:start w:val="1"/>
    </w:lvl>
  </w:abstractNum>
  <w:abstractNum w:abstractNumId="116">
    <w:nsid w:val="5C17530C"/>
    <w:multiLevelType w:val="hybridMultilevel"/>
    <w:lvl w:ilvl="0">
      <w:lvlJc w:val="left"/>
      <w:lvlText w:val="(%1)"/>
      <w:numFmt w:val="lowerLetter"/>
      <w:start w:val="3"/>
    </w:lvl>
  </w:abstractNum>
  <w:abstractNum w:abstractNumId="117">
    <w:nsid w:val="19A52566"/>
    <w:multiLevelType w:val="hybridMultilevel"/>
    <w:lvl w:ilvl="0">
      <w:lvlJc w:val="left"/>
      <w:lvlText w:val="%1."/>
      <w:numFmt w:val="decimal"/>
      <w:start w:val="6"/>
    </w:lvl>
  </w:abstractNum>
  <w:abstractNum w:abstractNumId="118">
    <w:nsid w:val="335A1DF1"/>
    <w:multiLevelType w:val="hybridMultilevel"/>
    <w:lvl w:ilvl="0">
      <w:lvlJc w:val="left"/>
      <w:lvlText w:val="(%1)"/>
      <w:numFmt w:val="lowerLetter"/>
      <w:start w:val="1"/>
    </w:lvl>
  </w:abstractNum>
  <w:abstractNum w:abstractNumId="119">
    <w:nsid w:val="28677B7C"/>
    <w:multiLevelType w:val="hybridMultilevel"/>
    <w:lvl w:ilvl="0">
      <w:lvlJc w:val="left"/>
      <w:lvlText w:val="%1"/>
      <w:numFmt w:val="lowerRoman"/>
      <w:start w:val="1"/>
    </w:lvl>
    <w:lvl w:ilvl="1">
      <w:lvlJc w:val="left"/>
      <w:lvlText w:val="(%2)"/>
      <w:numFmt w:val="lowerLetter"/>
      <w:start w:val="2"/>
    </w:lvl>
  </w:abstractNum>
  <w:abstractNum w:abstractNumId="120">
    <w:nsid w:val="378D97C0"/>
    <w:multiLevelType w:val="hybridMultilevel"/>
    <w:lvl w:ilvl="0">
      <w:lvlJc w:val="left"/>
      <w:lvlText w:val="(%1)"/>
      <w:numFmt w:val="lowerRoman"/>
      <w:start w:val="4"/>
    </w:lvl>
    <w:lvl w:ilvl="1">
      <w:lvlJc w:val="left"/>
      <w:lvlText w:val="(%2)"/>
      <w:numFmt w:val="lowerLetter"/>
      <w:start w:val="3"/>
    </w:lvl>
  </w:abstractNum>
  <w:abstractNum w:abstractNumId="121">
    <w:nsid w:val="1D91467C"/>
    <w:multiLevelType w:val="hybridMultilevel"/>
    <w:lvl w:ilvl="0">
      <w:lvlJc w:val="left"/>
      <w:lvlText w:val="%1."/>
      <w:numFmt w:val="decimal"/>
      <w:start w:val="10"/>
    </w:lvl>
  </w:abstractNum>
  <w:abstractNum w:abstractNumId="122">
    <w:nsid w:val="316032BB"/>
    <w:multiLevelType w:val="hybridMultilevel"/>
    <w:lvl w:ilvl="0">
      <w:lvlJc w:val="left"/>
      <w:lvlText w:val="(%1)"/>
      <w:numFmt w:val="lowerLetter"/>
      <w:start w:val="1"/>
    </w:lvl>
  </w:abstractNum>
  <w:abstractNum w:abstractNumId="123">
    <w:nsid w:val="44344C22"/>
    <w:multiLevelType w:val="hybridMultilevel"/>
    <w:lvl w:ilvl="0">
      <w:lvlJc w:val="left"/>
      <w:lvlText w:val="(%1)"/>
      <w:numFmt w:val="lowerLetter"/>
      <w:start w:val="2"/>
    </w:lvl>
  </w:abstractNum>
  <w:abstractNum w:abstractNumId="124">
    <w:nsid w:val="13CDFCFC"/>
    <w:multiLevelType w:val="hybridMultilevel"/>
    <w:lvl w:ilvl="0">
      <w:lvlJc w:val="left"/>
      <w:lvlText w:val="(%1)"/>
      <w:numFmt w:val="lowerLetter"/>
      <w:start w:val="12"/>
    </w:lvl>
  </w:abstractNum>
  <w:abstractNum w:abstractNumId="125">
    <w:nsid w:val="471745E4"/>
    <w:multiLevelType w:val="hybridMultilevel"/>
    <w:lvl w:ilvl="0">
      <w:lvlJc w:val="left"/>
      <w:lvlText w:val="%1."/>
      <w:numFmt w:val="decimal"/>
      <w:start w:val="11"/>
    </w:lvl>
  </w:abstractNum>
  <w:abstractNum w:abstractNumId="126">
    <w:nsid w:val="1DDBC66"/>
    <w:multiLevelType w:val="hybridMultilevel"/>
    <w:lvl w:ilvl="0">
      <w:lvlJc w:val="left"/>
      <w:lvlText w:val="%1."/>
      <w:numFmt w:val="decimal"/>
      <w:start w:val="12"/>
    </w:lvl>
  </w:abstractNum>
  <w:abstractNum w:abstractNumId="127">
    <w:nsid w:val="30AADFDA"/>
    <w:multiLevelType w:val="hybridMultilevel"/>
    <w:lvl w:ilvl="0">
      <w:lvlJc w:val="left"/>
      <w:lvlText w:val="(%1)"/>
      <w:numFmt w:val="lowerLetter"/>
      <w:start w:val="1"/>
    </w:lvl>
  </w:abstractNum>
  <w:abstractNum w:abstractNumId="128">
    <w:nsid w:val="30EADA61"/>
    <w:multiLevelType w:val="hybridMultilevel"/>
    <w:lvl w:ilvl="0">
      <w:lvlJc w:val="left"/>
      <w:lvlText w:val="(%1)"/>
      <w:numFmt w:val="lowerLetter"/>
      <w:start w:val="3"/>
    </w:lvl>
  </w:abstractNum>
  <w:abstractNum w:abstractNumId="129">
    <w:nsid w:val="27179C0B"/>
    <w:multiLevelType w:val="hybridMultilevel"/>
    <w:lvl w:ilvl="0">
      <w:lvlJc w:val="left"/>
      <w:lvlText w:val="%1."/>
      <w:numFmt w:val="decimal"/>
      <w:start w:val="13"/>
    </w:lvl>
  </w:abstractNum>
  <w:abstractNum w:abstractNumId="130">
    <w:nsid w:val="5E636063"/>
    <w:multiLevelType w:val="hybridMultilevel"/>
    <w:lvl w:ilvl="0">
      <w:lvlJc w:val="left"/>
      <w:lvlText w:val="%1."/>
      <w:numFmt w:val="decimal"/>
      <w:start w:val="16"/>
    </w:lvl>
  </w:abstractNum>
  <w:abstractNum w:abstractNumId="131">
    <w:nsid w:val="215641AF"/>
    <w:multiLevelType w:val="hybridMultilevel"/>
    <w:lvl w:ilvl="0">
      <w:lvlJc w:val="left"/>
      <w:lvlText w:val="(%1)"/>
      <w:numFmt w:val="lowerLetter"/>
      <w:start w:val="1"/>
    </w:lvl>
  </w:abstractNum>
  <w:abstractNum w:abstractNumId="132">
    <w:nsid w:val="53280662"/>
    <w:multiLevelType w:val="hybridMultilevel"/>
    <w:lvl w:ilvl="0">
      <w:lvlJc w:val="left"/>
      <w:lvlText w:val="(%1)"/>
      <w:numFmt w:val="lowerLetter"/>
      <w:start w:val="4"/>
    </w:lvl>
  </w:abstractNum>
  <w:abstractNum w:abstractNumId="133">
    <w:nsid w:val="46B24DBC"/>
    <w:multiLevelType w:val="hybridMultilevel"/>
    <w:lvl w:ilvl="0">
      <w:lvlJc w:val="left"/>
      <w:lvlText w:val="%1."/>
      <w:numFmt w:val="decimal"/>
      <w:start w:val="18"/>
    </w:lvl>
  </w:abstractNum>
  <w:abstractNum w:abstractNumId="134">
    <w:nsid w:val="75B52783"/>
    <w:multiLevelType w:val="hybridMultilevel"/>
    <w:lvl w:ilvl="0">
      <w:lvlJc w:val="left"/>
      <w:lvlText w:val="%1."/>
      <w:numFmt w:val="decimal"/>
      <w:start w:val="22"/>
    </w:lvl>
  </w:abstractNum>
  <w:abstractNum w:abstractNumId="135">
    <w:nsid w:val="57CE66B4"/>
    <w:multiLevelType w:val="hybridMultilevel"/>
    <w:lvl w:ilvl="0">
      <w:lvlJc w:val="left"/>
      <w:lvlText w:val="(%1)"/>
      <w:numFmt w:val="lowerLetter"/>
      <w:start w:val="1"/>
    </w:lvl>
  </w:abstractNum>
  <w:abstractNum w:abstractNumId="136">
    <w:nsid w:val="67A70B69"/>
    <w:multiLevelType w:val="hybridMultilevel"/>
    <w:lvl w:ilvl="0">
      <w:lvlJc w:val="left"/>
      <w:lvlText w:val="%1."/>
      <w:numFmt w:val="decimal"/>
      <w:start w:val="23"/>
    </w:lvl>
  </w:abstractNum>
  <w:abstractNum w:abstractNumId="137">
    <w:nsid w:val="5953172F"/>
    <w:multiLevelType w:val="hybridMultilevel"/>
    <w:lvl w:ilvl="0">
      <w:lvlJc w:val="left"/>
      <w:lvlText w:val="%1."/>
      <w:numFmt w:val="decimal"/>
      <w:start w:val="1"/>
    </w:lvl>
  </w:abstractNum>
  <w:abstractNum w:abstractNumId="138">
    <w:nsid w:val="27EDFE3A"/>
    <w:multiLevelType w:val="hybridMultilevel"/>
    <w:lvl w:ilvl="0">
      <w:lvlJc w:val="left"/>
      <w:lvlText w:val="(%1)"/>
      <w:numFmt w:val="lowerLetter"/>
      <w:start w:val="1"/>
    </w:lvl>
  </w:abstractNum>
  <w:abstractNum w:abstractNumId="139">
    <w:nsid w:val="52AC7DFF"/>
    <w:multiLevelType w:val="hybridMultilevel"/>
    <w:lvl w:ilvl="0">
      <w:lvlJc w:val="left"/>
      <w:lvlText w:val="%1."/>
      <w:numFmt w:val="decimal"/>
      <w:start w:val="2"/>
    </w:lvl>
  </w:abstractNum>
  <w:abstractNum w:abstractNumId="140">
    <w:nsid w:val="C4C3AF"/>
    <w:multiLevelType w:val="hybridMultilevel"/>
    <w:lvl w:ilvl="0">
      <w:lvlJc w:val="left"/>
      <w:lvlText w:val="(%1)"/>
      <w:numFmt w:val="lowerLetter"/>
      <w:start w:val="1"/>
    </w:lvl>
  </w:abstractNum>
  <w:abstractNum w:abstractNumId="141">
    <w:nsid w:val="44380727"/>
    <w:multiLevelType w:val="hybridMultilevel"/>
    <w:lvl w:ilvl="0">
      <w:lvlJc w:val="left"/>
      <w:lvlText w:val="%1"/>
      <w:numFmt w:val="lowerRoman"/>
      <w:start w:val="1"/>
    </w:lvl>
    <w:lvl w:ilvl="1">
      <w:lvlJc w:val="left"/>
      <w:lvlText w:val="(%2)"/>
      <w:numFmt w:val="lowerLetter"/>
      <w:start w:val="2"/>
    </w:lvl>
  </w:abstractNum>
  <w:abstractNum w:abstractNumId="142">
    <w:nsid w:val="6C053B16"/>
    <w:multiLevelType w:val="hybridMultilevel"/>
    <w:lvl w:ilvl="0">
      <w:lvlJc w:val="left"/>
      <w:lvlText w:val="(%1)"/>
      <w:numFmt w:val="lowerRoman"/>
      <w:start w:val="4"/>
    </w:lvl>
    <w:lvl w:ilvl="1">
      <w:lvlJc w:val="left"/>
      <w:lvlText w:val="(%2)"/>
      <w:numFmt w:val="lowerLetter"/>
      <w:start w:val="3"/>
    </w:lvl>
  </w:abstractNum>
  <w:abstractNum w:abstractNumId="143">
    <w:nsid w:val="4F294393"/>
    <w:multiLevelType w:val="hybridMultilevel"/>
    <w:lvl w:ilvl="0">
      <w:lvlJc w:val="left"/>
      <w:lvlText w:val="%1."/>
      <w:numFmt w:val="decimal"/>
      <w:start w:val="4"/>
    </w:lvl>
  </w:abstractNum>
  <w:abstractNum w:abstractNumId="144">
    <w:nsid w:val="5243BFAC"/>
    <w:multiLevelType w:val="hybridMultilevel"/>
    <w:lvl w:ilvl="0">
      <w:lvlJc w:val="left"/>
      <w:lvlText w:val="(%1)"/>
      <w:numFmt w:val="lowerLetter"/>
      <w:start w:val="1"/>
    </w:lvl>
  </w:abstractNum>
  <w:abstractNum w:abstractNumId="145">
    <w:nsid w:val="425EB207"/>
    <w:multiLevelType w:val="hybridMultilevel"/>
    <w:lvl w:ilvl="0">
      <w:lvlJc w:val="left"/>
      <w:lvlText w:val="%1."/>
      <w:numFmt w:val="decimal"/>
      <w:start w:val="5"/>
    </w:lvl>
  </w:abstractNum>
  <w:abstractNum w:abstractNumId="146">
    <w:nsid w:val="334A6F1F"/>
    <w:multiLevelType w:val="hybridMultilevel"/>
    <w:lvl w:ilvl="0">
      <w:lvlJc w:val="left"/>
      <w:lvlText w:val="%1."/>
      <w:numFmt w:val="decimal"/>
      <w:start w:val="6"/>
    </w:lvl>
  </w:abstractNum>
  <w:abstractNum w:abstractNumId="147">
    <w:nsid w:val="2E5B12B8"/>
    <w:multiLevelType w:val="hybridMultilevel"/>
    <w:lvl w:ilvl="0">
      <w:lvlJc w:val="left"/>
      <w:lvlText w:val="(%1)"/>
      <w:numFmt w:val="lowerLetter"/>
      <w:start w:val="1"/>
    </w:lvl>
  </w:abstractNum>
  <w:abstractNum w:abstractNumId="148">
    <w:nsid w:val="5C03D76D"/>
    <w:multiLevelType w:val="hybridMultilevel"/>
    <w:lvl w:ilvl="0">
      <w:lvlJc w:val="left"/>
      <w:lvlText w:val="(%1)"/>
      <w:numFmt w:val="lowerLetter"/>
      <w:start w:val="10"/>
    </w:lvl>
  </w:abstractNum>
  <w:abstractNum w:abstractNumId="149">
    <w:nsid w:val="66A48D11"/>
    <w:multiLevelType w:val="hybridMultilevel"/>
    <w:lvl w:ilvl="0">
      <w:lvlJc w:val="left"/>
      <w:lvlText w:val="%1."/>
      <w:numFmt w:val="decimal"/>
      <w:start w:val="9"/>
    </w:lvl>
  </w:abstractNum>
  <w:abstractNum w:abstractNumId="150">
    <w:nsid w:val="56C28E34"/>
    <w:multiLevelType w:val="hybridMultilevel"/>
    <w:lvl w:ilvl="0">
      <w:lvlJc w:val="left"/>
      <w:lvlText w:val="%1."/>
      <w:numFmt w:val="decimal"/>
      <w:start w:val="10"/>
    </w:lvl>
  </w:abstractNum>
  <w:abstractNum w:abstractNumId="151">
    <w:nsid w:val="13916F2D"/>
    <w:multiLevelType w:val="hybridMultilevel"/>
    <w:lvl w:ilvl="0">
      <w:lvlJc w:val="left"/>
      <w:lvlText w:val="(%1)"/>
      <w:numFmt w:val="lowerLetter"/>
      <w:start w:val="1"/>
    </w:lvl>
  </w:abstractNum>
  <w:abstractNum w:abstractNumId="152">
    <w:nsid w:val="435D38D"/>
    <w:multiLevelType w:val="hybridMultilevel"/>
    <w:lvl w:ilvl="0">
      <w:lvlJc w:val="left"/>
      <w:lvlText w:val="(%1)"/>
      <w:numFmt w:val="lowerRoman"/>
      <w:start w:val="4"/>
    </w:lvl>
    <w:lvl w:ilvl="1">
      <w:lvlJc w:val="left"/>
      <w:lvlText w:val="(%2)"/>
      <w:numFmt w:val="lowerLetter"/>
      <w:start w:val="3"/>
    </w:lvl>
  </w:abstractNum>
  <w:abstractNum w:abstractNumId="153">
    <w:nsid w:val="822C0EF"/>
    <w:multiLevelType w:val="hybridMultilevel"/>
    <w:lvl w:ilvl="0">
      <w:lvlJc w:val="left"/>
      <w:lvlText w:val="%1."/>
      <w:numFmt w:val="decimal"/>
      <w:start w:val="11"/>
    </w:lvl>
  </w:abstractNum>
  <w:abstractNum w:abstractNumId="154">
    <w:nsid w:val="57C5BB4F"/>
    <w:multiLevelType w:val="hybridMultilevel"/>
    <w:lvl w:ilvl="0">
      <w:lvlJc w:val="left"/>
      <w:lvlText w:val="%1."/>
      <w:numFmt w:val="decimal"/>
      <w:start w:val="13"/>
    </w:lvl>
  </w:abstractNum>
  <w:abstractNum w:abstractNumId="155">
    <w:nsid w:val="1803D089"/>
    <w:multiLevelType w:val="hybridMultilevel"/>
    <w:lvl w:ilvl="0">
      <w:lvlJc w:val="left"/>
      <w:lvlText w:val="(%1)"/>
      <w:numFmt w:val="lowerLetter"/>
      <w:start w:val="1"/>
    </w:lvl>
  </w:abstractNum>
  <w:abstractNum w:abstractNumId="156">
    <w:nsid w:val="4F3A06D4"/>
    <w:multiLevelType w:val="hybridMultilevel"/>
    <w:lvl w:ilvl="0">
      <w:lvlJc w:val="left"/>
      <w:lvlText w:val="(%1)"/>
      <w:numFmt w:val="lowerLetter"/>
      <w:start w:val="3"/>
    </w:lvl>
  </w:abstractNum>
  <w:abstractNum w:abstractNumId="157">
    <w:nsid w:val="59A377B6"/>
    <w:multiLevelType w:val="hybridMultilevel"/>
    <w:lvl w:ilvl="0">
      <w:lvlJc w:val="left"/>
      <w:lvlText w:val="%1."/>
      <w:numFmt w:val="decimal"/>
      <w:start w:val="16"/>
    </w:lvl>
  </w:abstractNum>
  <w:abstractNum w:abstractNumId="158">
    <w:nsid w:val="48AEB063"/>
    <w:multiLevelType w:val="hybridMultilevel"/>
    <w:lvl w:ilvl="0">
      <w:lvlJc w:val="left"/>
      <w:lvlText w:val="%1."/>
      <w:numFmt w:val="decimal"/>
      <w:start w:val="19"/>
    </w:lvl>
  </w:abstractNum>
  <w:abstractNum w:abstractNumId="159">
    <w:nsid w:val="24E135"/>
    <w:multiLevelType w:val="hybridMultilevel"/>
    <w:lvl w:ilvl="0">
      <w:lvlJc w:val="left"/>
      <w:lvlText w:val="(%1)"/>
      <w:numFmt w:val="lowerLetter"/>
      <w:start w:val="1"/>
    </w:lvl>
  </w:abstractNum>
  <w:abstractNum w:abstractNumId="160">
    <w:nsid w:val="BB13C1"/>
    <w:multiLevelType w:val="hybridMultilevel"/>
    <w:lvl w:ilvl="0">
      <w:lvlJc w:val="left"/>
      <w:lvlText w:val="%1."/>
      <w:numFmt w:val="decimal"/>
      <w:start w:val="21"/>
    </w:lvl>
  </w:abstractNum>
  <w:abstractNum w:abstractNumId="161">
    <w:nsid w:val="271210C7"/>
    <w:multiLevelType w:val="hybridMultilevel"/>
    <w:lvl w:ilvl="0">
      <w:lvlJc w:val="left"/>
      <w:lvlText w:val="%1."/>
      <w:numFmt w:val="decimal"/>
      <w:start w:val="1"/>
    </w:lvl>
  </w:abstractNum>
  <w:abstractNum w:abstractNumId="162">
    <w:nsid w:val="217B22E4"/>
    <w:multiLevelType w:val="hybridMultilevel"/>
    <w:lvl w:ilvl="0">
      <w:lvlJc w:val="left"/>
      <w:lvlText w:val="(%1)"/>
      <w:numFmt w:val="lowerLetter"/>
      <w:start w:val="1"/>
    </w:lvl>
  </w:abstractNum>
  <w:abstractNum w:abstractNumId="163">
    <w:nsid w:val="53E31A24"/>
    <w:multiLevelType w:val="hybridMultilevel"/>
    <w:lvl w:ilvl="0">
      <w:lvlJc w:val="left"/>
      <w:lvlText w:val="(%1)"/>
      <w:numFmt w:val="lowerLetter"/>
      <w:start w:val="2"/>
    </w:lvl>
  </w:abstractNum>
  <w:abstractNum w:abstractNumId="164">
    <w:nsid w:val="6DC45E83"/>
    <w:multiLevelType w:val="hybridMultilevel"/>
    <w:lvl w:ilvl="0">
      <w:lvlJc w:val="left"/>
      <w:lvlText w:val="(%1)"/>
      <w:numFmt w:val="lowerLetter"/>
      <w:start w:val="3"/>
    </w:lvl>
  </w:abstractNum>
  <w:abstractNum w:abstractNumId="165">
    <w:nsid w:val="17304A67"/>
    <w:multiLevelType w:val="hybridMultilevel"/>
    <w:lvl w:ilvl="0">
      <w:lvlJc w:val="left"/>
      <w:lvlText w:val="%1."/>
      <w:numFmt w:val="decimal"/>
      <w:start w:val="6"/>
    </w:lvl>
  </w:abstractNum>
  <w:abstractNum w:abstractNumId="166">
    <w:nsid w:val="2BB180D8"/>
    <w:multiLevelType w:val="hybridMultilevel"/>
    <w:lvl w:ilvl="0">
      <w:lvlJc w:val="left"/>
      <w:lvlText w:val="%1"/>
      <w:numFmt w:val="lowerRoman"/>
      <w:start w:val="1"/>
    </w:lvl>
    <w:lvl w:ilvl="1">
      <w:lvlJc w:val="left"/>
      <w:lvlText w:val="%2."/>
      <w:numFmt w:val="decimal"/>
      <w:start w:val="9"/>
    </w:lvl>
  </w:abstractNum>
  <w:abstractNum w:abstractNumId="167">
    <w:nsid w:val="556B69ED"/>
    <w:multiLevelType w:val="hybridMultilevel"/>
    <w:lvl w:ilvl="0">
      <w:lvlJc w:val="left"/>
      <w:lvlText w:val="(%1)"/>
      <w:numFmt w:val="lowerRoman"/>
      <w:start w:val="1"/>
    </w:lvl>
    <w:lvl w:ilvl="1">
      <w:lvlJc w:val="left"/>
      <w:lvlText w:val="%2."/>
      <w:numFmt w:val="decimal"/>
      <w:start w:val="11"/>
    </w:lvl>
  </w:abstractNum>
  <w:abstractNum w:abstractNumId="168">
    <w:nsid w:val="70836196"/>
    <w:multiLevelType w:val="hybridMultilevel"/>
    <w:lvl w:ilvl="0">
      <w:lvlJc w:val="left"/>
      <w:lvlText w:val="(%1)"/>
      <w:numFmt w:val="lowerLetter"/>
      <w:start w:val="1"/>
    </w:lvl>
  </w:abstractNum>
  <w:abstractNum w:abstractNumId="169">
    <w:nsid w:val="539F7F12"/>
    <w:multiLevelType w:val="hybridMultilevel"/>
    <w:lvl w:ilvl="0">
      <w:lvlJc w:val="left"/>
      <w:lvlText w:val="(%1)"/>
      <w:numFmt w:val="lowerLetter"/>
      <w:start w:val="2"/>
    </w:lvl>
  </w:abstractNum>
  <w:abstractNum w:abstractNumId="170">
    <w:nsid w:val="2817E7EC"/>
    <w:multiLevelType w:val="hybridMultilevel"/>
    <w:lvl w:ilvl="0">
      <w:lvlJc w:val="left"/>
      <w:lvlText w:val="%1."/>
      <w:numFmt w:val="decimal"/>
      <w:start w:val="12"/>
    </w:lvl>
  </w:abstractNum>
  <w:abstractNum w:abstractNumId="171">
    <w:nsid w:val="71482545"/>
    <w:multiLevelType w:val="hybridMultilevel"/>
    <w:lvl w:ilvl="0">
      <w:lvlJc w:val="left"/>
      <w:lvlText w:val="%1."/>
      <w:numFmt w:val="decimal"/>
      <w:start w:val="13"/>
    </w:lvl>
  </w:abstractNum>
  <w:abstractNum w:abstractNumId="172">
    <w:nsid w:val="17D78639"/>
    <w:multiLevelType w:val="hybridMultilevel"/>
    <w:lvl w:ilvl="0">
      <w:lvlJc w:val="left"/>
      <w:lvlText w:val="(%1)"/>
      <w:numFmt w:val="lowerLetter"/>
      <w:start w:val="1"/>
    </w:lvl>
  </w:abstractNum>
  <w:abstractNum w:abstractNumId="173">
    <w:nsid w:val="141D2302"/>
    <w:multiLevelType w:val="hybridMultilevel"/>
    <w:lvl w:ilvl="0">
      <w:lvlJc w:val="left"/>
      <w:lvlText w:val="(%1)"/>
      <w:numFmt w:val="lowerLetter"/>
      <w:start w:val="3"/>
    </w:lvl>
  </w:abstractNum>
  <w:abstractNum w:abstractNumId="174">
    <w:nsid w:val="407168D8"/>
    <w:multiLevelType w:val="hybridMultilevel"/>
    <w:lvl w:ilvl="0">
      <w:lvlJc w:val="left"/>
      <w:lvlText w:val="%1."/>
      <w:numFmt w:val="decimal"/>
      <w:start w:val="16"/>
    </w:lvl>
  </w:abstractNum>
  <w:abstractNum w:abstractNumId="175">
    <w:nsid w:val="6A1B45E5"/>
    <w:multiLevelType w:val="hybridMultilevel"/>
    <w:lvl w:ilvl="0">
      <w:lvlJc w:val="left"/>
      <w:lvlText w:val="(%1)"/>
      <w:numFmt w:val="lowerLetter"/>
      <w:start w:val="1"/>
    </w:lvl>
  </w:abstractNum>
  <w:abstractNum w:abstractNumId="176">
    <w:nsid w:val="567BD50A"/>
    <w:multiLevelType w:val="hybridMultilevel"/>
    <w:lvl w:ilvl="0">
      <w:lvlJc w:val="left"/>
      <w:lvlText w:val="(%1)"/>
      <w:numFmt w:val="lowerLetter"/>
      <w:start w:val="5"/>
    </w:lvl>
  </w:abstractNum>
  <w:abstractNum w:abstractNumId="177">
    <w:nsid w:val="73BBD7F8"/>
    <w:multiLevelType w:val="hybridMultilevel"/>
    <w:lvl w:ilvl="0">
      <w:lvlJc w:val="left"/>
      <w:lvlText w:val="%1."/>
      <w:numFmt w:val="decimal"/>
      <w:start w:val="18"/>
    </w:lvl>
  </w:abstractNum>
  <w:abstractNum w:abstractNumId="178">
    <w:nsid w:val="1876589D"/>
    <w:multiLevelType w:val="hybridMultilevel"/>
    <w:lvl w:ilvl="0">
      <w:lvlJc w:val="left"/>
      <w:lvlText w:val="%1."/>
      <w:numFmt w:val="decimal"/>
      <w:start w:val="20"/>
    </w:lvl>
  </w:abstractNum>
  <w:abstractNum w:abstractNumId="179">
    <w:nsid w:val="327FAC77"/>
    <w:multiLevelType w:val="hybridMultilevel"/>
    <w:lvl w:ilvl="0">
      <w:lvlJc w:val="left"/>
      <w:lvlText w:val="%1."/>
      <w:numFmt w:val="decimal"/>
      <w:start w:val="1"/>
    </w:lvl>
  </w:abstractNum>
  <w:abstractNum w:abstractNumId="180">
    <w:nsid w:val="5A606509"/>
    <w:multiLevelType w:val="hybridMultilevel"/>
    <w:lvl w:ilvl="0">
      <w:lvlJc w:val="left"/>
      <w:lvlText w:val="%1."/>
      <w:numFmt w:val="decimal"/>
      <w:start w:val="2"/>
    </w:lvl>
  </w:abstractNum>
  <w:abstractNum w:abstractNumId="181">
    <w:nsid w:val="6F38E6D1"/>
    <w:multiLevelType w:val="hybridMultilevel"/>
    <w:lvl w:ilvl="0">
      <w:lvlJc w:val="left"/>
      <w:lvlText w:val="%1."/>
      <w:numFmt w:val="decimal"/>
      <w:start w:val="6"/>
    </w:lvl>
  </w:abstractNum>
  <w:abstractNum w:abstractNumId="182">
    <w:nsid w:val="46111BA5"/>
    <w:multiLevelType w:val="hybridMultilevel"/>
    <w:lvl w:ilvl="0">
      <w:lvlJc w:val="left"/>
      <w:lvlText w:val="(%1)"/>
      <w:numFmt w:val="lowerLetter"/>
      <w:start w:val="1"/>
    </w:lvl>
  </w:abstractNum>
  <w:abstractNum w:abstractNumId="183">
    <w:nsid w:val="5E963896"/>
    <w:multiLevelType w:val="hybridMultilevel"/>
    <w:lvl w:ilvl="0">
      <w:lvlJc w:val="left"/>
      <w:lvlText w:val="%1."/>
      <w:numFmt w:val="decimal"/>
      <w:start w:val="9"/>
    </w:lvl>
  </w:abstractNum>
  <w:abstractNum w:abstractNumId="184">
    <w:nsid w:val="775BA7C1"/>
    <w:multiLevelType w:val="hybridMultilevel"/>
    <w:lvl w:ilvl="0">
      <w:lvlJc w:val="left"/>
      <w:lvlText w:val="%1"/>
      <w:numFmt w:val="lowerLetter"/>
      <w:start w:val="1"/>
    </w:lvl>
    <w:lvl w:ilvl="1">
      <w:lvlJc w:val="left"/>
      <w:lvlText w:val="(%2)"/>
      <w:numFmt w:val="lowerLetter"/>
      <w:start w:val="1"/>
    </w:lvl>
  </w:abstractNum>
  <w:abstractNum w:abstractNumId="185">
    <w:nsid w:val="1DD6D6F4"/>
    <w:multiLevelType w:val="hybridMultilevel"/>
    <w:lvl w:ilvl="0">
      <w:lvlJc w:val="left"/>
      <w:lvlText w:val="(%1)"/>
      <w:numFmt w:val="lowerLetter"/>
      <w:start w:val="35"/>
    </w:lvl>
    <w:lvl w:ilvl="1">
      <w:lvlJc w:val="left"/>
      <w:lvlText w:val="%2"/>
      <w:numFmt w:val="lowerLetter"/>
      <w:start w:val="1"/>
    </w:lvl>
  </w:abstractNum>
  <w:abstractNum w:abstractNumId="186">
    <w:nsid w:val="769A091F"/>
    <w:multiLevelType w:val="hybridMultilevel"/>
    <w:lvl w:ilvl="0">
      <w:lvlJc w:val="left"/>
      <w:lvlText w:val="(%1)"/>
      <w:numFmt w:val="lowerLetter"/>
      <w:start w:val="5"/>
    </w:lvl>
  </w:abstractNum>
  <w:abstractNum w:abstractNumId="187">
    <w:nsid w:val="4695AE95"/>
    <w:multiLevelType w:val="hybridMultilevel"/>
    <w:lvl w:ilvl="0">
      <w:lvlJc w:val="left"/>
      <w:lvlText w:val="%1."/>
      <w:numFmt w:val="decimal"/>
      <w:start w:val="10"/>
    </w:lvl>
  </w:abstractNum>
  <w:abstractNum w:abstractNumId="188">
    <w:nsid w:val="777A4EAA"/>
    <w:multiLevelType w:val="hybridMultilevel"/>
    <w:lvl w:ilvl="0">
      <w:lvlJc w:val="left"/>
      <w:lvlText w:val="%1"/>
      <w:numFmt w:val="lowerRoman"/>
      <w:start w:val="1"/>
    </w:lvl>
    <w:lvl w:ilvl="1">
      <w:lvlJc w:val="left"/>
      <w:lvlText w:val="(%2)"/>
      <w:numFmt w:val="lowerLetter"/>
      <w:start w:val="1"/>
    </w:lvl>
  </w:abstractNum>
  <w:abstractNum w:abstractNumId="189">
    <w:nsid w:val="3F48B982"/>
    <w:multiLevelType w:val="hybridMultilevel"/>
    <w:lvl w:ilvl="0">
      <w:lvlJc w:val="left"/>
      <w:lvlText w:val="(%1)"/>
      <w:numFmt w:val="lowerRoman"/>
      <w:start w:val="1"/>
    </w:lvl>
    <w:lvl w:ilvl="1">
      <w:lvlJc w:val="left"/>
      <w:lvlText w:val="%2"/>
      <w:numFmt w:val="lowerLetter"/>
      <w:start w:val="1"/>
    </w:lvl>
  </w:abstractNum>
  <w:abstractNum w:abstractNumId="190">
    <w:nsid w:val="46BA8FCA"/>
    <w:multiLevelType w:val="hybridMultilevel"/>
    <w:lvl w:ilvl="0">
      <w:lvlJc w:val="left"/>
      <w:lvlText w:val="(%1)"/>
      <w:numFmt w:val="lowerRoman"/>
      <w:start w:val="3"/>
    </w:lvl>
  </w:abstractNum>
  <w:abstractNum w:abstractNumId="191">
    <w:nsid w:val="7835626C"/>
    <w:multiLevelType w:val="hybridMultilevel"/>
    <w:lvl w:ilvl="0">
      <w:lvlJc w:val="left"/>
      <w:lvlText w:val="%1."/>
      <w:numFmt w:val="decimal"/>
      <w:start w:val="13"/>
    </w:lvl>
  </w:abstractNum>
  <w:abstractNum w:abstractNumId="192">
    <w:nsid w:val="665ACA49"/>
    <w:multiLevelType w:val="hybridMultilevel"/>
    <w:lvl w:ilvl="0">
      <w:lvlJc w:val="left"/>
      <w:lvlText w:val="%1"/>
      <w:numFmt w:val="lowerRoman"/>
      <w:start w:val="1"/>
    </w:lvl>
    <w:lvl w:ilvl="1">
      <w:lvlJc w:val="left"/>
      <w:lvlText w:val="(%2)"/>
      <w:numFmt w:val="lowerLetter"/>
      <w:start w:val="1"/>
    </w:lvl>
  </w:abstractNum>
  <w:abstractNum w:abstractNumId="193">
    <w:nsid w:val="6835B2AE"/>
    <w:multiLevelType w:val="hybridMultilevel"/>
    <w:lvl w:ilvl="0">
      <w:lvlJc w:val="left"/>
      <w:lvlText w:val="(%1)"/>
      <w:numFmt w:val="lowerRoman"/>
      <w:start w:val="1"/>
    </w:lvl>
    <w:lvl w:ilvl="1">
      <w:lvlJc w:val="left"/>
      <w:lvlText w:val="%2"/>
      <w:numFmt w:val="lowerLetter"/>
      <w:start w:val="1"/>
    </w:lvl>
  </w:abstractNum>
  <w:abstractNum w:abstractNumId="194">
    <w:nsid w:val="4C187C90"/>
    <w:multiLevelType w:val="hybridMultilevel"/>
    <w:lvl w:ilvl="0">
      <w:lvlJc w:val="left"/>
      <w:lvlText w:val="%1."/>
      <w:numFmt w:val="decimal"/>
      <w:start w:val="1"/>
    </w:lvl>
  </w:abstractNum>
  <w:abstractNum w:abstractNumId="195">
    <w:nsid w:val="541F28CD"/>
    <w:multiLevelType w:val="hybridMultilevel"/>
    <w:lvl w:ilvl="0">
      <w:lvlJc w:val="left"/>
      <w:lvlText w:val="%1."/>
      <w:numFmt w:val="decimal"/>
      <w:start w:val="2"/>
    </w:lvl>
  </w:abstractNum>
  <w:abstractNum w:abstractNumId="196">
    <w:nsid w:val="7F65FD16"/>
    <w:multiLevelType w:val="hybridMultilevel"/>
    <w:lvl w:ilvl="0">
      <w:lvlJc w:val="left"/>
      <w:lvlText w:val="%1."/>
      <w:numFmt w:val="decimal"/>
      <w:start w:val="6"/>
    </w:lvl>
  </w:abstractNum>
  <w:abstractNum w:abstractNumId="197">
    <w:nsid w:val="77C9FD68"/>
    <w:multiLevelType w:val="hybridMultilevel"/>
    <w:lvl w:ilvl="0">
      <w:lvlJc w:val="left"/>
      <w:lvlText w:val="%1"/>
      <w:numFmt w:val="lowerRoman"/>
      <w:start w:val="1"/>
    </w:lvl>
    <w:lvl w:ilvl="1">
      <w:lvlJc w:val="left"/>
      <w:lvlText w:val="(%2)"/>
      <w:numFmt w:val="lowerLetter"/>
      <w:start w:val="1"/>
    </w:lvl>
  </w:abstractNum>
  <w:abstractNum w:abstractNumId="198">
    <w:nsid w:val="298A92BA"/>
    <w:multiLevelType w:val="hybridMultilevel"/>
    <w:lvl w:ilvl="0">
      <w:lvlJc w:val="left"/>
      <w:lvlText w:val="(%1)"/>
      <w:numFmt w:val="lowerRoman"/>
      <w:start w:val="4"/>
    </w:lvl>
    <w:lvl w:ilvl="1">
      <w:lvlJc w:val="left"/>
      <w:lvlText w:val="%2"/>
      <w:numFmt w:val="lowerLetter"/>
      <w:start w:val="1"/>
    </w:lvl>
  </w:abstractNum>
  <w:abstractNum w:abstractNumId="199">
    <w:nsid w:val="6FE95EAC"/>
    <w:multiLevelType w:val="hybridMultilevel"/>
    <w:lvl w:ilvl="0">
      <w:lvlJc w:val="left"/>
      <w:lvlText w:val="%1."/>
      <w:numFmt w:val="decimal"/>
      <w:start w:val="9"/>
    </w:lvl>
  </w:abstractNum>
  <w:abstractNum w:abstractNumId="200">
    <w:nsid w:val="4B697C7A"/>
    <w:multiLevelType w:val="hybridMultilevel"/>
    <w:lvl w:ilvl="0">
      <w:lvlJc w:val="left"/>
      <w:lvlText w:val="(%1)"/>
      <w:numFmt w:val="lowerLetter"/>
      <w:start w:val="1"/>
    </w:lvl>
  </w:abstractNum>
  <w:abstractNum w:abstractNumId="201">
    <w:nsid w:val="51A27AA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2">
    <w:nsid w:val="613183F2"/>
    <w:multiLevelType w:val="hybridMultilevel"/>
    <w:lvl w:ilvl="0">
      <w:lvlJc w:val="left"/>
      <w:lvlText w:val="(%1)"/>
      <w:numFmt w:val="decimal"/>
      <w:start w:val="4"/>
    </w:lvl>
    <w:lvl w:ilvl="1">
      <w:lvlJc w:val="left"/>
      <w:lvlText w:val="(%2)"/>
      <w:numFmt w:val="lowerLetter"/>
      <w:start w:val="9"/>
    </w:lvl>
    <w:lvl w:ilvl="2">
      <w:lvlJc w:val="left"/>
      <w:lvlText w:val="(%3)"/>
      <w:numFmt w:val="lowerRoman"/>
      <w:start w:val="1"/>
    </w:lvl>
  </w:abstractNum>
  <w:abstractNum w:abstractNumId="203">
    <w:nsid w:val="634102B4"/>
    <w:multiLevelType w:val="hybridMultilevel"/>
    <w:lvl w:ilvl="0">
      <w:lvlJc w:val="left"/>
      <w:lvlText w:val="(%1)"/>
      <w:numFmt w:val="lowerRoman"/>
      <w:start w:val="2"/>
    </w:lvl>
  </w:abstractNum>
  <w:abstractNum w:abstractNumId="204">
    <w:nsid w:val="65BF9DA8"/>
    <w:multiLevelType w:val="hybridMultilevel"/>
    <w:lvl w:ilvl="0">
      <w:lvlJc w:val="left"/>
      <w:lvlText w:val="%1."/>
      <w:numFmt w:val="decimal"/>
      <w:start w:val="10"/>
    </w:lvl>
  </w:abstractNum>
  <w:abstractNum w:abstractNumId="205">
    <w:nsid w:val="21A2ECCA"/>
    <w:multiLevelType w:val="hybridMultilevel"/>
    <w:lvl w:ilvl="0">
      <w:lvlJc w:val="left"/>
      <w:lvlText w:val="%1."/>
      <w:numFmt w:val="decimal"/>
      <w:start w:val="11"/>
    </w:lvl>
  </w:abstractNum>
  <w:abstractNum w:abstractNumId="206">
    <w:nsid w:val="4D5C4899"/>
    <w:multiLevelType w:val="hybridMultilevel"/>
    <w:lvl w:ilvl="0">
      <w:lvlJc w:val="left"/>
      <w:lvlText w:val="%1"/>
      <w:numFmt w:val="lowerRoman"/>
      <w:start w:val="1"/>
    </w:lvl>
    <w:lvl w:ilvl="1">
      <w:lvlJc w:val="left"/>
      <w:lvlText w:val="%2."/>
      <w:numFmt w:val="decimal"/>
      <w:start w:val="12"/>
    </w:lvl>
  </w:abstractNum>
  <w:abstractNum w:abstractNumId="207">
    <w:nsid w:val="3C3B72B2"/>
    <w:multiLevelType w:val="hybridMultilevel"/>
    <w:lvl w:ilvl="0">
      <w:lvlJc w:val="left"/>
      <w:lvlText w:val="(%1)"/>
      <w:numFmt w:val="lowerRoman"/>
      <w:start w:val="1"/>
    </w:lvl>
    <w:lvl w:ilvl="1">
      <w:lvlJc w:val="left"/>
      <w:lvlText w:val="%2."/>
      <w:numFmt w:val="decimal"/>
      <w:start w:val="14"/>
    </w:lvl>
  </w:abstractNum>
  <w:abstractNum w:abstractNumId="208">
    <w:nsid w:val="155EC4C2"/>
    <w:multiLevelType w:val="hybridMultilevel"/>
    <w:lvl w:ilvl="0">
      <w:lvlJc w:val="left"/>
      <w:lvlText w:val="(%1)"/>
      <w:numFmt w:val="lowerLetter"/>
      <w:start w:val="1"/>
    </w:lvl>
  </w:abstractNum>
  <w:abstractNum w:abstractNumId="209">
    <w:nsid w:val="65D2A137"/>
    <w:multiLevelType w:val="hybridMultilevel"/>
    <w:lvl w:ilvl="0">
      <w:lvlJc w:val="left"/>
      <w:lvlText w:val="(%1)"/>
      <w:numFmt w:val="lowerLetter"/>
      <w:start w:val="2"/>
    </w:lvl>
  </w:abstractNum>
  <w:abstractNum w:abstractNumId="210">
    <w:nsid w:val="6EBB1F2A"/>
    <w:multiLevelType w:val="hybridMultilevel"/>
    <w:lvl w:ilvl="0">
      <w:lvlJc w:val="left"/>
      <w:lvlText w:val="%1."/>
      <w:numFmt w:val="decimal"/>
      <w:start w:val="15"/>
    </w:lvl>
  </w:abstractNum>
  <w:abstractNum w:abstractNumId="211">
    <w:nsid w:val="6FBF29CB"/>
    <w:multiLevelType w:val="hybridMultilevel"/>
    <w:lvl w:ilvl="0">
      <w:lvlJc w:val="left"/>
      <w:lvlText w:val="(%1)"/>
      <w:numFmt w:val="lowerLetter"/>
      <w:start w:val="1"/>
    </w:lvl>
  </w:abstractNum>
  <w:abstractNum w:abstractNumId="212">
    <w:nsid w:val="550B8808"/>
    <w:multiLevelType w:val="hybridMultilevel"/>
    <w:lvl w:ilvl="0">
      <w:lvlJc w:val="left"/>
      <w:lvlText w:val="(%1)"/>
      <w:numFmt w:val="lowerLetter"/>
      <w:start w:val="3"/>
    </w:lvl>
  </w:abstractNum>
  <w:abstractNum w:abstractNumId="213">
    <w:nsid w:val="34CC3ACF"/>
    <w:multiLevelType w:val="hybridMultilevel"/>
    <w:lvl w:ilvl="0">
      <w:lvlJc w:val="left"/>
      <w:lvlText w:val="%1."/>
      <w:numFmt w:val="decimal"/>
      <w:start w:val="16"/>
    </w:lvl>
  </w:abstractNum>
  <w:abstractNum w:abstractNumId="214">
    <w:nsid w:val="4E556261"/>
    <w:multiLevelType w:val="hybridMultilevel"/>
    <w:lvl w:ilvl="0">
      <w:lvlJc w:val="left"/>
      <w:lvlText w:val="%1."/>
      <w:numFmt w:val="decimal"/>
      <w:start w:val="17"/>
    </w:lvl>
  </w:abstractNum>
  <w:abstractNum w:abstractNumId="215">
    <w:nsid w:val="4C672FC9"/>
    <w:multiLevelType w:val="hybridMultilevel"/>
    <w:lvl w:ilvl="0">
      <w:lvlJc w:val="left"/>
      <w:lvlText w:val="(%1)"/>
      <w:numFmt w:val="lowerLetter"/>
      <w:start w:val="1"/>
    </w:lvl>
  </w:abstractNum>
  <w:abstractNum w:abstractNumId="216">
    <w:nsid w:val="52A311C3"/>
    <w:multiLevelType w:val="hybridMultilevel"/>
    <w:lvl w:ilvl="0">
      <w:lvlJc w:val="left"/>
      <w:lvlText w:val="(%1)"/>
      <w:numFmt w:val="lowerLetter"/>
      <w:start w:val="10"/>
    </w:lvl>
  </w:abstractNum>
  <w:abstractNum w:abstractNumId="217">
    <w:nsid w:val="44EF6B80"/>
    <w:multiLevelType w:val="hybridMultilevel"/>
    <w:lvl w:ilvl="0">
      <w:lvlJc w:val="left"/>
      <w:lvlText w:val="%1."/>
      <w:numFmt w:val="decimal"/>
      <w:start w:val="18"/>
    </w:lvl>
  </w:abstractNum>
  <w:abstractNum w:abstractNumId="218">
    <w:nsid w:val="12FCDE5E"/>
    <w:multiLevelType w:val="hybridMultilevel"/>
    <w:lvl w:ilvl="0">
      <w:lvlJc w:val="left"/>
      <w:lvlText w:val="%1."/>
      <w:numFmt w:val="decimal"/>
      <w:start w:val="21"/>
    </w:lvl>
  </w:abstractNum>
  <w:abstractNum w:abstractNumId="219">
    <w:nsid w:val="4A1D606E"/>
    <w:multiLevelType w:val="hybridMultilevel"/>
    <w:lvl w:ilvl="0">
      <w:lvlJc w:val="left"/>
      <w:lvlText w:val="%1."/>
      <w:numFmt w:val="decimal"/>
      <w:start w:val="1"/>
    </w:lvl>
  </w:abstractNum>
  <w:abstractNum w:abstractNumId="220">
    <w:nsid w:val="4382503"/>
    <w:multiLevelType w:val="hybridMultilevel"/>
    <w:lvl w:ilvl="0">
      <w:lvlJc w:val="left"/>
      <w:lvlText w:val="%1."/>
      <w:numFmt w:val="decimal"/>
      <w:start w:val="6"/>
    </w:lvl>
  </w:abstractNum>
  <w:abstractNum w:abstractNumId="221">
    <w:nsid w:val="59B76E28"/>
    <w:multiLevelType w:val="hybridMultilevel"/>
    <w:lvl w:ilvl="0">
      <w:lvlJc w:val="left"/>
      <w:lvlText w:val="(%1)"/>
      <w:numFmt w:val="lowerLetter"/>
      <w:start w:val="1"/>
    </w:lvl>
  </w:abstractNum>
  <w:abstractNum w:abstractNumId="222">
    <w:nsid w:val="4252C2DA"/>
    <w:multiLevelType w:val="hybridMultilevel"/>
    <w:lvl w:ilvl="0">
      <w:lvlJc w:val="left"/>
      <w:lvlText w:val="(%1)"/>
      <w:numFmt w:val="lowerLetter"/>
      <w:start w:val="3"/>
    </w:lvl>
  </w:abstractNum>
  <w:abstractNum w:abstractNumId="223">
    <w:nsid w:val="6A92EF4C"/>
    <w:multiLevelType w:val="hybridMultilevel"/>
    <w:lvl w:ilvl="0">
      <w:lvlJc w:val="left"/>
      <w:lvlText w:val="%1."/>
      <w:numFmt w:val="decimal"/>
      <w:start w:val="8"/>
    </w:lvl>
  </w:abstractNum>
  <w:abstractNum w:abstractNumId="224">
    <w:nsid w:val="41ED20D7"/>
    <w:multiLevelType w:val="hybridMultilevel"/>
    <w:lvl w:ilvl="0">
      <w:lvlJc w:val="left"/>
      <w:lvlText w:val="(%1)"/>
      <w:numFmt w:val="lowerLetter"/>
      <w:start w:val="1"/>
    </w:lvl>
  </w:abstractNum>
  <w:abstractNum w:abstractNumId="225">
    <w:nsid w:val="E6B3F6A"/>
    <w:multiLevelType w:val="hybridMultilevel"/>
    <w:lvl w:ilvl="0">
      <w:lvlJc w:val="left"/>
      <w:lvlText w:val="%1"/>
      <w:numFmt w:val="decimal"/>
      <w:start w:val="1"/>
    </w:lvl>
    <w:lvl w:ilvl="1">
      <w:lvlJc w:val="left"/>
      <w:lvlText w:val="(%2)"/>
      <w:numFmt w:val="lowerLetter"/>
      <w:start w:val="3"/>
    </w:lvl>
  </w:abstractNum>
  <w:abstractNum w:abstractNumId="226">
    <w:nsid w:val="3EB21819"/>
    <w:multiLevelType w:val="hybridMultilevel"/>
    <w:lvl w:ilvl="0">
      <w:lvlJc w:val="left"/>
      <w:lvlText w:val="(%1)"/>
      <w:numFmt w:val="decimal"/>
      <w:start w:val="4"/>
    </w:lvl>
    <w:lvl w:ilvl="1">
      <w:lvlJc w:val="left"/>
      <w:lvlText w:val="%2"/>
      <w:numFmt w:val="lowerLetter"/>
      <w:start w:val="1"/>
    </w:lvl>
  </w:abstractNum>
  <w:abstractNum w:abstractNumId="227">
    <w:nsid w:val="41531DED"/>
    <w:multiLevelType w:val="hybridMultilevel"/>
    <w:lvl w:ilvl="0">
      <w:lvlJc w:val="left"/>
      <w:lvlText w:val="(%1)"/>
      <w:numFmt w:val="lowerLetter"/>
      <w:start w:val="9"/>
    </w:lvl>
    <w:lvl w:ilvl="1">
      <w:lvlJc w:val="left"/>
      <w:lvlText w:val="(%2)"/>
      <w:numFmt w:val="lowerRoman"/>
      <w:start w:val="1"/>
    </w:lvl>
  </w:abstractNum>
  <w:abstractNum w:abstractNumId="228">
    <w:nsid w:val="6353CD2"/>
    <w:multiLevelType w:val="hybridMultilevel"/>
    <w:lvl w:ilvl="0">
      <w:lvlJc w:val="left"/>
      <w:lvlText w:val="(%1)"/>
      <w:numFmt w:val="lowerLetter"/>
      <w:start w:val="11"/>
    </w:lvl>
  </w:abstractNum>
  <w:abstractNum w:abstractNumId="229">
    <w:nsid w:val="683CAAD3"/>
    <w:multiLevelType w:val="hybridMultilevel"/>
    <w:lvl w:ilvl="0">
      <w:lvlJc w:val="left"/>
      <w:lvlText w:val="%1."/>
      <w:numFmt w:val="decimal"/>
      <w:start w:val="9"/>
    </w:lvl>
  </w:abstractNum>
  <w:abstractNum w:abstractNumId="230">
    <w:nsid w:val="313C7C99"/>
    <w:multiLevelType w:val="hybridMultilevel"/>
    <w:lvl w:ilvl="0">
      <w:lvlJc w:val="left"/>
      <w:lvlText w:val="%1"/>
      <w:numFmt w:val="lowerRoman"/>
      <w:start w:val="1"/>
    </w:lvl>
    <w:lvl w:ilvl="1">
      <w:lvlJc w:val="left"/>
      <w:lvlText w:val="%2."/>
      <w:numFmt w:val="decimal"/>
      <w:start w:val="11"/>
    </w:lvl>
  </w:abstractNum>
  <w:abstractNum w:abstractNumId="231">
    <w:nsid w:val="519EB94C"/>
    <w:multiLevelType w:val="hybridMultilevel"/>
    <w:lvl w:ilvl="0">
      <w:lvlJc w:val="left"/>
      <w:lvlText w:val="(%1)"/>
      <w:numFmt w:val="lowerRoman"/>
      <w:start w:val="1"/>
    </w:lvl>
    <w:lvl w:ilvl="1">
      <w:lvlJc w:val="left"/>
      <w:lvlText w:val="%2."/>
      <w:numFmt w:val="decimal"/>
      <w:start w:val="13"/>
    </w:lvl>
  </w:abstractNum>
  <w:abstractNum w:abstractNumId="232">
    <w:nsid w:val="39DF2579"/>
    <w:multiLevelType w:val="hybridMultilevel"/>
    <w:lvl w:ilvl="0">
      <w:lvlJc w:val="left"/>
      <w:lvlText w:val="(%1)"/>
      <w:numFmt w:val="lowerLetter"/>
      <w:start w:val="1"/>
    </w:lvl>
  </w:abstractNum>
  <w:abstractNum w:abstractNumId="233">
    <w:nsid w:val="126E008B"/>
    <w:multiLevelType w:val="hybridMultilevel"/>
    <w:lvl w:ilvl="0">
      <w:lvlJc w:val="left"/>
      <w:lvlText w:val="(%1)"/>
      <w:numFmt w:val="lowerLetter"/>
      <w:start w:val="2"/>
    </w:lvl>
  </w:abstractNum>
  <w:abstractNum w:abstractNumId="234">
    <w:nsid w:val="34DFBC00"/>
    <w:multiLevelType w:val="hybridMultilevel"/>
    <w:lvl w:ilvl="0">
      <w:lvlJc w:val="left"/>
      <w:lvlText w:val="%1."/>
      <w:numFmt w:val="decimal"/>
      <w:start w:val="14"/>
    </w:lvl>
  </w:abstractNum>
  <w:abstractNum w:abstractNumId="235">
    <w:nsid w:val="1F9EC322"/>
    <w:multiLevelType w:val="hybridMultilevel"/>
    <w:lvl w:ilvl="0">
      <w:lvlJc w:val="left"/>
      <w:lvlText w:val="%1."/>
      <w:numFmt w:val="decimal"/>
      <w:start w:val="15"/>
    </w:lvl>
  </w:abstractNum>
  <w:abstractNum w:abstractNumId="236">
    <w:nsid w:val="3410ED56"/>
    <w:multiLevelType w:val="hybridMultilevel"/>
    <w:lvl w:ilvl="0">
      <w:lvlJc w:val="left"/>
      <w:lvlText w:val="(%1)"/>
      <w:numFmt w:val="lowerLetter"/>
      <w:start w:val="1"/>
    </w:lvl>
  </w:abstractNum>
  <w:abstractNum w:abstractNumId="237">
    <w:nsid w:val="23C049A"/>
    <w:multiLevelType w:val="hybridMultilevel"/>
    <w:lvl w:ilvl="0">
      <w:lvlJc w:val="left"/>
      <w:lvlText w:val="(%1)"/>
      <w:numFmt w:val="lowerLetter"/>
      <w:start w:val="3"/>
    </w:lvl>
  </w:abstractNum>
  <w:abstractNum w:abstractNumId="238">
    <w:nsid w:val="5BDA35D4"/>
    <w:multiLevelType w:val="hybridMultilevel"/>
    <w:lvl w:ilvl="0">
      <w:lvlJc w:val="left"/>
      <w:lvlText w:val="%1."/>
      <w:numFmt w:val="decimal"/>
      <w:start w:val="18"/>
    </w:lvl>
  </w:abstractNum>
  <w:abstractNum w:abstractNumId="239">
    <w:nsid w:val="496FB218"/>
    <w:multiLevelType w:val="hybridMultilevel"/>
    <w:lvl w:ilvl="0">
      <w:lvlJc w:val="left"/>
      <w:lvlText w:val="(%1)"/>
      <w:numFmt w:val="lowerLetter"/>
      <w:start w:val="1"/>
    </w:lvl>
  </w:abstractNum>
  <w:abstractNum w:abstractNumId="240">
    <w:nsid w:val="680EA5D1"/>
    <w:multiLevelType w:val="hybridMultilevel"/>
    <w:lvl w:ilvl="0">
      <w:lvlJc w:val="left"/>
      <w:lvlText w:val="(%1)"/>
      <w:numFmt w:val="lowerLetter"/>
      <w:start w:val="3"/>
    </w:lvl>
  </w:abstractNum>
  <w:abstractNum w:abstractNumId="241">
    <w:nsid w:val="4A9554FE"/>
    <w:multiLevelType w:val="hybridMultilevel"/>
    <w:lvl w:ilvl="0">
      <w:lvlJc w:val="left"/>
      <w:lvlText w:val="(%1)"/>
      <w:numFmt w:val="lowerLetter"/>
      <w:start w:val="12"/>
    </w:lvl>
  </w:abstractNum>
  <w:abstractNum w:abstractNumId="242">
    <w:nsid w:val="392EDBE4"/>
    <w:multiLevelType w:val="hybridMultilevel"/>
    <w:lvl w:ilvl="0">
      <w:lvlJc w:val="left"/>
      <w:lvlText w:val="%1."/>
      <w:numFmt w:val="decimal"/>
      <w:start w:val="20"/>
    </w:lvl>
  </w:abstractNum>
  <w:abstractNum w:abstractNumId="243">
    <w:nsid w:val="3D1A2DD9"/>
    <w:multiLevelType w:val="hybridMultilevel"/>
    <w:lvl w:ilvl="0">
      <w:lvlJc w:val="left"/>
      <w:lvlText w:val="%1."/>
      <w:numFmt w:val="decimal"/>
      <w:start w:val="1"/>
    </w:lvl>
  </w:abstractNum>
  <w:abstractNum w:abstractNumId="244">
    <w:nsid w:val="7F618FCD"/>
    <w:multiLevelType w:val="hybridMultilevel"/>
    <w:lvl w:ilvl="0">
      <w:lvlJc w:val="left"/>
      <w:lvlText w:val="%1."/>
      <w:numFmt w:val="decimal"/>
      <w:start w:val="6"/>
    </w:lvl>
  </w:abstractNum>
  <w:abstractNum w:abstractNumId="245">
    <w:nsid w:val="7843E45"/>
    <w:multiLevelType w:val="hybridMultilevel"/>
    <w:lvl w:ilvl="0">
      <w:lvlJc w:val="left"/>
      <w:lvlText w:val="(%1)"/>
      <w:numFmt w:val="lowerLetter"/>
      <w:start w:val="1"/>
    </w:lvl>
  </w:abstractNum>
  <w:abstractNum w:abstractNumId="246">
    <w:nsid w:val="9815DA3"/>
    <w:multiLevelType w:val="hybridMultilevel"/>
    <w:lvl w:ilvl="0">
      <w:lvlJc w:val="left"/>
      <w:lvlText w:val="%1."/>
      <w:numFmt w:val="decimal"/>
      <w:start w:val="9"/>
    </w:lvl>
  </w:abstractNum>
  <w:abstractNum w:abstractNumId="247">
    <w:nsid w:val="5204A191"/>
    <w:multiLevelType w:val="hybridMultilevel"/>
    <w:lvl w:ilvl="0">
      <w:lvlJc w:val="left"/>
      <w:lvlText w:val="(%1)"/>
      <w:numFmt w:val="lowerLetter"/>
      <w:start w:val="1"/>
    </w:lvl>
  </w:abstractNum>
  <w:abstractNum w:abstractNumId="248">
    <w:nsid w:val="4C73A9C6"/>
    <w:multiLevelType w:val="hybridMultilevel"/>
    <w:lvl w:ilvl="0">
      <w:lvlJc w:val="left"/>
      <w:lvlText w:val="(%1)"/>
      <w:numFmt w:val="lowerLetter"/>
      <w:start w:val="5"/>
    </w:lvl>
  </w:abstractNum>
  <w:abstractNum w:abstractNumId="249">
    <w:nsid w:val="1C7E3C01"/>
    <w:multiLevelType w:val="hybridMultilevel"/>
    <w:lvl w:ilvl="0">
      <w:lvlJc w:val="left"/>
      <w:lvlText w:val="%1."/>
      <w:numFmt w:val="decimal"/>
      <w:start w:val="10"/>
    </w:lvl>
  </w:abstractNum>
  <w:abstractNum w:abstractNumId="250">
    <w:nsid w:val="1C2201FF"/>
    <w:multiLevelType w:val="hybridMultilevel"/>
    <w:lvl w:ilvl="0">
      <w:lvlJc w:val="left"/>
      <w:lvlText w:val="%1"/>
      <w:numFmt w:val="lowerRoman"/>
      <w:start w:val="1"/>
    </w:lvl>
    <w:lvl w:ilvl="1">
      <w:lvlJc w:val="left"/>
      <w:lvlText w:val="(%2)"/>
      <w:numFmt w:val="lowerLetter"/>
      <w:start w:val="1"/>
    </w:lvl>
  </w:abstractNum>
  <w:abstractNum w:abstractNumId="251">
    <w:nsid w:val="50ABCEC9"/>
    <w:multiLevelType w:val="hybridMultilevel"/>
    <w:lvl w:ilvl="0">
      <w:lvlJc w:val="left"/>
      <w:lvlText w:val="(%1)"/>
      <w:numFmt w:val="lowerRoman"/>
      <w:start w:val="1"/>
    </w:lvl>
    <w:lvl w:ilvl="1">
      <w:lvlJc w:val="left"/>
      <w:lvlText w:val="%2"/>
      <w:numFmt w:val="lowerLetter"/>
      <w:start w:val="1"/>
    </w:lvl>
  </w:abstractNum>
  <w:abstractNum w:abstractNumId="252">
    <w:nsid w:val="7635AA2A"/>
    <w:multiLevelType w:val="hybridMultilevel"/>
    <w:lvl w:ilvl="0">
      <w:lvlJc w:val="left"/>
      <w:lvlText w:val="(%1)"/>
      <w:numFmt w:val="lowerRoman"/>
      <w:start w:val="3"/>
    </w:lvl>
  </w:abstractNum>
  <w:abstractNum w:abstractNumId="253">
    <w:nsid w:val="5E74C4D9"/>
    <w:multiLevelType w:val="hybridMultilevel"/>
    <w:lvl w:ilvl="0">
      <w:lvlJc w:val="left"/>
      <w:lvlText w:val="%1."/>
      <w:numFmt w:val="decimal"/>
      <w:start w:val="13"/>
    </w:lvl>
  </w:abstractNum>
  <w:abstractNum w:abstractNumId="254">
    <w:nsid w:val="3B3EBE15"/>
    <w:multiLevelType w:val="hybridMultilevel"/>
    <w:lvl w:ilvl="0">
      <w:lvlJc w:val="left"/>
      <w:lvlText w:val="%1"/>
      <w:numFmt w:val="lowerRoman"/>
      <w:start w:val="1"/>
    </w:lvl>
    <w:lvl w:ilvl="1">
      <w:lvlJc w:val="left"/>
      <w:lvlText w:val="(%2)"/>
      <w:numFmt w:val="lowerLetter"/>
      <w:start w:val="1"/>
    </w:lvl>
  </w:abstractNum>
  <w:abstractNum w:abstractNumId="255">
    <w:nsid w:val="3822CB01"/>
    <w:multiLevelType w:val="hybridMultilevel"/>
    <w:lvl w:ilvl="0">
      <w:lvlJc w:val="left"/>
      <w:lvlText w:val="(%1)"/>
      <w:numFmt w:val="lowerRoman"/>
      <w:start w:val="1"/>
    </w:lvl>
    <w:lvl w:ilvl="1">
      <w:lvlJc w:val="left"/>
      <w:lvlText w:val="%2"/>
      <w:numFmt w:val="lowerLetter"/>
      <w:start w:val="1"/>
    </w:lvl>
  </w:abstractNum>
  <w:abstractNum w:abstractNumId="256">
    <w:nsid w:val="6CE00443"/>
    <w:multiLevelType w:val="hybridMultilevel"/>
    <w:lvl w:ilvl="0">
      <w:lvlJc w:val="left"/>
      <w:lvlText w:val="%1."/>
      <w:numFmt w:val="decimal"/>
      <w:start w:val="1"/>
    </w:lvl>
  </w:abstractNum>
  <w:abstractNum w:abstractNumId="257">
    <w:nsid w:val="79F0D62F"/>
    <w:multiLevelType w:val="hybridMultilevel"/>
    <w:lvl w:ilvl="0">
      <w:lvlJc w:val="left"/>
      <w:lvlText w:val="%1."/>
      <w:numFmt w:val="decimal"/>
      <w:start w:val="2"/>
    </w:lvl>
  </w:abstractNum>
  <w:abstractNum w:abstractNumId="258">
    <w:nsid w:val="7975E8EE"/>
    <w:multiLevelType w:val="hybridMultilevel"/>
    <w:lvl w:ilvl="0">
      <w:lvlJc w:val="left"/>
      <w:lvlText w:val="%1."/>
      <w:numFmt w:val="decimal"/>
      <w:start w:val="6"/>
    </w:lvl>
  </w:abstractNum>
  <w:abstractNum w:abstractNumId="259">
    <w:nsid w:val="73154115"/>
    <w:multiLevelType w:val="hybridMultilevel"/>
    <w:lvl w:ilvl="0">
      <w:lvlJc w:val="left"/>
      <w:lvlText w:val="(%1)"/>
      <w:numFmt w:val="lowerLetter"/>
      <w:start w:val="1"/>
    </w:lvl>
  </w:abstractNum>
  <w:abstractNum w:abstractNumId="260">
    <w:nsid w:val="622D8102"/>
    <w:multiLevelType w:val="hybridMultilevel"/>
    <w:lvl w:ilvl="0">
      <w:lvlJc w:val="left"/>
      <w:lvlText w:val="%1"/>
      <w:numFmt w:val="lowerRoman"/>
      <w:start w:val="1"/>
    </w:lvl>
    <w:lvl w:ilvl="1">
      <w:lvlJc w:val="left"/>
      <w:lvlText w:val="(%2)"/>
      <w:numFmt w:val="lowerLetter"/>
      <w:start w:val="2"/>
    </w:lvl>
  </w:abstractNum>
  <w:abstractNum w:abstractNumId="261">
    <w:nsid w:val="2AB26587"/>
    <w:multiLevelType w:val="hybridMultilevel"/>
    <w:lvl w:ilvl="0">
      <w:lvlJc w:val="left"/>
      <w:lvlText w:val="(%1)"/>
      <w:numFmt w:val="lowerRoman"/>
      <w:start w:val="4"/>
    </w:lvl>
    <w:lvl w:ilvl="1">
      <w:lvlJc w:val="left"/>
      <w:lvlText w:val="%2"/>
      <w:numFmt w:val="lowerLetter"/>
      <w:start w:val="1"/>
    </w:lvl>
  </w:abstractNum>
  <w:abstractNum w:abstractNumId="262">
    <w:nsid w:val="44B3FA61"/>
    <w:multiLevelType w:val="hybridMultilevel"/>
    <w:lvl w:ilvl="0">
      <w:lvlJc w:val="left"/>
      <w:lvlText w:val="%1."/>
      <w:numFmt w:val="decimal"/>
      <w:start w:val="9"/>
    </w:lvl>
    <w:lvl w:ilvl="1">
      <w:lvlJc w:val="left"/>
      <w:lvlText w:val="(%2)"/>
      <w:numFmt w:val="lowerLetter"/>
      <w:start w:val="1"/>
    </w:lvl>
  </w:abstractNum>
  <w:abstractNum w:abstractNumId="263">
    <w:nsid w:val="1C0CA67C"/>
    <w:multiLevelType w:val="hybridMultilevel"/>
    <w:lvl w:ilvl="0">
      <w:lvlJc w:val="left"/>
      <w:lvlText w:val="(%1)"/>
      <w:numFmt w:val="lowerLetter"/>
      <w:start w:val="5"/>
    </w:lvl>
  </w:abstractNum>
  <w:abstractNum w:abstractNumId="264">
    <w:nsid w:val="3D206613"/>
    <w:multiLevelType w:val="hybridMultilevel"/>
    <w:lvl w:ilvl="0">
      <w:lvlJc w:val="left"/>
      <w:lvlText w:val="%1."/>
      <w:numFmt w:val="decimal"/>
      <w:start w:val="10"/>
    </w:lvl>
  </w:abstractNum>
  <w:abstractNum w:abstractNumId="265">
    <w:nsid w:val="7993B662"/>
    <w:multiLevelType w:val="hybridMultilevel"/>
    <w:lvl w:ilvl="0">
      <w:lvlJc w:val="left"/>
      <w:lvlText w:val="(%1)"/>
      <w:numFmt w:val="lowerLetter"/>
      <w:start w:val="1"/>
    </w:lvl>
  </w:abstractNum>
  <w:abstractNum w:abstractNumId="266">
    <w:nsid w:val="3BAB699E"/>
    <w:multiLevelType w:val="hybridMultilevel"/>
    <w:lvl w:ilvl="0">
      <w:lvlJc w:val="left"/>
      <w:lvlText w:val="(%1)"/>
      <w:numFmt w:val="lowerRoman"/>
      <w:start w:val="1"/>
    </w:lvl>
  </w:abstractNum>
  <w:abstractNum w:abstractNumId="267">
    <w:nsid w:val="71315369"/>
    <w:multiLevelType w:val="hybridMultilevel"/>
    <w:lvl w:ilvl="0">
      <w:lvlJc w:val="left"/>
      <w:lvlText w:val="(%1)"/>
      <w:numFmt w:val="lowerRoman"/>
      <w:start w:val="2"/>
    </w:lvl>
  </w:abstractNum>
  <w:abstractNum w:abstractNumId="268">
    <w:nsid w:val="7BCFBAFC"/>
    <w:multiLevelType w:val="hybridMultilevel"/>
    <w:lvl w:ilvl="0">
      <w:lvlJc w:val="left"/>
      <w:lvlText w:val="%1."/>
      <w:numFmt w:val="decimal"/>
      <w:start w:val="13"/>
    </w:lvl>
  </w:abstractNum>
  <w:abstractNum w:abstractNumId="269">
    <w:nsid w:val="17859F72"/>
    <w:multiLevelType w:val="hybridMultilevel"/>
    <w:lvl w:ilvl="0">
      <w:lvlJc w:val="left"/>
      <w:lvlText w:val="%1"/>
      <w:numFmt w:val="lowerRoman"/>
      <w:start w:val="1"/>
    </w:lvl>
    <w:lvl w:ilvl="1">
      <w:lvlJc w:val="left"/>
      <w:lvlText w:val="(%2)"/>
      <w:numFmt w:val="lowerLetter"/>
      <w:start w:val="1"/>
    </w:lvl>
  </w:abstractNum>
  <w:abstractNum w:abstractNumId="270">
    <w:nsid w:val="3AA10581"/>
    <w:multiLevelType w:val="hybridMultilevel"/>
    <w:lvl w:ilvl="0">
      <w:lvlJc w:val="left"/>
      <w:lvlText w:val="(%1)"/>
      <w:numFmt w:val="lowerRoman"/>
      <w:start w:val="1"/>
    </w:lvl>
    <w:lvl w:ilvl="1">
      <w:lvlJc w:val="left"/>
      <w:lvlText w:val="%2"/>
      <w:numFmt w:val="lowerLetter"/>
      <w:start w:val="1"/>
    </w:lvl>
  </w:abstractNum>
  <w:abstractNum w:abstractNumId="271">
    <w:nsid w:val="63DE60CD"/>
    <w:multiLevelType w:val="hybridMultilevel"/>
    <w:lvl w:ilvl="0">
      <w:lvlJc w:val="left"/>
      <w:lvlText w:val="(%1)"/>
      <w:numFmt w:val="lowerRoman"/>
      <w:start w:val="3"/>
    </w:lvl>
  </w:abstractNum>
  <w:abstractNum w:abstractNumId="272">
    <w:nsid w:val="621AF471"/>
    <w:multiLevelType w:val="hybridMultilevel"/>
    <w:lvl w:ilvl="0">
      <w:lvlJc w:val="left"/>
      <w:lvlText w:val="%1."/>
      <w:numFmt w:val="decimal"/>
      <w:start w:val="1"/>
    </w:lvl>
  </w:abstractNum>
  <w:abstractNum w:abstractNumId="273">
    <w:nsid w:val="73CFE165"/>
    <w:multiLevelType w:val="hybridMultilevel"/>
    <w:lvl w:ilvl="0">
      <w:lvlJc w:val="left"/>
      <w:lvlText w:val="%1."/>
      <w:numFmt w:val="decimal"/>
      <w:start w:val="2"/>
    </w:lvl>
  </w:abstractNum>
  <w:abstractNum w:abstractNumId="274">
    <w:nsid w:val="20F88EA6"/>
    <w:multiLevelType w:val="hybridMultilevel"/>
    <w:lvl w:ilvl="0">
      <w:lvlJc w:val="left"/>
      <w:lvlText w:val="%1."/>
      <w:numFmt w:val="decimal"/>
      <w:start w:val="6"/>
    </w:lvl>
  </w:abstractNum>
  <w:abstractNum w:abstractNumId="275">
    <w:nsid w:val="617C843E"/>
    <w:multiLevelType w:val="hybridMultilevel"/>
    <w:lvl w:ilvl="0">
      <w:lvlJc w:val="left"/>
      <w:lvlText w:val="%1"/>
      <w:numFmt w:val="lowerRoman"/>
      <w:start w:val="1"/>
    </w:lvl>
    <w:lvl w:ilvl="1">
      <w:lvlJc w:val="left"/>
      <w:lvlText w:val="(%2)"/>
      <w:numFmt w:val="lowerLetter"/>
      <w:start w:val="1"/>
    </w:lvl>
  </w:abstractNum>
  <w:abstractNum w:abstractNumId="276">
    <w:nsid w:val="7B541FAB"/>
    <w:multiLevelType w:val="hybridMultilevel"/>
    <w:lvl w:ilvl="0">
      <w:lvlJc w:val="left"/>
      <w:lvlText w:val="(%1)"/>
      <w:numFmt w:val="lowerRoman"/>
      <w:start w:val="4"/>
    </w:lvl>
    <w:lvl w:ilvl="1">
      <w:lvlJc w:val="left"/>
      <w:lvlText w:val="%2"/>
      <w:numFmt w:val="lowerLetter"/>
      <w:start w:val="1"/>
    </w:lvl>
  </w:abstractNum>
  <w:abstractNum w:abstractNumId="277">
    <w:nsid w:val="2A79EC49"/>
    <w:multiLevelType w:val="hybridMultilevel"/>
    <w:lvl w:ilvl="0">
      <w:lvlJc w:val="left"/>
      <w:lvlText w:val="%1."/>
      <w:numFmt w:val="decimal"/>
      <w:start w:val="9"/>
    </w:lvl>
  </w:abstractNum>
  <w:abstractNum w:abstractNumId="278">
    <w:nsid w:val="338125CF"/>
    <w:multiLevelType w:val="hybridMultilevel"/>
    <w:lvl w:ilvl="0">
      <w:lvlJc w:val="left"/>
      <w:lvlText w:val="(%1)"/>
      <w:numFmt w:val="lowerLetter"/>
      <w:start w:val="1"/>
    </w:lvl>
  </w:abstractNum>
  <w:abstractNum w:abstractNumId="279">
    <w:nsid w:val="47C7C97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0">
    <w:nsid w:val="46F8284B"/>
    <w:multiLevelType w:val="hybridMultilevel"/>
    <w:lvl w:ilvl="0">
      <w:lvlJc w:val="left"/>
      <w:lvlText w:val="(%1)"/>
      <w:numFmt w:val="decimal"/>
      <w:start w:val="4"/>
    </w:lvl>
    <w:lvl w:ilvl="1">
      <w:lvlJc w:val="left"/>
      <w:lvlText w:val="(%2)"/>
      <w:numFmt w:val="lowerLetter"/>
      <w:start w:val="9"/>
    </w:lvl>
    <w:lvl w:ilvl="2">
      <w:lvlJc w:val="left"/>
      <w:lvlText w:val="(%3)"/>
      <w:numFmt w:val="lowerRoman"/>
      <w:start w:val="1"/>
    </w:lvl>
  </w:abstractNum>
  <w:abstractNum w:abstractNumId="281">
    <w:nsid w:val="4FA327CE"/>
    <w:multiLevelType w:val="hybridMultilevel"/>
    <w:lvl w:ilvl="0">
      <w:lvlJc w:val="left"/>
      <w:lvlText w:val="(%1)"/>
      <w:numFmt w:val="lowerRoman"/>
      <w:start w:val="2"/>
    </w:lvl>
  </w:abstractNum>
  <w:abstractNum w:abstractNumId="282">
    <w:nsid w:val="1873983A"/>
    <w:multiLevelType w:val="hybridMultilevel"/>
    <w:lvl w:ilvl="0">
      <w:lvlJc w:val="left"/>
      <w:lvlText w:val="%1."/>
      <w:numFmt w:val="decimal"/>
      <w:start w:val="10"/>
    </w:lvl>
  </w:abstractNum>
  <w:abstractNum w:abstractNumId="283">
    <w:nsid w:val="3D2DD275"/>
    <w:multiLevelType w:val="hybridMultilevel"/>
    <w:lvl w:ilvl="0">
      <w:lvlJc w:val="left"/>
      <w:lvlText w:val="%1."/>
      <w:numFmt w:val="decimal"/>
      <w:start w:val="11"/>
    </w:lvl>
  </w:abstractNum>
  <w:abstractNum w:abstractNumId="284">
    <w:nsid w:val="2E17ECA7"/>
    <w:multiLevelType w:val="hybridMultilevel"/>
    <w:lvl w:ilvl="0">
      <w:lvlJc w:val="left"/>
      <w:lvlText w:val="%1"/>
      <w:numFmt w:val="lowerRoman"/>
      <w:start w:val="1"/>
    </w:lvl>
    <w:lvl w:ilvl="1">
      <w:lvlJc w:val="left"/>
      <w:lvlText w:val="%2."/>
      <w:numFmt w:val="decimal"/>
      <w:start w:val="12"/>
    </w:lvl>
  </w:abstractNum>
  <w:abstractNum w:abstractNumId="285">
    <w:nsid w:val="53B2564F"/>
    <w:multiLevelType w:val="hybridMultilevel"/>
    <w:lvl w:ilvl="0">
      <w:lvlJc w:val="left"/>
      <w:lvlText w:val="(%1)"/>
      <w:numFmt w:val="lowerRoman"/>
      <w:start w:val="1"/>
    </w:lvl>
    <w:lvl w:ilvl="1">
      <w:lvlJc w:val="left"/>
      <w:lvlText w:val="%2."/>
      <w:numFmt w:val="decimal"/>
      <w:start w:val="14"/>
    </w:lvl>
  </w:abstractNum>
  <w:abstractNum w:abstractNumId="286">
    <w:nsid w:val="75509D76"/>
    <w:multiLevelType w:val="hybridMultilevel"/>
    <w:lvl w:ilvl="0">
      <w:lvlJc w:val="left"/>
      <w:lvlText w:val="(%1)"/>
      <w:numFmt w:val="lowerLetter"/>
      <w:start w:val="1"/>
    </w:lvl>
  </w:abstractNum>
  <w:abstractNum w:abstractNumId="287">
    <w:nsid w:val="1AF7F0EA"/>
    <w:multiLevelType w:val="hybridMultilevel"/>
    <w:lvl w:ilvl="0">
      <w:lvlJc w:val="left"/>
      <w:lvlText w:val="(%1)"/>
      <w:numFmt w:val="lowerLetter"/>
      <w:start w:val="2"/>
    </w:lvl>
  </w:abstractNum>
  <w:abstractNum w:abstractNumId="288">
    <w:nsid w:val="4DA32C7E"/>
    <w:multiLevelType w:val="hybridMultilevel"/>
    <w:lvl w:ilvl="0">
      <w:lvlJc w:val="left"/>
      <w:lvlText w:val="%1."/>
      <w:numFmt w:val="decimal"/>
      <w:start w:val="15"/>
    </w:lvl>
  </w:abstractNum>
  <w:abstractNum w:abstractNumId="289">
    <w:nsid w:val="6EC68664"/>
    <w:multiLevelType w:val="hybridMultilevel"/>
    <w:lvl w:ilvl="0">
      <w:lvlJc w:val="left"/>
      <w:lvlText w:val="(%1)"/>
      <w:numFmt w:val="lowerLetter"/>
      <w:start w:val="1"/>
    </w:lvl>
  </w:abstractNum>
  <w:abstractNum w:abstractNumId="290">
    <w:nsid w:val="E0D31FF"/>
    <w:multiLevelType w:val="hybridMultilevel"/>
    <w:lvl w:ilvl="0">
      <w:lvlJc w:val="left"/>
      <w:lvlText w:val="(%1)"/>
      <w:numFmt w:val="lowerLetter"/>
      <w:start w:val="3"/>
    </w:lvl>
  </w:abstractNum>
  <w:abstractNum w:abstractNumId="291">
    <w:nsid w:val="2FD0AD81"/>
    <w:multiLevelType w:val="hybridMultilevel"/>
    <w:lvl w:ilvl="0">
      <w:lvlJc w:val="left"/>
      <w:lvlText w:val="%1."/>
      <w:numFmt w:val="decimal"/>
      <w:start w:val="16"/>
    </w:lvl>
  </w:abstractNum>
  <w:abstractNum w:abstractNumId="292">
    <w:nsid w:val="1978EBEB"/>
    <w:multiLevelType w:val="hybridMultilevel"/>
    <w:lvl w:ilvl="0">
      <w:lvlJc w:val="left"/>
      <w:lvlText w:val="%1."/>
      <w:numFmt w:val="decimal"/>
      <w:start w:val="17"/>
    </w:lvl>
  </w:abstractNum>
  <w:abstractNum w:abstractNumId="293">
    <w:nsid w:val="52C12C61"/>
    <w:multiLevelType w:val="hybridMultilevel"/>
    <w:lvl w:ilvl="0">
      <w:lvlJc w:val="left"/>
      <w:lvlText w:val="(%1)"/>
      <w:numFmt w:val="lowerLetter"/>
      <w:start w:val="1"/>
    </w:lvl>
  </w:abstractNum>
  <w:abstractNum w:abstractNumId="294">
    <w:nsid w:val="4BDD53FD"/>
    <w:multiLevelType w:val="hybridMultilevel"/>
    <w:lvl w:ilvl="0">
      <w:lvlJc w:val="left"/>
      <w:lvlText w:val="(%1)"/>
      <w:numFmt w:val="lowerLetter"/>
      <w:start w:val="11"/>
    </w:lvl>
  </w:abstractNum>
  <w:abstractNum w:abstractNumId="295">
    <w:nsid w:val="569951FE"/>
    <w:multiLevelType w:val="hybridMultilevel"/>
    <w:lvl w:ilvl="0">
      <w:lvlJc w:val="left"/>
      <w:lvlText w:val="%1."/>
      <w:numFmt w:val="decimal"/>
      <w:start w:val="18"/>
    </w:lvl>
  </w:abstractNum>
  <w:abstractNum w:abstractNumId="296">
    <w:nsid w:val="4C54E2C3"/>
    <w:multiLevelType w:val="hybridMultilevel"/>
    <w:lvl w:ilvl="0">
      <w:lvlJc w:val="left"/>
      <w:lvlText w:val="%1."/>
      <w:numFmt w:val="decimal"/>
      <w:start w:val="22"/>
    </w:lvl>
  </w:abstractNum>
  <w:abstractNum w:abstractNumId="297">
    <w:nsid w:val="788BD9B"/>
    <w:multiLevelType w:val="hybridMultilevel"/>
    <w:lvl w:ilvl="0">
      <w:lvlJc w:val="left"/>
      <w:lvlText w:val="%1."/>
      <w:numFmt w:val="decimal"/>
      <w:start w:val="1"/>
    </w:lvl>
  </w:abstractNum>
  <w:abstractNum w:abstractNumId="298">
    <w:nsid w:val="47CAA567"/>
    <w:multiLevelType w:val="hybridMultilevel"/>
    <w:lvl w:ilvl="0">
      <w:lvlJc w:val="left"/>
      <w:lvlText w:val="(%1)"/>
      <w:numFmt w:val="lowerRoman"/>
      <w:start w:val="4"/>
    </w:lvl>
    <w:lvl w:ilvl="1">
      <w:lvlJc w:val="left"/>
      <w:lvlText w:val="%2."/>
      <w:numFmt w:val="decimal"/>
      <w:start w:val="6"/>
    </w:lvl>
  </w:abstractNum>
  <w:abstractNum w:abstractNumId="299">
    <w:nsid w:val="48249DBF"/>
    <w:multiLevelType w:val="hybridMultilevel"/>
    <w:lvl w:ilvl="0">
      <w:lvlJc w:val="left"/>
      <w:lvlText w:val="(%1)"/>
      <w:numFmt w:val="lowerLetter"/>
      <w:start w:val="1"/>
    </w:lvl>
  </w:abstractNum>
  <w:abstractNum w:abstractNumId="300">
    <w:nsid w:val="1F0E5D0D"/>
    <w:multiLevelType w:val="hybridMultilevel"/>
    <w:lvl w:ilvl="0">
      <w:lvlJc w:val="left"/>
      <w:lvlText w:val="%1"/>
      <w:numFmt w:val="decimal"/>
      <w:start w:val="1"/>
    </w:lvl>
    <w:lvl w:ilvl="1">
      <w:lvlJc w:val="left"/>
      <w:lvlText w:val="(%2)"/>
      <w:numFmt w:val="lowerLetter"/>
      <w:start w:val="3"/>
    </w:lvl>
  </w:abstractNum>
  <w:abstractNum w:abstractNumId="301">
    <w:nsid w:val="26BAAE9"/>
    <w:multiLevelType w:val="hybridMultilevel"/>
    <w:lvl w:ilvl="0">
      <w:lvlJc w:val="left"/>
      <w:lvlText w:val="%1."/>
      <w:numFmt w:val="decimal"/>
      <w:start w:val="8"/>
    </w:lvl>
    <w:lvl w:ilvl="1">
      <w:lvlJc w:val="left"/>
      <w:lvlText w:val="(%2)"/>
      <w:numFmt w:val="lowerLetter"/>
      <w:start w:val="1"/>
    </w:lvl>
  </w:abstractNum>
  <w:abstractNum w:abstractNumId="302">
    <w:nsid w:val="2C02FE8C"/>
    <w:multiLevelType w:val="hybridMultilevel"/>
    <w:lvl w:ilvl="0">
      <w:lvlJc w:val="left"/>
      <w:lvlText w:val="%1"/>
      <w:numFmt w:val="decimal"/>
      <w:start w:val="1"/>
    </w:lvl>
    <w:lvl w:ilvl="1">
      <w:lvlJc w:val="left"/>
      <w:lvlText w:val="(%2)"/>
      <w:numFmt w:val="lowerLetter"/>
      <w:start w:val="3"/>
    </w:lvl>
  </w:abstractNum>
  <w:abstractNum w:abstractNumId="303">
    <w:nsid w:val="129517E"/>
    <w:multiLevelType w:val="hybridMultilevel"/>
    <w:lvl w:ilvl="0">
      <w:lvlJc w:val="left"/>
      <w:lvlText w:val="(%1)"/>
      <w:numFmt w:val="decimal"/>
      <w:start w:val="4"/>
    </w:lvl>
    <w:lvl w:ilvl="1">
      <w:lvlJc w:val="left"/>
      <w:lvlText w:val="%2"/>
      <w:numFmt w:val="lowerLetter"/>
      <w:start w:val="1"/>
    </w:lvl>
  </w:abstractNum>
  <w:abstractNum w:abstractNumId="304">
    <w:nsid w:val="763B8C4E"/>
    <w:multiLevelType w:val="hybridMultilevel"/>
    <w:lvl w:ilvl="0">
      <w:lvlJc w:val="left"/>
      <w:lvlText w:val="(%1)"/>
      <w:numFmt w:val="lowerLetter"/>
      <w:start w:val="9"/>
    </w:lvl>
    <w:lvl w:ilvl="1">
      <w:lvlJc w:val="left"/>
      <w:lvlText w:val="(%2)"/>
      <w:numFmt w:val="lowerRoman"/>
      <w:start w:val="1"/>
    </w:lvl>
  </w:abstractNum>
  <w:abstractNum w:abstractNumId="305">
    <w:nsid w:val="4CFB8D32"/>
    <w:multiLevelType w:val="hybridMultilevel"/>
    <w:lvl w:ilvl="0">
      <w:lvlJc w:val="left"/>
      <w:lvlText w:val="(%1)"/>
      <w:numFmt w:val="lowerLetter"/>
      <w:start w:val="11"/>
    </w:lvl>
  </w:abstractNum>
  <w:abstractNum w:abstractNumId="306">
    <w:nsid w:val="62A5D5BD"/>
    <w:multiLevelType w:val="hybridMultilevel"/>
    <w:lvl w:ilvl="0">
      <w:lvlJc w:val="left"/>
      <w:lvlText w:val="%1."/>
      <w:numFmt w:val="decimal"/>
      <w:start w:val="9"/>
    </w:lvl>
  </w:abstractNum>
  <w:abstractNum w:abstractNumId="307">
    <w:nsid w:val="718FABF9"/>
    <w:multiLevelType w:val="hybridMultilevel"/>
    <w:lvl w:ilvl="0">
      <w:lvlJc w:val="left"/>
      <w:lvlText w:val="%1"/>
      <w:numFmt w:val="lowerRoman"/>
      <w:start w:val="1"/>
    </w:lvl>
    <w:lvl w:ilvl="1">
      <w:lvlJc w:val="left"/>
      <w:lvlText w:val="%2."/>
      <w:numFmt w:val="decimal"/>
      <w:start w:val="11"/>
    </w:lvl>
  </w:abstractNum>
  <w:abstractNum w:abstractNumId="308">
    <w:nsid w:val="7775797C"/>
    <w:multiLevelType w:val="hybridMultilevel"/>
    <w:lvl w:ilvl="0">
      <w:lvlJc w:val="left"/>
      <w:lvlText w:val="(%1)"/>
      <w:numFmt w:val="lowerRoman"/>
      <w:start w:val="1"/>
    </w:lvl>
    <w:lvl w:ilvl="1">
      <w:lvlJc w:val="left"/>
      <w:lvlText w:val="%2."/>
      <w:numFmt w:val="decimal"/>
      <w:start w:val="13"/>
    </w:lvl>
  </w:abstractNum>
  <w:abstractNum w:abstractNumId="309">
    <w:nsid w:val="1626FB8C"/>
    <w:multiLevelType w:val="hybridMultilevel"/>
    <w:lvl w:ilvl="0">
      <w:lvlJc w:val="left"/>
      <w:lvlText w:val="(%1)"/>
      <w:numFmt w:val="lowerLetter"/>
      <w:start w:val="1"/>
    </w:lvl>
  </w:abstractNum>
  <w:abstractNum w:abstractNumId="310">
    <w:nsid w:val="3957756A"/>
    <w:multiLevelType w:val="hybridMultilevel"/>
    <w:lvl w:ilvl="0">
      <w:lvlJc w:val="left"/>
      <w:lvlText w:val="(%1)"/>
      <w:numFmt w:val="lowerLetter"/>
      <w:start w:val="2"/>
    </w:lvl>
  </w:abstractNum>
  <w:abstractNum w:abstractNumId="311">
    <w:nsid w:val="3E6DA1C7"/>
    <w:multiLevelType w:val="hybridMultilevel"/>
    <w:lvl w:ilvl="0">
      <w:lvlJc w:val="left"/>
      <w:lvlText w:val="%1."/>
      <w:numFmt w:val="decimal"/>
      <w:start w:val="14"/>
    </w:lvl>
  </w:abstractNum>
  <w:abstractNum w:abstractNumId="312">
    <w:nsid w:val="65CA235B"/>
    <w:multiLevelType w:val="hybridMultilevel"/>
    <w:lvl w:ilvl="0">
      <w:lvlJc w:val="left"/>
      <w:lvlText w:val="%1."/>
      <w:numFmt w:val="decimal"/>
      <w:start w:val="15"/>
    </w:lvl>
  </w:abstractNum>
  <w:abstractNum w:abstractNumId="313">
    <w:nsid w:val="51CB0DA4"/>
    <w:multiLevelType w:val="hybridMultilevel"/>
    <w:lvl w:ilvl="0">
      <w:lvlJc w:val="left"/>
      <w:lvlText w:val="(%1)"/>
      <w:numFmt w:val="lowerLetter"/>
      <w:start w:val="1"/>
    </w:lvl>
  </w:abstractNum>
  <w:abstractNum w:abstractNumId="314">
    <w:nsid w:val="7B9B743C"/>
    <w:multiLevelType w:val="hybridMultilevel"/>
    <w:lvl w:ilvl="0">
      <w:lvlJc w:val="left"/>
      <w:lvlText w:val="(%1)"/>
      <w:numFmt w:val="lowerLetter"/>
      <w:start w:val="3"/>
    </w:lvl>
  </w:abstractNum>
  <w:abstractNum w:abstractNumId="315">
    <w:nsid w:val="13E21002"/>
    <w:multiLevelType w:val="hybridMultilevel"/>
    <w:lvl w:ilvl="0">
      <w:lvlJc w:val="left"/>
      <w:lvlText w:val="%1."/>
      <w:numFmt w:val="decimal"/>
      <w:start w:val="18"/>
    </w:lvl>
  </w:abstractNum>
  <w:abstractNum w:abstractNumId="316">
    <w:nsid w:val="257D63F4"/>
    <w:multiLevelType w:val="hybridMultilevel"/>
    <w:lvl w:ilvl="0">
      <w:lvlJc w:val="left"/>
      <w:lvlText w:val="(%1)"/>
      <w:numFmt w:val="lowerLetter"/>
      <w:start w:val="1"/>
    </w:lvl>
  </w:abstractNum>
  <w:abstractNum w:abstractNumId="317">
    <w:nsid w:val="70EC11B2"/>
    <w:multiLevelType w:val="hybridMultilevel"/>
    <w:lvl w:ilvl="0">
      <w:lvlJc w:val="left"/>
      <w:lvlText w:val="(%1)"/>
      <w:numFmt w:val="lowerLetter"/>
      <w:start w:val="3"/>
    </w:lvl>
  </w:abstractNum>
  <w:abstractNum w:abstractNumId="318">
    <w:nsid w:val="2EDA00ED"/>
    <w:multiLevelType w:val="hybridMultilevel"/>
    <w:lvl w:ilvl="0">
      <w:lvlJc w:val="left"/>
      <w:lvlText w:val="(%1)"/>
      <w:numFmt w:val="lowerLetter"/>
      <w:start w:val="12"/>
    </w:lvl>
  </w:abstractNum>
  <w:abstractNum w:abstractNumId="319">
    <w:nsid w:val="73209072"/>
    <w:multiLevelType w:val="hybridMultilevel"/>
    <w:lvl w:ilvl="0">
      <w:lvlJc w:val="left"/>
      <w:lvlText w:val="%1."/>
      <w:numFmt w:val="decimal"/>
      <w:start w:val="20"/>
    </w:lvl>
  </w:abstractNum>
  <w:abstractNum w:abstractNumId="320">
    <w:nsid w:val="5FB29816"/>
    <w:multiLevelType w:val="hybridMultilevel"/>
    <w:lvl w:ilvl="0">
      <w:lvlJc w:val="left"/>
      <w:lvlText w:val="%1."/>
      <w:numFmt w:val="decimal"/>
      <w:start w:val="1"/>
    </w:lvl>
    <w:lvl w:ilvl="1">
      <w:lvlJc w:val="left"/>
      <w:lvlText w:val="%2)"/>
      <w:numFmt w:val="lowerLetter"/>
      <w:start w:val="1"/>
    </w:lvl>
  </w:abstractNum>
  <w:abstractNum w:abstractNumId="321">
    <w:nsid w:val="3CE732EC"/>
    <w:multiLevelType w:val="hybridMultilevel"/>
    <w:lvl w:ilvl="0">
      <w:lvlJc w:val="left"/>
      <w:lvlText w:val="%1."/>
      <w:numFmt w:val="decimal"/>
      <w:start w:val="1"/>
    </w:lvl>
    <w:lvl w:ilvl="1">
      <w:lvlJc w:val="left"/>
      <w:lvlText w:val="%2)"/>
      <w:numFmt w:val="lowerLetter"/>
      <w:start w:val="1"/>
    </w:lvl>
  </w:abstractNum>
  <w:abstractNum w:abstractNumId="322">
    <w:nsid w:val="22F13DF3"/>
    <w:multiLevelType w:val="hybridMultilevel"/>
    <w:lvl w:ilvl="0">
      <w:lvlJc w:val="left"/>
      <w:lvlText w:val="(%1)"/>
      <w:numFmt w:val="decimal"/>
      <w:start w:val="1"/>
    </w:lvl>
  </w:abstractNum>
  <w:abstractNum w:abstractNumId="323">
    <w:nsid w:val="792B8401"/>
    <w:multiLevelType w:val="hybridMultilevel"/>
    <w:lvl w:ilvl="0">
      <w:lvlJc w:val="left"/>
      <w:lvlText w:val="(%1)"/>
      <w:numFmt w:val="decimal"/>
      <w:start w:val="1"/>
    </w:lvl>
  </w:abstractNum>
  <w:abstractNum w:abstractNumId="324">
    <w:nsid w:val="FA85F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2019-12-29T08:02:13Z</dcterms:created>
  <dcterms:modified xsi:type="dcterms:W3CDTF">2019-12-29T08:02:13Z</dcterms:modified>
</cp:coreProperties>
</file>