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UNDER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9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300"/>
        <w:spacing w:after="0"/>
        <w:rPr>
          <w:sz w:val="20"/>
          <w:szCs w:val="20"/>
          <w:color w:val="auto"/>
        </w:rPr>
      </w:pPr>
      <w:r>
        <w:rPr>
          <w:rFonts w:ascii="Arial" w:cs="Arial" w:eastAsia="Arial" w:hAnsi="Arial"/>
          <w:sz w:val="15"/>
          <w:szCs w:val="15"/>
          <w:b w:val="1"/>
          <w:bCs w:val="1"/>
          <w:color w:val="auto"/>
        </w:rPr>
        <w:t>June 30, 2009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37"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tbl>
      <w:tblPr>
        <w:tblLayout w:type="fixed"/>
        <w:tblInd w:w="1580" w:type="dxa"/>
        <w:tblCellMar>
          <w:top w:w="0" w:type="dxa"/>
          <w:left w:w="0" w:type="dxa"/>
          <w:bottom w:w="0" w:type="dxa"/>
          <w:right w:w="0" w:type="dxa"/>
        </w:tblCellMar>
      </w:tblPr>
      <w:tr>
        <w:trPr>
          <w:trHeight w:val="284"/>
        </w:trPr>
        <w:tc>
          <w:tcPr>
            <w:tcW w:w="6240" w:type="dxa"/>
            <w:vAlign w:val="bottom"/>
          </w:tcPr>
          <w:p>
            <w:pPr>
              <w:jc w:val="center"/>
              <w:ind w:left="1953"/>
              <w:spacing w:after="0"/>
              <w:rPr>
                <w:sz w:val="20"/>
                <w:szCs w:val="20"/>
                <w:color w:val="auto"/>
              </w:rPr>
            </w:pPr>
            <w:r>
              <w:rPr>
                <w:rFonts w:ascii="Arial" w:cs="Arial" w:eastAsia="Arial" w:hAnsi="Arial"/>
                <w:sz w:val="24"/>
                <w:szCs w:val="24"/>
                <w:b w:val="1"/>
                <w:bCs w:val="1"/>
                <w:color w:val="auto"/>
              </w:rPr>
              <w:t>SCHLUMBERGER N.V.</w:t>
            </w:r>
          </w:p>
        </w:tc>
        <w:tc>
          <w:tcPr>
            <w:tcW w:w="1440" w:type="dxa"/>
            <w:vAlign w:val="bottom"/>
          </w:tcPr>
          <w:p>
            <w:pPr>
              <w:spacing w:after="0"/>
              <w:rPr>
                <w:sz w:val="24"/>
                <w:szCs w:val="24"/>
                <w:color w:val="auto"/>
              </w:rPr>
            </w:pPr>
          </w:p>
        </w:tc>
      </w:tr>
      <w:tr>
        <w:trPr>
          <w:trHeight w:val="299"/>
        </w:trPr>
        <w:tc>
          <w:tcPr>
            <w:tcW w:w="6240" w:type="dxa"/>
            <w:vAlign w:val="bottom"/>
          </w:tcPr>
          <w:p>
            <w:pPr>
              <w:jc w:val="center"/>
              <w:ind w:left="1953"/>
              <w:spacing w:after="0"/>
              <w:rPr>
                <w:sz w:val="20"/>
                <w:szCs w:val="20"/>
                <w:color w:val="auto"/>
              </w:rPr>
            </w:pPr>
            <w:r>
              <w:rPr>
                <w:rFonts w:ascii="Arial" w:cs="Arial" w:eastAsia="Arial" w:hAnsi="Arial"/>
                <w:sz w:val="24"/>
                <w:szCs w:val="24"/>
                <w:b w:val="1"/>
                <w:bCs w:val="1"/>
                <w:color w:val="auto"/>
              </w:rPr>
              <w:t>(SCHLUMBERGER LIMITED)</w:t>
            </w:r>
          </w:p>
        </w:tc>
        <w:tc>
          <w:tcPr>
            <w:tcW w:w="1440" w:type="dxa"/>
            <w:vAlign w:val="bottom"/>
          </w:tcPr>
          <w:p>
            <w:pPr>
              <w:spacing w:after="0"/>
              <w:rPr>
                <w:sz w:val="24"/>
                <w:szCs w:val="24"/>
                <w:color w:val="auto"/>
              </w:rPr>
            </w:pPr>
          </w:p>
        </w:tc>
      </w:tr>
      <w:tr>
        <w:trPr>
          <w:trHeight w:val="174"/>
        </w:trPr>
        <w:tc>
          <w:tcPr>
            <w:tcW w:w="6240" w:type="dxa"/>
            <w:vAlign w:val="bottom"/>
          </w:tcPr>
          <w:p>
            <w:pPr>
              <w:jc w:val="center"/>
              <w:ind w:left="1933"/>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c>
          <w:tcPr>
            <w:tcW w:w="1440" w:type="dxa"/>
            <w:vAlign w:val="bottom"/>
          </w:tcPr>
          <w:p>
            <w:pPr>
              <w:spacing w:after="0"/>
              <w:rPr>
                <w:sz w:val="15"/>
                <w:szCs w:val="15"/>
                <w:color w:val="auto"/>
              </w:rPr>
            </w:pPr>
          </w:p>
        </w:tc>
      </w:tr>
      <w:tr>
        <w:trPr>
          <w:trHeight w:val="339"/>
        </w:trPr>
        <w:tc>
          <w:tcPr>
            <w:tcW w:w="6240" w:type="dxa"/>
            <w:vAlign w:val="bottom"/>
          </w:tcPr>
          <w:p>
            <w:pPr>
              <w:jc w:val="center"/>
              <w:ind w:right="3693"/>
              <w:spacing w:after="0"/>
              <w:rPr>
                <w:sz w:val="20"/>
                <w:szCs w:val="20"/>
                <w:color w:val="auto"/>
              </w:rPr>
            </w:pPr>
            <w:r>
              <w:rPr>
                <w:rFonts w:ascii="Arial" w:cs="Arial" w:eastAsia="Arial" w:hAnsi="Arial"/>
                <w:sz w:val="18"/>
                <w:szCs w:val="18"/>
                <w:b w:val="1"/>
                <w:bCs w:val="1"/>
                <w:color w:val="auto"/>
                <w:w w:val="98"/>
              </w:rPr>
              <w:t>NETHERLANDS ANTILLES</w:t>
            </w:r>
          </w:p>
        </w:tc>
        <w:tc>
          <w:tcPr>
            <w:tcW w:w="1440" w:type="dxa"/>
            <w:vAlign w:val="bottom"/>
          </w:tcPr>
          <w:p>
            <w:pPr>
              <w:jc w:val="center"/>
              <w:ind w:left="3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6240" w:type="dxa"/>
            <w:vAlign w:val="bottom"/>
          </w:tcPr>
          <w:p>
            <w:pPr>
              <w:jc w:val="center"/>
              <w:ind w:right="3693"/>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40" w:type="dxa"/>
            <w:vAlign w:val="bottom"/>
          </w:tcPr>
          <w:p>
            <w:pPr>
              <w:jc w:val="center"/>
              <w:ind w:left="3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40" w:type="dxa"/>
            <w:vAlign w:val="bottom"/>
          </w:tcPr>
          <w:p>
            <w:pPr>
              <w:jc w:val="center"/>
              <w:ind w:right="3693"/>
              <w:spacing w:after="0"/>
              <w:rPr>
                <w:sz w:val="20"/>
                <w:szCs w:val="20"/>
                <w:color w:val="auto"/>
              </w:rPr>
            </w:pPr>
            <w:r>
              <w:rPr>
                <w:rFonts w:ascii="Arial" w:cs="Arial" w:eastAsia="Arial" w:hAnsi="Arial"/>
                <w:sz w:val="14"/>
                <w:szCs w:val="14"/>
                <w:b w:val="1"/>
                <w:bCs w:val="1"/>
                <w:color w:val="auto"/>
                <w:w w:val="89"/>
              </w:rPr>
              <w:t>incorporation or organization)</w:t>
            </w:r>
          </w:p>
        </w:tc>
        <w:tc>
          <w:tcPr>
            <w:tcW w:w="1440" w:type="dxa"/>
            <w:vAlign w:val="bottom"/>
          </w:tcPr>
          <w:p>
            <w:pPr>
              <w:jc w:val="center"/>
              <w:ind w:left="321"/>
              <w:spacing w:after="0"/>
              <w:rPr>
                <w:sz w:val="20"/>
                <w:szCs w:val="20"/>
                <w:color w:val="auto"/>
              </w:rPr>
            </w:pPr>
            <w:r>
              <w:rPr>
                <w:rFonts w:ascii="Arial" w:cs="Arial" w:eastAsia="Arial" w:hAnsi="Arial"/>
                <w:sz w:val="14"/>
                <w:szCs w:val="14"/>
                <w:b w:val="1"/>
                <w:bCs w:val="1"/>
                <w:color w:val="auto"/>
                <w:w w:val="87"/>
              </w:rPr>
              <w:t>Identification No.)</w:t>
            </w:r>
          </w:p>
        </w:tc>
      </w:tr>
      <w:tr>
        <w:trPr>
          <w:trHeight w:val="310"/>
        </w:trPr>
        <w:tc>
          <w:tcPr>
            <w:tcW w:w="6240" w:type="dxa"/>
            <w:vAlign w:val="bottom"/>
          </w:tcPr>
          <w:p>
            <w:pPr>
              <w:jc w:val="center"/>
              <w:ind w:right="3693"/>
              <w:spacing w:after="0"/>
              <w:rPr>
                <w:sz w:val="20"/>
                <w:szCs w:val="20"/>
                <w:color w:val="auto"/>
              </w:rPr>
            </w:pPr>
            <w:r>
              <w:rPr>
                <w:rFonts w:ascii="Arial" w:cs="Arial" w:eastAsia="Arial" w:hAnsi="Arial"/>
                <w:sz w:val="18"/>
                <w:szCs w:val="18"/>
                <w:b w:val="1"/>
                <w:bCs w:val="1"/>
                <w:color w:val="auto"/>
                <w:w w:val="99"/>
              </w:rPr>
              <w:t>42 RUE SAINT-DOMINIQUE</w:t>
            </w:r>
          </w:p>
        </w:tc>
        <w:tc>
          <w:tcPr>
            <w:tcW w:w="1440" w:type="dxa"/>
            <w:vAlign w:val="bottom"/>
          </w:tcPr>
          <w:p>
            <w:pPr>
              <w:spacing w:after="0"/>
              <w:rPr>
                <w:sz w:val="24"/>
                <w:szCs w:val="24"/>
                <w:color w:val="auto"/>
              </w:rPr>
            </w:pPr>
          </w:p>
        </w:tc>
      </w:tr>
      <w:tr>
        <w:trPr>
          <w:trHeight w:val="228"/>
        </w:trPr>
        <w:tc>
          <w:tcPr>
            <w:tcW w:w="6240" w:type="dxa"/>
            <w:vAlign w:val="bottom"/>
          </w:tcPr>
          <w:p>
            <w:pPr>
              <w:jc w:val="center"/>
              <w:ind w:right="3693"/>
              <w:spacing w:after="0"/>
              <w:rPr>
                <w:sz w:val="20"/>
                <w:szCs w:val="20"/>
                <w:color w:val="auto"/>
              </w:rPr>
            </w:pPr>
            <w:r>
              <w:rPr>
                <w:rFonts w:ascii="Arial" w:cs="Arial" w:eastAsia="Arial" w:hAnsi="Arial"/>
                <w:sz w:val="18"/>
                <w:szCs w:val="18"/>
                <w:b w:val="1"/>
                <w:bCs w:val="1"/>
                <w:color w:val="auto"/>
                <w:w w:val="95"/>
              </w:rPr>
              <w:t>PARIS, FRANCE</w:t>
            </w:r>
          </w:p>
        </w:tc>
        <w:tc>
          <w:tcPr>
            <w:tcW w:w="1440" w:type="dxa"/>
            <w:vAlign w:val="bottom"/>
          </w:tcPr>
          <w:p>
            <w:pPr>
              <w:jc w:val="center"/>
              <w:ind w:left="321"/>
              <w:spacing w:after="0"/>
              <w:rPr>
                <w:sz w:val="20"/>
                <w:szCs w:val="20"/>
                <w:color w:val="auto"/>
              </w:rPr>
            </w:pPr>
            <w:r>
              <w:rPr>
                <w:rFonts w:ascii="Arial" w:cs="Arial" w:eastAsia="Arial" w:hAnsi="Arial"/>
                <w:sz w:val="18"/>
                <w:szCs w:val="18"/>
                <w:b w:val="1"/>
                <w:bCs w:val="1"/>
                <w:color w:val="auto"/>
                <w:w w:val="87"/>
              </w:rPr>
              <w:t>75007</w:t>
            </w:r>
          </w:p>
        </w:tc>
      </w:tr>
      <w:tr>
        <w:trPr>
          <w:trHeight w:val="312"/>
        </w:trPr>
        <w:tc>
          <w:tcPr>
            <w:tcW w:w="6240" w:type="dxa"/>
            <w:vAlign w:val="bottom"/>
          </w:tcPr>
          <w:p>
            <w:pPr>
              <w:jc w:val="center"/>
              <w:ind w:right="3693"/>
              <w:spacing w:after="0"/>
              <w:rPr>
                <w:sz w:val="20"/>
                <w:szCs w:val="20"/>
                <w:color w:val="auto"/>
              </w:rPr>
            </w:pPr>
            <w:r>
              <w:rPr>
                <w:rFonts w:ascii="Arial" w:cs="Arial" w:eastAsia="Arial" w:hAnsi="Arial"/>
                <w:sz w:val="18"/>
                <w:szCs w:val="18"/>
                <w:b w:val="1"/>
                <w:bCs w:val="1"/>
                <w:color w:val="auto"/>
                <w:w w:val="94"/>
              </w:rPr>
              <w:t>5599 SAN FELIPE, 17</w:t>
            </w:r>
            <w:r>
              <w:rPr>
                <w:rFonts w:ascii="Arial" w:cs="Arial" w:eastAsia="Arial" w:hAnsi="Arial"/>
                <w:sz w:val="11"/>
                <w:szCs w:val="11"/>
                <w:b w:val="1"/>
                <w:bCs w:val="1"/>
                <w:color w:val="auto"/>
                <w:w w:val="94"/>
              </w:rPr>
              <w:t>th</w:t>
            </w:r>
            <w:r>
              <w:rPr>
                <w:rFonts w:ascii="Arial" w:cs="Arial" w:eastAsia="Arial" w:hAnsi="Arial"/>
                <w:sz w:val="18"/>
                <w:szCs w:val="18"/>
                <w:b w:val="1"/>
                <w:bCs w:val="1"/>
                <w:color w:val="auto"/>
                <w:w w:val="94"/>
              </w:rPr>
              <w:t xml:space="preserve"> FLOOR</w:t>
            </w:r>
          </w:p>
        </w:tc>
        <w:tc>
          <w:tcPr>
            <w:tcW w:w="1440" w:type="dxa"/>
            <w:vAlign w:val="bottom"/>
          </w:tcPr>
          <w:p>
            <w:pPr>
              <w:spacing w:after="0"/>
              <w:rPr>
                <w:sz w:val="24"/>
                <w:szCs w:val="24"/>
                <w:color w:val="auto"/>
              </w:rPr>
            </w:pPr>
          </w:p>
        </w:tc>
      </w:tr>
      <w:tr>
        <w:trPr>
          <w:trHeight w:val="228"/>
        </w:trPr>
        <w:tc>
          <w:tcPr>
            <w:tcW w:w="6240" w:type="dxa"/>
            <w:vAlign w:val="bottom"/>
          </w:tcPr>
          <w:p>
            <w:pPr>
              <w:jc w:val="center"/>
              <w:ind w:right="3693"/>
              <w:spacing w:after="0"/>
              <w:rPr>
                <w:sz w:val="20"/>
                <w:szCs w:val="20"/>
                <w:color w:val="auto"/>
              </w:rPr>
            </w:pPr>
            <w:r>
              <w:rPr>
                <w:rFonts w:ascii="Arial" w:cs="Arial" w:eastAsia="Arial" w:hAnsi="Arial"/>
                <w:sz w:val="18"/>
                <w:szCs w:val="18"/>
                <w:b w:val="1"/>
                <w:bCs w:val="1"/>
                <w:color w:val="auto"/>
                <w:w w:val="94"/>
              </w:rPr>
              <w:t>HOUSTON, TEXAS, U.S.A.</w:t>
            </w:r>
          </w:p>
        </w:tc>
        <w:tc>
          <w:tcPr>
            <w:tcW w:w="1440" w:type="dxa"/>
            <w:vAlign w:val="bottom"/>
          </w:tcPr>
          <w:p>
            <w:pPr>
              <w:jc w:val="center"/>
              <w:ind w:left="321"/>
              <w:spacing w:after="0"/>
              <w:rPr>
                <w:sz w:val="20"/>
                <w:szCs w:val="20"/>
                <w:color w:val="auto"/>
              </w:rPr>
            </w:pPr>
            <w:r>
              <w:rPr>
                <w:rFonts w:ascii="Arial" w:cs="Arial" w:eastAsia="Arial" w:hAnsi="Arial"/>
                <w:sz w:val="18"/>
                <w:szCs w:val="18"/>
                <w:b w:val="1"/>
                <w:bCs w:val="1"/>
                <w:color w:val="auto"/>
                <w:w w:val="87"/>
              </w:rPr>
              <w:t>77056</w:t>
            </w:r>
          </w:p>
        </w:tc>
      </w:tr>
      <w:tr>
        <w:trPr>
          <w:trHeight w:val="312"/>
        </w:trPr>
        <w:tc>
          <w:tcPr>
            <w:tcW w:w="6240" w:type="dxa"/>
            <w:vAlign w:val="bottom"/>
          </w:tcPr>
          <w:p>
            <w:pPr>
              <w:jc w:val="center"/>
              <w:ind w:right="3693"/>
              <w:spacing w:after="0"/>
              <w:rPr>
                <w:sz w:val="20"/>
                <w:szCs w:val="20"/>
                <w:color w:val="auto"/>
              </w:rPr>
            </w:pPr>
            <w:r>
              <w:rPr>
                <w:rFonts w:ascii="Arial" w:cs="Arial" w:eastAsia="Arial" w:hAnsi="Arial"/>
                <w:sz w:val="18"/>
                <w:szCs w:val="18"/>
                <w:b w:val="1"/>
                <w:bCs w:val="1"/>
                <w:color w:val="auto"/>
                <w:w w:val="95"/>
              </w:rPr>
              <w:t>PARKSTRAAT 83</w:t>
            </w:r>
          </w:p>
        </w:tc>
        <w:tc>
          <w:tcPr>
            <w:tcW w:w="1440" w:type="dxa"/>
            <w:vAlign w:val="bottom"/>
          </w:tcPr>
          <w:p>
            <w:pPr>
              <w:spacing w:after="0"/>
              <w:rPr>
                <w:sz w:val="24"/>
                <w:szCs w:val="24"/>
                <w:color w:val="auto"/>
              </w:rPr>
            </w:pPr>
          </w:p>
        </w:tc>
      </w:tr>
      <w:tr>
        <w:trPr>
          <w:trHeight w:val="216"/>
        </w:trPr>
        <w:tc>
          <w:tcPr>
            <w:tcW w:w="6240" w:type="dxa"/>
            <w:vAlign w:val="bottom"/>
          </w:tcPr>
          <w:p>
            <w:pPr>
              <w:jc w:val="center"/>
              <w:ind w:right="3693"/>
              <w:spacing w:after="0"/>
              <w:rPr>
                <w:sz w:val="20"/>
                <w:szCs w:val="20"/>
                <w:color w:val="auto"/>
              </w:rPr>
            </w:pPr>
            <w:r>
              <w:rPr>
                <w:rFonts w:ascii="Arial" w:cs="Arial" w:eastAsia="Arial" w:hAnsi="Arial"/>
                <w:sz w:val="18"/>
                <w:szCs w:val="18"/>
                <w:b w:val="1"/>
                <w:bCs w:val="1"/>
                <w:color w:val="auto"/>
                <w:w w:val="99"/>
              </w:rPr>
              <w:t>THE HAGUE,</w:t>
            </w:r>
          </w:p>
        </w:tc>
        <w:tc>
          <w:tcPr>
            <w:tcW w:w="1440" w:type="dxa"/>
            <w:vAlign w:val="bottom"/>
          </w:tcPr>
          <w:p>
            <w:pPr>
              <w:spacing w:after="0"/>
              <w:rPr>
                <w:sz w:val="18"/>
                <w:szCs w:val="18"/>
                <w:color w:val="auto"/>
              </w:rPr>
            </w:pPr>
          </w:p>
        </w:tc>
      </w:tr>
      <w:tr>
        <w:trPr>
          <w:trHeight w:val="218"/>
        </w:trPr>
        <w:tc>
          <w:tcPr>
            <w:tcW w:w="6240" w:type="dxa"/>
            <w:vAlign w:val="bottom"/>
          </w:tcPr>
          <w:p>
            <w:pPr>
              <w:jc w:val="center"/>
              <w:ind w:right="3693"/>
              <w:spacing w:after="0"/>
              <w:rPr>
                <w:sz w:val="20"/>
                <w:szCs w:val="20"/>
                <w:color w:val="auto"/>
              </w:rPr>
            </w:pPr>
            <w:r>
              <w:rPr>
                <w:rFonts w:ascii="Arial" w:cs="Arial" w:eastAsia="Arial" w:hAnsi="Arial"/>
                <w:sz w:val="18"/>
                <w:szCs w:val="18"/>
                <w:b w:val="1"/>
                <w:bCs w:val="1"/>
                <w:color w:val="auto"/>
                <w:w w:val="98"/>
              </w:rPr>
              <w:t>THE NETHERLANDS</w:t>
            </w:r>
          </w:p>
        </w:tc>
        <w:tc>
          <w:tcPr>
            <w:tcW w:w="1440" w:type="dxa"/>
            <w:vAlign w:val="bottom"/>
          </w:tcPr>
          <w:p>
            <w:pPr>
              <w:jc w:val="center"/>
              <w:ind w:left="3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6240" w:type="dxa"/>
            <w:vAlign w:val="bottom"/>
          </w:tcPr>
          <w:p>
            <w:pPr>
              <w:jc w:val="center"/>
              <w:ind w:right="3693"/>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1440" w:type="dxa"/>
            <w:vAlign w:val="bottom"/>
          </w:tcPr>
          <w:p>
            <w:pPr>
              <w:jc w:val="center"/>
              <w:ind w:left="321"/>
              <w:spacing w:after="0"/>
              <w:rPr>
                <w:sz w:val="20"/>
                <w:szCs w:val="20"/>
                <w:color w:val="auto"/>
              </w:rPr>
            </w:pPr>
            <w:r>
              <w:rPr>
                <w:rFonts w:ascii="Arial" w:cs="Arial" w:eastAsia="Arial" w:hAnsi="Arial"/>
                <w:sz w:val="14"/>
                <w:szCs w:val="14"/>
                <w:b w:val="1"/>
                <w:bCs w:val="1"/>
                <w:color w:val="auto"/>
                <w:w w:val="88"/>
              </w:rPr>
              <w:t>(Zip Codes)</w:t>
            </w:r>
          </w:p>
        </w:tc>
      </w:tr>
    </w:tbl>
    <w:p>
      <w:pPr>
        <w:spacing w:after="0" w:line="1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7"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ind w:right="4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p>
      <w:pPr>
        <w:spacing w:after="0" w:line="207" w:lineRule="exact"/>
        <w:tabs>
          <w:tab w:leader="none" w:pos="2740" w:val="left"/>
          <w:tab w:leader="none" w:pos="5380" w:val="left"/>
          <w:tab w:leader="none" w:pos="82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4900"/>
        <w:spacing w:after="0" w:line="207" w:lineRule="exact"/>
        <w:tabs>
          <w:tab w:leader="none" w:pos="60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jc w:val="center"/>
              <w:ind w:right="622"/>
              <w:spacing w:after="0"/>
              <w:rPr>
                <w:sz w:val="20"/>
                <w:szCs w:val="20"/>
                <w:color w:val="auto"/>
              </w:rPr>
            </w:pPr>
            <w:r>
              <w:rPr>
                <w:rFonts w:ascii="Arial" w:cs="Arial" w:eastAsia="Arial" w:hAnsi="Arial"/>
                <w:sz w:val="14"/>
                <w:szCs w:val="14"/>
                <w:b w:val="1"/>
                <w:bCs w:val="1"/>
                <w:color w:val="auto"/>
                <w:w w:val="80"/>
              </w:rPr>
              <w:t>Class</w:t>
            </w:r>
          </w:p>
        </w:tc>
        <w:tc>
          <w:tcPr>
            <w:tcW w:w="5100" w:type="dxa"/>
            <w:vAlign w:val="bottom"/>
          </w:tcPr>
          <w:p>
            <w:pPr>
              <w:jc w:val="center"/>
              <w:ind w:right="182"/>
              <w:spacing w:after="0"/>
              <w:rPr>
                <w:sz w:val="20"/>
                <w:szCs w:val="20"/>
                <w:color w:val="auto"/>
              </w:rPr>
            </w:pPr>
            <w:r>
              <w:rPr>
                <w:rFonts w:ascii="Arial" w:cs="Arial" w:eastAsia="Arial" w:hAnsi="Arial"/>
                <w:sz w:val="14"/>
                <w:szCs w:val="14"/>
                <w:b w:val="1"/>
                <w:bCs w:val="1"/>
                <w:color w:val="auto"/>
                <w:w w:val="86"/>
              </w:rPr>
              <w:t>Outstanding at June 30, 2009</w:t>
            </w:r>
          </w:p>
        </w:tc>
      </w:tr>
      <w:tr>
        <w:trPr>
          <w:trHeight w:val="222"/>
        </w:trPr>
        <w:tc>
          <w:tcPr>
            <w:tcW w:w="6320" w:type="dxa"/>
            <w:vAlign w:val="bottom"/>
          </w:tcPr>
          <w:p>
            <w:pPr>
              <w:jc w:val="center"/>
              <w:ind w:right="622"/>
              <w:spacing w:after="0"/>
              <w:rPr>
                <w:sz w:val="20"/>
                <w:szCs w:val="20"/>
                <w:color w:val="auto"/>
              </w:rPr>
            </w:pPr>
            <w:r>
              <w:rPr>
                <w:rFonts w:ascii="Arial" w:cs="Arial" w:eastAsia="Arial" w:hAnsi="Arial"/>
                <w:sz w:val="18"/>
                <w:szCs w:val="18"/>
                <w:color w:val="auto"/>
                <w:w w:val="91"/>
              </w:rPr>
              <w:t>COMMON STOCK, $0.01 PAR VALUE PER SHARE</w:t>
            </w:r>
          </w:p>
        </w:tc>
        <w:tc>
          <w:tcPr>
            <w:tcW w:w="5100" w:type="dxa"/>
            <w:vAlign w:val="bottom"/>
          </w:tcPr>
          <w:p>
            <w:pPr>
              <w:jc w:val="right"/>
              <w:ind w:right="2102"/>
              <w:spacing w:after="0"/>
              <w:rPr>
                <w:sz w:val="20"/>
                <w:szCs w:val="20"/>
                <w:color w:val="auto"/>
              </w:rPr>
            </w:pPr>
            <w:r>
              <w:rPr>
                <w:rFonts w:ascii="Arial" w:cs="Arial" w:eastAsia="Arial" w:hAnsi="Arial"/>
                <w:sz w:val="18"/>
                <w:szCs w:val="18"/>
                <w:color w:val="auto"/>
              </w:rPr>
              <w:t>1,197,822,535</w:t>
            </w:r>
          </w:p>
        </w:tc>
      </w:tr>
      <w:tr>
        <w:trPr>
          <w:trHeight w:val="83"/>
        </w:trPr>
        <w:tc>
          <w:tcPr>
            <w:tcW w:w="6320" w:type="dxa"/>
            <w:vAlign w:val="bottom"/>
            <w:tcBorders>
              <w:bottom w:val="single" w:sz="8" w:color="auto"/>
            </w:tcBorders>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r>
      <w:tr>
        <w:trPr>
          <w:trHeight w:val="21"/>
        </w:trPr>
        <w:tc>
          <w:tcPr>
            <w:tcW w:w="632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2009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8"/>
                <w:szCs w:val="18"/>
                <w:b w:val="1"/>
                <w:bCs w:val="1"/>
                <w:color w:val="auto"/>
                <w:w w:val="94"/>
              </w:rPr>
              <w:t>PART I</w:t>
            </w:r>
          </w:p>
        </w:tc>
        <w:tc>
          <w:tcPr>
            <w:tcW w:w="540" w:type="dxa"/>
            <w:vAlign w:val="bottom"/>
            <w:gridSpan w:val="2"/>
            <w:vMerge w:val="restart"/>
          </w:tcPr>
          <w:p>
            <w:pPr>
              <w:spacing w:after="0"/>
              <w:rPr>
                <w:sz w:val="14"/>
                <w:szCs w:val="14"/>
                <w:color w:val="auto"/>
              </w:rPr>
            </w:pPr>
          </w:p>
        </w:tc>
        <w:tc>
          <w:tcPr>
            <w:tcW w:w="1660" w:type="dxa"/>
            <w:vAlign w:val="bottom"/>
            <w:gridSpan w:val="6"/>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1660" w:type="dxa"/>
            <w:vAlign w:val="bottom"/>
            <w:tcBorders>
              <w:bottom w:val="single" w:sz="8" w:color="0000EE"/>
            </w:tcBorders>
            <w:gridSpan w:val="6"/>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002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Item 1.</w:t>
            </w:r>
          </w:p>
        </w:tc>
        <w:tc>
          <w:tcPr>
            <w:tcW w:w="48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24"/>
                <w:szCs w:val="24"/>
                <w:color w:val="auto"/>
              </w:rPr>
            </w:pPr>
          </w:p>
        </w:tc>
        <w:tc>
          <w:tcPr>
            <w:tcW w:w="85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30">
              <w:r>
                <w:rPr>
                  <w:rFonts w:ascii="Arial" w:cs="Arial" w:eastAsia="Arial" w:hAnsi="Arial"/>
                  <w:sz w:val="18"/>
                  <w:szCs w:val="18"/>
                  <w:color w:val="0000EE"/>
                  <w:w w:val="85"/>
                </w:rPr>
                <w:t>Risk Factors</w:t>
              </w:r>
            </w:hyperlink>
          </w:p>
        </w:tc>
        <w:tc>
          <w:tcPr>
            <w:tcW w:w="914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0">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1002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20" w:type="dxa"/>
            <w:vAlign w:val="bottom"/>
            <w:gridSpan w:val="3"/>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6"/>
          </w:tcPr>
          <w:p>
            <w:pPr>
              <w:spacing w:after="0"/>
              <w:rPr>
                <w:sz w:val="24"/>
                <w:szCs w:val="24"/>
                <w:color w:val="auto"/>
              </w:rPr>
            </w:pPr>
          </w:p>
        </w:tc>
        <w:tc>
          <w:tcPr>
            <w:tcW w:w="63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020" w:type="dxa"/>
            <w:vAlign w:val="bottom"/>
            <w:gridSpan w:val="1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4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Certifications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12"/>
          </w:tcPr>
          <w:p>
            <w:pPr>
              <w:ind w:left="45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 I.</w:t>
      </w:r>
      <w:r>
        <w:rPr>
          <w:sz w:val="20"/>
          <w:szCs w:val="20"/>
          <w:color w:val="auto"/>
        </w:rPr>
        <w:tab/>
      </w:r>
      <w:r>
        <w:rPr>
          <w:rFonts w:ascii="Arial" w:cs="Arial" w:eastAsia="Arial" w:hAnsi="Arial"/>
          <w:sz w:val="18"/>
          <w:szCs w:val="18"/>
          <w:b w:val="1"/>
          <w:bCs w:val="1"/>
          <w:u w:val="single" w:color="auto"/>
          <w:color w:val="auto"/>
        </w:rPr>
        <w:t>FINANCIAL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Financial Statements.</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10"/>
          </w:tcPr>
          <w:p>
            <w:pPr>
              <w:jc w:val="right"/>
              <w:ind w:right="100"/>
              <w:spacing w:after="0"/>
              <w:rPr>
                <w:sz w:val="20"/>
                <w:szCs w:val="20"/>
                <w:color w:val="auto"/>
              </w:rPr>
            </w:pPr>
            <w:r>
              <w:rPr>
                <w:rFonts w:ascii="Arial" w:cs="Arial" w:eastAsia="Arial" w:hAnsi="Arial"/>
                <w:sz w:val="14"/>
                <w:szCs w:val="14"/>
                <w:i w:val="1"/>
                <w:iCs w:val="1"/>
                <w:color w:val="auto"/>
                <w:w w:val="88"/>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8"/>
              </w:rPr>
              <w:t>Second Quarter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2009</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5,528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6,746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11,528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i w:val="1"/>
                <w:iCs w:val="1"/>
                <w:color w:val="auto"/>
              </w:rPr>
              <w:t>Interest &amp; other income, net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Cost of goods sold and services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4,409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4,609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8,897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1,804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404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Arial" w:cs="Arial" w:eastAsia="Arial" w:hAnsi="Arial"/>
                <w:sz w:val="18"/>
                <w:szCs w:val="18"/>
                <w:i w:val="1"/>
                <w:iCs w:val="1"/>
                <w:color w:val="auto"/>
              </w:rPr>
              <w:t>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Income attributable to Schlumberger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1,420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0.51</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7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Assuming dilution</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1,230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right="60"/>
              <w:spacing w:after="0"/>
              <w:rPr>
                <w:sz w:val="20"/>
                <w:szCs w:val="20"/>
                <w:color w:val="auto"/>
              </w:rPr>
            </w:pPr>
            <w:r>
              <w:rPr>
                <w:rFonts w:ascii="Arial" w:cs="Arial" w:eastAsia="Arial" w:hAnsi="Arial"/>
                <w:sz w:val="14"/>
                <w:szCs w:val="14"/>
                <w:i w:val="1"/>
                <w:iCs w:val="1"/>
                <w:color w:val="auto"/>
                <w:w w:val="90"/>
              </w:rPr>
              <w:t>(Stated in millions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Jun. 30, 2009</w:t>
            </w:r>
          </w:p>
        </w:tc>
        <w:tc>
          <w:tcPr>
            <w:tcW w:w="540" w:type="dxa"/>
            <w:vAlign w:val="bottom"/>
          </w:tcPr>
          <w:p>
            <w:pPr>
              <w:spacing w:after="0"/>
              <w:rPr>
                <w:sz w:val="12"/>
                <w:szCs w:val="12"/>
                <w:color w:val="auto"/>
              </w:rPr>
            </w:pPr>
          </w:p>
        </w:tc>
        <w:tc>
          <w:tcPr>
            <w:tcW w:w="6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9"/>
              </w:rPr>
              <w:t>(Unaudited)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216</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4,195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less allowance for doubtful accounts (2009—$149; 2008—$133)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6,107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954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13,655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464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1,985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9,688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Multiclient Seismic Data</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5,266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Intangible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Assets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32,960</w:t>
            </w:r>
          </w:p>
        </w:tc>
        <w:tc>
          <w:tcPr>
            <w:tcW w:w="120" w:type="dxa"/>
            <w:vAlign w:val="bottom"/>
            <w:vMerge w:val="continue"/>
          </w:tcPr>
          <w:p>
            <w:pPr>
              <w:spacing w:after="0"/>
              <w:rPr>
                <w:sz w:val="19"/>
                <w:szCs w:val="19"/>
                <w:color w:val="auto"/>
              </w:rPr>
            </w:pPr>
          </w:p>
        </w:tc>
        <w:tc>
          <w:tcPr>
            <w:tcW w:w="620" w:type="dxa"/>
            <w:vAlign w:val="bottom"/>
            <w:gridSpan w:val="2"/>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4,710</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924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Long-term debt—current portion</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831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Convertible debentures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Bank &amp; short-term loans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422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7,461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Convertible Debentures</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Long-term Debt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4,291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i w:val="1"/>
                <w:iCs w:val="1"/>
                <w:color w:val="auto"/>
              </w:rPr>
              <w:t>Postretirement Benefits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1,596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4,718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(4,668)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20,940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Schlumberger stockholders’ equity</w:t>
            </w: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18,627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16,862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32,960</w:t>
            </w:r>
          </w:p>
        </w:tc>
        <w:tc>
          <w:tcPr>
            <w:tcW w:w="620" w:type="dxa"/>
            <w:vAlign w:val="bottom"/>
            <w:gridSpan w:val="2"/>
            <w:shd w:val="clear" w:color="auto" w:fill="CCEEFF"/>
          </w:tcPr>
          <w:p>
            <w:pPr>
              <w:jc w:val="center"/>
              <w:ind w:left="456"/>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(Stated in million)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1,556</w:t>
            </w:r>
          </w:p>
        </w:tc>
        <w:tc>
          <w:tcPr>
            <w:tcW w:w="2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Income from discontinued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1,235</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Non-cash postretirement benefits curtailment charge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of companies carried at equity, less dividends received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Provision for losses on 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non-cash items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(increase) in receivables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(Decrease) increase in accounts payable and accrued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(515)</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estimated liability for taxes on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0" w:type="dxa"/>
            <w:vAlign w:val="bottom"/>
          </w:tcPr>
          <w:p>
            <w:pPr>
              <w:ind w:left="140"/>
              <w:spacing w:after="0"/>
              <w:rPr>
                <w:sz w:val="20"/>
                <w:szCs w:val="20"/>
                <w:color w:val="auto"/>
              </w:rPr>
            </w:pPr>
            <w:r>
              <w:rPr>
                <w:rFonts w:ascii="Arial" w:cs="Arial" w:eastAsia="Arial" w:hAnsi="Arial"/>
                <w:sz w:val="18"/>
                <w:szCs w:val="18"/>
                <w:color w:val="auto"/>
              </w:rPr>
              <w:t>Decrease in postretirement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(1,252)</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Business acquisitions, net of cash acquired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sale of investments,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(2,114)</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Tax benefits on stock options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 plan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1,405</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(833)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Net decrease in short-term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color w:val="auto"/>
              </w:rPr>
              <w:t>Cash flow from discontinued operations - operating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6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20" w:type="dxa"/>
            <w:vAlign w:val="bottom"/>
          </w:tcPr>
          <w:p>
            <w:pPr>
              <w:spacing w:after="0"/>
              <w:rPr>
                <w:sz w:val="19"/>
                <w:szCs w:val="19"/>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280" w:type="dxa"/>
            <w:vAlign w:val="bottom"/>
          </w:tcPr>
          <w:p>
            <w:pPr>
              <w:spacing w:after="0"/>
              <w:rPr>
                <w:sz w:val="19"/>
                <w:szCs w:val="19"/>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the effect of business acquisitions.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8"/>
            <w:vMerge w:val="restart"/>
          </w:tcPr>
          <w:p>
            <w:pPr>
              <w:jc w:val="right"/>
              <w:ind w:right="8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8"/>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600"/>
              <w:spacing w:after="0" w:line="14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w w:val="91"/>
              </w:rPr>
              <w:t>Retained</w:t>
            </w:r>
          </w:p>
        </w:tc>
        <w:tc>
          <w:tcPr>
            <w:tcW w:w="122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1"/>
                <w:szCs w:val="11"/>
                <w:color w:val="auto"/>
              </w:rPr>
            </w:pPr>
          </w:p>
        </w:tc>
        <w:tc>
          <w:tcPr>
            <w:tcW w:w="136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80" w:type="dxa"/>
            <w:vAlign w:val="bottom"/>
            <w:gridSpan w:val="4"/>
          </w:tcPr>
          <w:p>
            <w:pPr>
              <w:spacing w:after="0"/>
              <w:rPr>
                <w:sz w:val="20"/>
                <w:szCs w:val="20"/>
                <w:color w:val="auto"/>
              </w:rPr>
            </w:pPr>
            <w:r>
              <w:rPr>
                <w:rFonts w:ascii="Arial" w:cs="Arial" w:eastAsia="Arial" w:hAnsi="Arial"/>
                <w:sz w:val="14"/>
                <w:szCs w:val="14"/>
                <w:b w:val="1"/>
                <w:bCs w:val="1"/>
                <w:color w:val="auto"/>
              </w:rPr>
              <w:t>January 1, 2008 - June 30, 2008</w:t>
            </w:r>
          </w:p>
        </w:tc>
        <w:tc>
          <w:tcPr>
            <w:tcW w:w="540" w:type="dxa"/>
            <w:vAlign w:val="bottom"/>
          </w:tcPr>
          <w:p>
            <w:pPr>
              <w:spacing w:after="0"/>
              <w:rPr>
                <w:sz w:val="14"/>
                <w:szCs w:val="1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Treasury</w:t>
            </w:r>
          </w:p>
        </w:tc>
        <w:tc>
          <w:tcPr>
            <w:tcW w:w="10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0"/>
              </w:rPr>
              <w:t>Earnings</w:t>
            </w: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Interests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89"/>
              </w:rPr>
              <w:t>Balance, January 1, 2008</w:t>
            </w:r>
          </w:p>
        </w:tc>
        <w:tc>
          <w:tcPr>
            <w:tcW w:w="2520" w:type="dxa"/>
            <w:vAlign w:val="bottom"/>
            <w:gridSpan w:val="2"/>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$4,136</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(3,549)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$15,462</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62</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420"/>
              <w:spacing w:after="0"/>
              <w:rPr>
                <w:sz w:val="20"/>
                <w:szCs w:val="20"/>
                <w:color w:val="auto"/>
              </w:rPr>
            </w:pPr>
            <w:r>
              <w:rPr>
                <w:rFonts w:ascii="Arial" w:cs="Arial" w:eastAsia="Arial" w:hAnsi="Arial"/>
                <w:sz w:val="18"/>
                <w:szCs w:val="18"/>
                <w:color w:val="auto"/>
              </w:rPr>
              <w:t>Currency translation adjustments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Changes in fair value of derivatives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420"/>
              <w:spacing w:after="0"/>
              <w:rPr>
                <w:sz w:val="20"/>
                <w:szCs w:val="20"/>
                <w:color w:val="auto"/>
              </w:rPr>
            </w:pPr>
            <w:r>
              <w:rPr>
                <w:rFonts w:ascii="Arial" w:cs="Arial" w:eastAsia="Arial" w:hAnsi="Arial"/>
                <w:sz w:val="18"/>
                <w:szCs w:val="18"/>
                <w:color w:val="auto"/>
              </w:rPr>
              <w:t>Deferred employee benefits liabilities, net of tax</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Shares sold to optionees, less shares exchanged</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granted to directors</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Proceeds from employee stock purchase plan</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repurchase plan</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(1,119)</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Stock-based compensation cost</w:t>
            </w: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issued on conversion of debentures</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declared ($0.42 per share)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Tax benefits on stock options</w:t>
            </w:r>
          </w:p>
        </w:tc>
        <w:tc>
          <w:tcPr>
            <w:tcW w:w="54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4,505</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94"/>
              </w:rPr>
              <w:t>(4,198)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17,717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8"/>
          </w:tcPr>
          <w:p>
            <w:pPr>
              <w:jc w:val="right"/>
              <w:ind w:right="740"/>
              <w:spacing w:after="0" w:line="149" w:lineRule="exact"/>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vMerge w:val="restart"/>
          </w:tcPr>
          <w:p>
            <w:pPr>
              <w:jc w:val="center"/>
              <w:ind w:right="380"/>
              <w:spacing w:after="0" w:line="123"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2"/>
                <w:szCs w:val="12"/>
                <w:color w:val="auto"/>
              </w:rPr>
            </w:pPr>
          </w:p>
        </w:tc>
        <w:tc>
          <w:tcPr>
            <w:tcW w:w="9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80" w:type="dxa"/>
            <w:vAlign w:val="bottom"/>
            <w:gridSpan w:val="4"/>
          </w:tcPr>
          <w:p>
            <w:pPr>
              <w:spacing w:after="0"/>
              <w:rPr>
                <w:sz w:val="20"/>
                <w:szCs w:val="20"/>
                <w:color w:val="auto"/>
              </w:rPr>
            </w:pPr>
            <w:r>
              <w:rPr>
                <w:rFonts w:ascii="Arial" w:cs="Arial" w:eastAsia="Arial" w:hAnsi="Arial"/>
                <w:sz w:val="14"/>
                <w:szCs w:val="14"/>
                <w:b w:val="1"/>
                <w:bCs w:val="1"/>
                <w:color w:val="auto"/>
              </w:rPr>
              <w:t>January 1, 2009 - June 30, 2009</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0"/>
              </w:rPr>
              <w:t>Issued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7"/>
              </w:rPr>
              <w:t>Treasury</w:t>
            </w:r>
          </w:p>
        </w:tc>
        <w:tc>
          <w:tcPr>
            <w:tcW w:w="8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4"/>
                <w:szCs w:val="14"/>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Interests</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20" w:type="dxa"/>
            <w:vAlign w:val="bottom"/>
            <w:tcBorders>
              <w:top w:val="single" w:sz="8" w:color="auto"/>
            </w:tcBorders>
            <w:gridSpan w:val="2"/>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spacing w:after="0"/>
              <w:rPr>
                <w:sz w:val="12"/>
                <w:szCs w:val="12"/>
                <w:color w:val="auto"/>
              </w:rPr>
            </w:pPr>
          </w:p>
        </w:tc>
        <w:tc>
          <w:tcPr>
            <w:tcW w:w="500" w:type="dxa"/>
            <w:vAlign w:val="bottom"/>
            <w:tcBorders>
              <w:top w:val="single" w:sz="8" w:color="auto"/>
            </w:tcBorders>
            <w:gridSpan w:val="2"/>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gridSpan w:val="2"/>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Balance, January 1, 2009</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4,668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color w:val="auto"/>
                <w:w w:val="86"/>
              </w:rPr>
              <w:t>$(4,796)</w:t>
            </w:r>
          </w:p>
        </w:tc>
        <w:tc>
          <w:tcPr>
            <w:tcW w:w="1060" w:type="dxa"/>
            <w:vAlign w:val="bottom"/>
            <w:gridSpan w:val="4"/>
          </w:tcPr>
          <w:p>
            <w:pPr>
              <w:jc w:val="right"/>
              <w:ind w:right="400"/>
              <w:spacing w:after="0"/>
              <w:rPr>
                <w:sz w:val="20"/>
                <w:szCs w:val="20"/>
                <w:color w:val="auto"/>
              </w:rPr>
            </w:pPr>
            <w:r>
              <w:rPr>
                <w:rFonts w:ascii="Arial" w:cs="Arial" w:eastAsia="Arial" w:hAnsi="Arial"/>
                <w:sz w:val="18"/>
                <w:szCs w:val="18"/>
                <w:color w:val="auto"/>
                <w:w w:val="98"/>
              </w:rPr>
              <w:t>$19,891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(2,901)</w:t>
            </w:r>
          </w:p>
        </w:tc>
        <w:tc>
          <w:tcPr>
            <w:tcW w:w="340" w:type="dxa"/>
            <w:vAlign w:val="bottom"/>
            <w:gridSpan w:val="3"/>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4"/>
          </w:tcPr>
          <w:p>
            <w:pPr>
              <w:jc w:val="right"/>
              <w:ind w:right="400"/>
              <w:spacing w:after="0"/>
              <w:rPr>
                <w:sz w:val="20"/>
                <w:szCs w:val="20"/>
                <w:color w:val="auto"/>
              </w:rPr>
            </w:pPr>
            <w:r>
              <w:rPr>
                <w:rFonts w:ascii="Arial" w:cs="Arial" w:eastAsia="Arial" w:hAnsi="Arial"/>
                <w:sz w:val="18"/>
                <w:szCs w:val="18"/>
                <w:color w:val="auto"/>
              </w:rPr>
              <w:t>1,552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ind w:left="420"/>
              <w:spacing w:after="0"/>
              <w:rPr>
                <w:sz w:val="20"/>
                <w:szCs w:val="20"/>
                <w:color w:val="auto"/>
              </w:rPr>
            </w:pPr>
            <w:r>
              <w:rPr>
                <w:rFonts w:ascii="Arial" w:cs="Arial" w:eastAsia="Arial" w:hAnsi="Arial"/>
                <w:sz w:val="18"/>
                <w:szCs w:val="18"/>
                <w:color w:val="auto"/>
              </w:rPr>
              <w:t>Changes in fair value of derivatives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employee benefits liabilities, net of tax</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sold to optionees, less shares exchanged</w:t>
            </w:r>
          </w:p>
        </w:tc>
        <w:tc>
          <w:tcPr>
            <w:tcW w:w="1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Shares granted to directors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Proceeds from employee stock purchase plan</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cost</w:t>
            </w: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Acquisition of noncontrolling interest</w:t>
            </w:r>
          </w:p>
        </w:tc>
        <w:tc>
          <w:tcPr>
            <w:tcW w:w="1280" w:type="dxa"/>
            <w:vAlign w:val="bottom"/>
            <w:gridSpan w:val="5"/>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Dividends declared ($0.42 per share)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4"/>
          </w:tcPr>
          <w:p>
            <w:pPr>
              <w:jc w:val="right"/>
              <w:ind w:right="34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benefits on stock options</w:t>
            </w:r>
          </w:p>
        </w:tc>
        <w:tc>
          <w:tcPr>
            <w:tcW w:w="62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80" w:type="dxa"/>
            <w:vAlign w:val="bottom"/>
            <w:gridSpan w:val="4"/>
          </w:tcPr>
          <w:p>
            <w:pPr>
              <w:spacing w:after="0"/>
              <w:rPr>
                <w:sz w:val="20"/>
                <w:szCs w:val="20"/>
                <w:color w:val="auto"/>
              </w:rPr>
            </w:pPr>
            <w:r>
              <w:rPr>
                <w:rFonts w:ascii="Arial" w:cs="Arial" w:eastAsia="Arial" w:hAnsi="Arial"/>
                <w:sz w:val="18"/>
                <w:szCs w:val="18"/>
                <w:color w:val="auto"/>
              </w:rPr>
              <w:t>Balance, June 30, 2009</w:t>
            </w:r>
          </w:p>
        </w:tc>
        <w:tc>
          <w:tcPr>
            <w:tcW w:w="11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(4,668)</w:t>
            </w:r>
          </w:p>
        </w:tc>
        <w:tc>
          <w:tcPr>
            <w:tcW w:w="1060" w:type="dxa"/>
            <w:vAlign w:val="bottom"/>
            <w:gridSpan w:val="4"/>
          </w:tcPr>
          <w:p>
            <w:pPr>
              <w:jc w:val="right"/>
              <w:ind w:right="4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20,940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(2,363)</w:t>
            </w:r>
          </w:p>
        </w:tc>
        <w:tc>
          <w:tcPr>
            <w:tcW w:w="340" w:type="dxa"/>
            <w:vAlign w:val="bottom"/>
            <w:gridSpan w:val="3"/>
          </w:tcPr>
          <w:p>
            <w:pPr>
              <w:ind w:left="260"/>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68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4"/>
                <w:szCs w:val="14"/>
                <w:i w:val="1"/>
                <w:iCs w:val="1"/>
                <w:color w:val="auto"/>
                <w:w w:val="90"/>
              </w:rPr>
              <w:t>(Stated in millions)</w:t>
            </w:r>
          </w:p>
        </w:tc>
      </w:tr>
      <w:tr>
        <w:trPr>
          <w:trHeight w:val="149"/>
        </w:trPr>
        <w:tc>
          <w:tcPr>
            <w:tcW w:w="7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61"/>
        </w:trPr>
        <w:tc>
          <w:tcPr>
            <w:tcW w:w="7940" w:type="dxa"/>
            <w:vAlign w:val="bottom"/>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1"/>
              </w:rPr>
              <w:t>Issued</w:t>
            </w:r>
          </w:p>
        </w:tc>
        <w:tc>
          <w:tcPr>
            <w:tcW w:w="6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In Treasury</w:t>
            </w:r>
          </w:p>
        </w:tc>
        <w:tc>
          <w:tcPr>
            <w:tcW w:w="7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4"/>
                <w:szCs w:val="14"/>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1,334</w:t>
            </w:r>
          </w:p>
        </w:tc>
        <w:tc>
          <w:tcPr>
            <w:tcW w:w="6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0" w:type="dxa"/>
            <w:vAlign w:val="bottom"/>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2</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22"/>
        </w:trPr>
        <w:tc>
          <w:tcPr>
            <w:tcW w:w="7940" w:type="dxa"/>
            <w:vAlign w:val="bottom"/>
          </w:tcPr>
          <w:p>
            <w:pPr>
              <w:spacing w:after="0"/>
              <w:rPr>
                <w:sz w:val="20"/>
                <w:szCs w:val="20"/>
                <w:color w:val="auto"/>
              </w:rPr>
            </w:pPr>
            <w:r>
              <w:rPr>
                <w:rFonts w:ascii="Arial" w:cs="Arial" w:eastAsia="Arial" w:hAnsi="Arial"/>
                <w:sz w:val="18"/>
                <w:szCs w:val="18"/>
                <w:color w:val="auto"/>
              </w:rPr>
              <w:t>Balance, June 30, 2009</w:t>
            </w:r>
          </w:p>
        </w:tc>
        <w:tc>
          <w:tcPr>
            <w:tcW w:w="400" w:type="dxa"/>
            <w:vAlign w:val="bottom"/>
          </w:tcPr>
          <w:p>
            <w:pPr>
              <w:spacing w:after="0"/>
              <w:rPr>
                <w:sz w:val="20"/>
                <w:szCs w:val="20"/>
                <w:color w:val="auto"/>
              </w:rPr>
            </w:pPr>
            <w:r>
              <w:rPr>
                <w:rFonts w:ascii="Arial" w:cs="Arial" w:eastAsia="Arial" w:hAnsi="Arial"/>
                <w:sz w:val="18"/>
                <w:szCs w:val="18"/>
                <w:color w:val="auto"/>
                <w:w w:val="84"/>
              </w:rPr>
              <w:t>1,334</w:t>
            </w:r>
          </w:p>
        </w:tc>
        <w:tc>
          <w:tcPr>
            <w:tcW w:w="62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(136)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1,198</w:t>
            </w:r>
          </w:p>
        </w:tc>
      </w:tr>
      <w:tr>
        <w:trPr>
          <w:trHeight w:val="20"/>
        </w:trPr>
        <w:tc>
          <w:tcPr>
            <w:tcW w:w="79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six-month period ended June 30, 2009 are not necessarily indicative of the results that may be expected for the full year ending December 31, 2009. The December 31, 2008 balance sheet information has been derived from the audited 2008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2008, filed with the Securities and Exchange Commission on February 11, 2009.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Subsequent events have been evaluated through July 29, 2009, which is the date the financial statements were issued.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Effective January 1, 2009, Schlumberger adopted SFAS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 Amendment of ARB No. 51</w:t>
      </w:r>
      <w:r>
        <w:rPr>
          <w:rFonts w:ascii="Arial" w:cs="Arial" w:eastAsia="Arial" w:hAnsi="Arial"/>
          <w:sz w:val="18"/>
          <w:szCs w:val="18"/>
          <w:color w:val="auto"/>
        </w:rPr>
        <w:t xml:space="preserve"> (“SFAS 160”)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standard changed the accounting for and reporting of minority interests (now referred to as noncontrolling interests). Noncontrolling interests are now classified as equity in the Schlumberger financial statements.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SFAS 160 also changed the way the consolidated income statement is presented by requiring net income to include the net income for both the parent and the noncontrolling interests, with disclosure of both amounts on the consolidated statement of income. The calculation of earnings per share continues to be based on income amounts attributable to the parent.</w:t>
      </w:r>
    </w:p>
    <w:p>
      <w:pPr>
        <w:spacing w:after="0" w:line="14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As a result of the adoption of SFAS 160, prior period amounts related to noncontrolling interests have been reclassified to conform to the current period presentation.</w:t>
      </w:r>
    </w:p>
    <w:p>
      <w:pPr>
        <w:spacing w:after="0" w:line="207"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during the second quarter of 2009:</w:t>
      </w:r>
    </w:p>
    <w:p>
      <w:pPr>
        <w:spacing w:after="0" w:line="90" w:lineRule="exact"/>
        <w:rPr>
          <w:sz w:val="20"/>
          <w:szCs w:val="20"/>
          <w:color w:val="auto"/>
        </w:rPr>
      </w:pPr>
    </w:p>
    <w:p>
      <w:pPr>
        <w:ind w:left="900" w:right="60" w:hanging="446"/>
        <w:spacing w:after="0" w:line="29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Schlumberger continued to reduce its global workforce as a result of the slowdown in oil and gas exploration and production spending and its effect on activity in the oilfield services sector. As a result of these actions, Schlumberger recorded a pretax charge of $102 million ($85 million after-tax), which is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Approximately $57 million of the charge remained unpaid as of June 30, 2009, most of which is expected to be paid during the third quarter of 2009.</w:t>
      </w:r>
    </w:p>
    <w:p>
      <w:pPr>
        <w:spacing w:after="0" w:line="31" w:lineRule="exact"/>
        <w:rPr>
          <w:rFonts w:ascii="Arial" w:cs="Arial" w:eastAsia="Arial" w:hAnsi="Arial"/>
          <w:sz w:val="16"/>
          <w:szCs w:val="16"/>
          <w:color w:val="auto"/>
        </w:rPr>
      </w:pPr>
    </w:p>
    <w:p>
      <w:pPr>
        <w:jc w:val="both"/>
        <w:ind w:left="900" w:right="440" w:hanging="446"/>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As a consequence of these workforce reductions, Schlumberger recorded pretax non-cash pension and other postretirement benefit curtailment charges of $136 million ($122 million after-tax). These costs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Income</w:t>
      </w:r>
      <w:r>
        <w:rPr>
          <w:rFonts w:ascii="Arial" w:cs="Arial" w:eastAsia="Arial" w:hAnsi="Arial"/>
          <w:sz w:val="16"/>
          <w:szCs w:val="16"/>
          <w:color w:val="auto"/>
        </w:rPr>
        <w:t>. Refer to Note 15 –</w:t>
      </w:r>
      <w:r>
        <w:rPr>
          <w:rFonts w:ascii="Arial" w:cs="Arial" w:eastAsia="Arial" w:hAnsi="Arial"/>
          <w:sz w:val="16"/>
          <w:szCs w:val="16"/>
          <w:i w:val="1"/>
          <w:iCs w:val="1"/>
          <w:color w:val="auto"/>
        </w:rPr>
        <w:t xml:space="preserve"> Pension and Other Postretirement Benefits </w:t>
      </w:r>
      <w:r>
        <w:rPr>
          <w:rFonts w:ascii="Arial" w:cs="Arial" w:eastAsia="Arial" w:hAnsi="Arial"/>
          <w:sz w:val="16"/>
          <w:szCs w:val="16"/>
          <w:color w:val="auto"/>
        </w:rPr>
        <w:t>for further details.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4"/>
          </w:tcPr>
          <w:p>
            <w:pPr>
              <w:jc w:val="right"/>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84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4"/>
              </w:rPr>
              <w:t>Pretax</w:t>
            </w:r>
          </w:p>
        </w:tc>
        <w:tc>
          <w:tcPr>
            <w:tcW w:w="50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Tax</w:t>
            </w: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Net</w:t>
            </w: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3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 Workforce reductions</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$ 102</w:t>
            </w: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 Postretirement benefits curtailment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122</w:t>
            </w:r>
          </w:p>
        </w:tc>
      </w:tr>
      <w:tr>
        <w:trPr>
          <w:trHeight w:val="20"/>
        </w:trPr>
        <w:tc>
          <w:tcPr>
            <w:tcW w:w="8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22"/>
        </w:trPr>
        <w:tc>
          <w:tcPr>
            <w:tcW w:w="8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$ 238</w:t>
            </w:r>
          </w:p>
        </w:tc>
        <w:tc>
          <w:tcPr>
            <w:tcW w:w="500" w:type="dxa"/>
            <w:vAlign w:val="bottom"/>
          </w:tcPr>
          <w:p>
            <w:pPr>
              <w:spacing w:after="0"/>
              <w:rPr>
                <w:sz w:val="19"/>
                <w:szCs w:val="19"/>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207</w:t>
            </w:r>
          </w:p>
        </w:tc>
      </w:tr>
      <w:tr>
        <w:trPr>
          <w:trHeight w:val="20"/>
        </w:trPr>
        <w:tc>
          <w:tcPr>
            <w:tcW w:w="8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is a reconciliation from basic earnings per share of Schlumberger from continuing operations to diluted earnings per share of Schlumberger from continuing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7"/>
          </w:tcPr>
          <w:p>
            <w:pPr>
              <w:jc w:val="right"/>
              <w:ind w:right="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284"/>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Schlumberger</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gridSpan w:val="3"/>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Schlumberger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4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Operations</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Second Quarter</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Basic</w:t>
            </w:r>
          </w:p>
        </w:tc>
        <w:tc>
          <w:tcPr>
            <w:tcW w:w="3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613</w:t>
            </w:r>
          </w:p>
        </w:tc>
        <w:tc>
          <w:tcPr>
            <w:tcW w:w="144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b w:val="1"/>
                <w:bCs w:val="1"/>
                <w:color w:val="auto"/>
              </w:rPr>
              <w:t>1,197</w:t>
            </w:r>
          </w:p>
        </w:tc>
        <w:tc>
          <w:tcPr>
            <w:tcW w:w="420" w:type="dxa"/>
            <w:vAlign w:val="bottom"/>
            <w:tcBorders>
              <w:top w:val="single" w:sz="8" w:color="CCEEFF"/>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0.51</w:t>
            </w:r>
          </w:p>
        </w:tc>
        <w:tc>
          <w:tcPr>
            <w:tcW w:w="5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1,420</w:t>
            </w:r>
          </w:p>
        </w:tc>
        <w:tc>
          <w:tcPr>
            <w:tcW w:w="130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1,195</w:t>
            </w:r>
          </w:p>
        </w:tc>
        <w:tc>
          <w:tcPr>
            <w:tcW w:w="200" w:type="dxa"/>
            <w:vAlign w:val="bottom"/>
            <w:tcBorders>
              <w:top w:val="single" w:sz="8" w:color="CCEEFF"/>
            </w:tcBorders>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0.51</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5"/>
                <w:szCs w:val="15"/>
                <w:color w:val="auto"/>
                <w:w w:val="71"/>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line="20" w:lineRule="exact"/>
              <w:rPr>
                <w:sz w:val="1"/>
                <w:szCs w:val="1"/>
                <w:color w:val="auto"/>
              </w:rPr>
            </w:pPr>
          </w:p>
        </w:tc>
      </w:tr>
      <w:tr>
        <w:trPr>
          <w:trHeight w:val="223"/>
        </w:trPr>
        <w:tc>
          <w:tcPr>
            <w:tcW w:w="454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615</w:t>
            </w:r>
          </w:p>
        </w:tc>
        <w:tc>
          <w:tcPr>
            <w:tcW w:w="4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1,423</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1,230</w:t>
            </w:r>
          </w:p>
        </w:tc>
        <w:tc>
          <w:tcPr>
            <w:tcW w:w="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Schlumberger</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Schlumberger</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Income from</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Continuing</w:t>
            </w:r>
          </w:p>
        </w:tc>
        <w:tc>
          <w:tcPr>
            <w:tcW w:w="4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Earnings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Continuing</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3"/>
              </w:rPr>
              <w:t>Operations</w:t>
            </w:r>
          </w:p>
        </w:tc>
        <w:tc>
          <w:tcPr>
            <w:tcW w:w="48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Outstanding</w:t>
            </w:r>
          </w:p>
        </w:tc>
        <w:tc>
          <w:tcPr>
            <w:tcW w:w="2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6"/>
              </w:rPr>
              <w:t>per Share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Operations</w:t>
            </w:r>
          </w:p>
        </w:tc>
        <w:tc>
          <w:tcPr>
            <w:tcW w:w="13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2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Six Months</w:t>
            </w: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w:t>
            </w:r>
          </w:p>
        </w:tc>
        <w:tc>
          <w:tcPr>
            <w:tcW w:w="36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1,552</w:t>
            </w:r>
          </w:p>
        </w:tc>
        <w:tc>
          <w:tcPr>
            <w:tcW w:w="144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b w:val="1"/>
                <w:bCs w:val="1"/>
                <w:color w:val="auto"/>
              </w:rPr>
              <w:t>1,197</w:t>
            </w:r>
          </w:p>
        </w:tc>
        <w:tc>
          <w:tcPr>
            <w:tcW w:w="420" w:type="dxa"/>
            <w:vAlign w:val="bottom"/>
            <w:tcBorders>
              <w:top w:val="single" w:sz="8" w:color="CCEEFF"/>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1.30</w:t>
            </w:r>
          </w:p>
        </w:tc>
        <w:tc>
          <w:tcPr>
            <w:tcW w:w="5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480"/>
              <w:spacing w:after="0"/>
              <w:rPr>
                <w:sz w:val="20"/>
                <w:szCs w:val="20"/>
                <w:color w:val="auto"/>
              </w:rPr>
            </w:pPr>
            <w:r>
              <w:rPr>
                <w:rFonts w:ascii="Arial" w:cs="Arial" w:eastAsia="Arial" w:hAnsi="Arial"/>
                <w:sz w:val="18"/>
                <w:szCs w:val="18"/>
                <w:color w:val="auto"/>
              </w:rPr>
              <w:t>2,720</w:t>
            </w:r>
          </w:p>
        </w:tc>
        <w:tc>
          <w:tcPr>
            <w:tcW w:w="1300" w:type="dxa"/>
            <w:vAlign w:val="bottom"/>
            <w:tcBorders>
              <w:top w:val="single" w:sz="8" w:color="CCEEFF"/>
            </w:tcBorders>
            <w:gridSpan w:val="2"/>
          </w:tcPr>
          <w:p>
            <w:pPr>
              <w:jc w:val="right"/>
              <w:ind w:right="500"/>
              <w:spacing w:after="0"/>
              <w:rPr>
                <w:sz w:val="20"/>
                <w:szCs w:val="20"/>
                <w:color w:val="auto"/>
              </w:rPr>
            </w:pPr>
            <w:r>
              <w:rPr>
                <w:rFonts w:ascii="Arial" w:cs="Arial" w:eastAsia="Arial" w:hAnsi="Arial"/>
                <w:sz w:val="18"/>
                <w:szCs w:val="18"/>
                <w:color w:val="auto"/>
              </w:rPr>
              <w:t>1,196</w:t>
            </w:r>
          </w:p>
        </w:tc>
        <w:tc>
          <w:tcPr>
            <w:tcW w:w="200" w:type="dxa"/>
            <w:vAlign w:val="bottom"/>
            <w:tcBorders>
              <w:top w:val="single" w:sz="8" w:color="CCEEFF"/>
            </w:tcBorders>
          </w:tcPr>
          <w:p>
            <w:pPr>
              <w:jc w:val="right"/>
              <w:ind w:right="4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1.28</w:t>
            </w: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5"/>
                <w:szCs w:val="15"/>
                <w:color w:val="auto"/>
                <w:w w:val="71"/>
              </w:rPr>
              <w:t>$</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line="20" w:lineRule="exact"/>
              <w:rPr>
                <w:sz w:val="1"/>
                <w:szCs w:val="1"/>
                <w:color w:val="auto"/>
              </w:rPr>
            </w:pPr>
          </w:p>
        </w:tc>
      </w:tr>
      <w:tr>
        <w:trPr>
          <w:trHeight w:val="223"/>
        </w:trPr>
        <w:tc>
          <w:tcPr>
            <w:tcW w:w="454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1,556</w:t>
            </w:r>
          </w:p>
        </w:tc>
        <w:tc>
          <w:tcPr>
            <w:tcW w:w="4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1,212</w:t>
            </w:r>
          </w:p>
        </w:tc>
        <w:tc>
          <w:tcPr>
            <w:tcW w:w="220" w:type="dxa"/>
            <w:vAlign w:val="bottom"/>
            <w:vMerge w:val="continue"/>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2,728</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1,231</w:t>
            </w:r>
          </w:p>
        </w:tc>
        <w:tc>
          <w:tcPr>
            <w:tcW w:w="20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29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8"/>
        </w:trPr>
        <w:tc>
          <w:tcPr>
            <w:tcW w:w="2920" w:type="dxa"/>
            <w:vAlign w:val="bottom"/>
          </w:tcPr>
          <w:p>
            <w:pPr>
              <w:spacing w:after="0"/>
              <w:rPr>
                <w:sz w:val="20"/>
                <w:szCs w:val="20"/>
                <w:color w:val="auto"/>
              </w:rPr>
            </w:pPr>
            <w:r>
              <w:rPr>
                <w:rFonts w:ascii="Arial" w:cs="Arial" w:eastAsia="Arial" w:hAnsi="Arial"/>
                <w:sz w:val="18"/>
                <w:szCs w:val="18"/>
                <w:color w:val="auto"/>
              </w:rPr>
              <w:t>Six Months</w:t>
            </w:r>
          </w:p>
        </w:tc>
        <w:tc>
          <w:tcPr>
            <w:tcW w:w="56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350"/>
        </w:trPr>
        <w:tc>
          <w:tcPr>
            <w:tcW w:w="2920" w:type="dxa"/>
            <w:vAlign w:val="bottom"/>
          </w:tcPr>
          <w:p>
            <w:pPr>
              <w:spacing w:after="0"/>
              <w:rPr>
                <w:sz w:val="24"/>
                <w:szCs w:val="24"/>
                <w:color w:val="auto"/>
              </w:rPr>
            </w:pPr>
          </w:p>
        </w:tc>
        <w:tc>
          <w:tcPr>
            <w:tcW w:w="5100" w:type="dxa"/>
            <w:vAlign w:val="bottom"/>
          </w:tcPr>
          <w:p>
            <w:pPr>
              <w:jc w:val="right"/>
              <w:ind w:right="3092"/>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first six months of 2009, Schlumberger made certain acquisitions and minority interest investments, none of which were significant on an individual basis, for an aggregate amount of $198 million, net of cash acquired.</w:t>
      </w:r>
    </w:p>
    <w:p>
      <w:pPr>
        <w:spacing w:after="0" w:line="20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7"/>
          </w:tcPr>
          <w:p>
            <w:pPr>
              <w:jc w:val="right"/>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6"/>
          </w:tcPr>
          <w:p>
            <w:pPr>
              <w:ind w:left="40"/>
              <w:spacing w:after="0" w:line="149" w:lineRule="exact"/>
              <w:rPr>
                <w:sz w:val="20"/>
                <w:szCs w:val="20"/>
                <w:color w:val="auto"/>
              </w:rPr>
            </w:pPr>
            <w:r>
              <w:rPr>
                <w:rFonts w:ascii="Arial" w:cs="Arial" w:eastAsia="Arial" w:hAnsi="Arial"/>
                <w:sz w:val="14"/>
                <w:szCs w:val="14"/>
                <w:b w:val="1"/>
                <w:bCs w:val="1"/>
                <w:color w:val="auto"/>
              </w:rPr>
              <w:t>Jun. 30</w:t>
            </w:r>
          </w:p>
        </w:tc>
        <w:tc>
          <w:tcPr>
            <w:tcW w:w="100" w:type="dxa"/>
            <w:vAlign w:val="bottom"/>
          </w:tcPr>
          <w:p>
            <w:pPr>
              <w:spacing w:after="0"/>
              <w:rPr>
                <w:sz w:val="12"/>
                <w:szCs w:val="12"/>
                <w:color w:val="auto"/>
              </w:rPr>
            </w:pPr>
          </w:p>
        </w:tc>
        <w:tc>
          <w:tcPr>
            <w:tcW w:w="50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9"/>
              </w:rPr>
              <w:t>Dec. 31</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500" w:type="dxa"/>
            <w:vAlign w:val="bottom"/>
            <w:gridSpan w:val="2"/>
          </w:tcPr>
          <w:p>
            <w:pPr>
              <w:spacing w:after="0"/>
              <w:rPr>
                <w:sz w:val="14"/>
                <w:szCs w:val="14"/>
                <w:color w:val="auto"/>
              </w:rPr>
            </w:pPr>
          </w:p>
        </w:tc>
        <w:tc>
          <w:tcPr>
            <w:tcW w:w="5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100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$1,804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1000" w:type="dxa"/>
            <w:vAlign w:val="bottom"/>
            <w:gridSpan w:val="6"/>
          </w:tcPr>
          <w:p>
            <w:pPr>
              <w:jc w:val="right"/>
              <w:spacing w:after="0"/>
              <w:rPr>
                <w:sz w:val="20"/>
                <w:szCs w:val="20"/>
                <w:color w:val="auto"/>
              </w:rPr>
            </w:pPr>
            <w:r>
              <w:rPr>
                <w:rFonts w:ascii="Arial" w:cs="Arial" w:eastAsia="Arial" w:hAnsi="Arial"/>
                <w:sz w:val="18"/>
                <w:szCs w:val="18"/>
                <w:b w:val="1"/>
                <w:bCs w:val="1"/>
                <w:color w:val="auto"/>
              </w:rPr>
              <w:t>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2,021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1,919</w:t>
            </w:r>
          </w:p>
        </w:tc>
        <w:tc>
          <w:tcPr>
            <w:tcW w:w="0" w:type="dxa"/>
            <w:vAlign w:val="bottom"/>
          </w:tcPr>
          <w:p>
            <w:pPr>
              <w:spacing w:after="0"/>
              <w:rPr>
                <w:sz w:val="1"/>
                <w:szCs w:val="1"/>
                <w:color w:val="auto"/>
              </w:rPr>
            </w:pPr>
          </w:p>
        </w:tc>
      </w:tr>
      <w:tr>
        <w:trPr>
          <w:trHeight w:val="20"/>
        </w:trPr>
        <w:tc>
          <w:tcPr>
            <w:tcW w:w="85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6. Fixed Assets</w:t>
            </w: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852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20" w:type="dxa"/>
            <w:vAlign w:val="bottom"/>
            <w:gridSpan w:val="5"/>
          </w:tcPr>
          <w:p>
            <w:pPr>
              <w:spacing w:after="0"/>
              <w:rPr>
                <w:sz w:val="20"/>
                <w:szCs w:val="20"/>
                <w:color w:val="auto"/>
              </w:rPr>
            </w:pPr>
            <w:r>
              <w:rPr>
                <w:rFonts w:ascii="Arial" w:cs="Arial" w:eastAsia="Arial" w:hAnsi="Arial"/>
                <w:sz w:val="18"/>
                <w:szCs w:val="18"/>
                <w:color w:val="auto"/>
              </w:rPr>
              <w:t>A summary of fixed assets follows: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jc w:val="right"/>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Jun. 30</w:t>
            </w: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$20,852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2"/>
              </w:rPr>
              <w:t>$ 20,152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11,164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$ 9,688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  9,690</w:t>
            </w:r>
          </w:p>
        </w:tc>
        <w:tc>
          <w:tcPr>
            <w:tcW w:w="0" w:type="dxa"/>
            <w:vAlign w:val="bottom"/>
          </w:tcPr>
          <w:p>
            <w:pPr>
              <w:spacing w:after="0"/>
              <w:rPr>
                <w:sz w:val="1"/>
                <w:szCs w:val="1"/>
                <w:color w:val="auto"/>
              </w:rPr>
            </w:pPr>
          </w:p>
        </w:tc>
      </w:tr>
      <w:tr>
        <w:trPr>
          <w:trHeight w:val="20"/>
        </w:trPr>
        <w:tc>
          <w:tcPr>
            <w:tcW w:w="8520" w:type="dxa"/>
            <w:vAlign w:val="bottom"/>
            <w:gridSpan w:val="5"/>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52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jc w:val="right"/>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640" w:type="dxa"/>
            <w:vAlign w:val="bottom"/>
            <w:gridSpan w:val="3"/>
          </w:tcPr>
          <w:p>
            <w:pPr>
              <w:spacing w:after="0"/>
              <w:rPr>
                <w:sz w:val="14"/>
                <w:szCs w:val="14"/>
                <w:color w:val="auto"/>
              </w:rPr>
            </w:pPr>
          </w:p>
        </w:tc>
        <w:tc>
          <w:tcPr>
            <w:tcW w:w="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2008</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140" w:type="dxa"/>
            <w:vAlign w:val="bottom"/>
            <w:gridSpan w:val="7"/>
            <w:shd w:val="clear" w:color="auto" w:fill="CCEEFF"/>
          </w:tcPr>
          <w:p>
            <w:pPr>
              <w:jc w:val="center"/>
              <w:ind w:left="552"/>
              <w:spacing w:after="0"/>
              <w:rPr>
                <w:sz w:val="20"/>
                <w:szCs w:val="20"/>
                <w:color w:val="auto"/>
              </w:rPr>
            </w:pPr>
            <w:r>
              <w:rPr>
                <w:rFonts w:ascii="Arial" w:cs="Arial" w:eastAsia="Arial" w:hAnsi="Arial"/>
                <w:sz w:val="18"/>
                <w:szCs w:val="18"/>
                <w:b w:val="1"/>
                <w:bCs w:val="1"/>
                <w:color w:val="auto"/>
                <w:w w:val="99"/>
              </w:rPr>
              <w:t>$  537</w:t>
            </w:r>
          </w:p>
        </w:tc>
        <w:tc>
          <w:tcPr>
            <w:tcW w:w="2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Six Months</w:t>
            </w:r>
          </w:p>
        </w:tc>
        <w:tc>
          <w:tcPr>
            <w:tcW w:w="1140" w:type="dxa"/>
            <w:vAlign w:val="bottom"/>
            <w:gridSpan w:val="7"/>
          </w:tcPr>
          <w:p>
            <w:pPr>
              <w:jc w:val="center"/>
              <w:ind w:left="552"/>
              <w:spacing w:after="0"/>
              <w:rPr>
                <w:sz w:val="20"/>
                <w:szCs w:val="20"/>
                <w:color w:val="auto"/>
              </w:rPr>
            </w:pPr>
            <w:r>
              <w:rPr>
                <w:rFonts w:ascii="Arial" w:cs="Arial" w:eastAsia="Arial" w:hAnsi="Arial"/>
                <w:sz w:val="18"/>
                <w:szCs w:val="18"/>
                <w:b w:val="1"/>
                <w:bCs w:val="1"/>
                <w:color w:val="auto"/>
                <w:w w:val="90"/>
              </w:rPr>
              <w:t>$1,067</w:t>
            </w:r>
          </w:p>
        </w:tc>
        <w:tc>
          <w:tcPr>
            <w:tcW w:w="24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406"/>
        </w:trPr>
        <w:tc>
          <w:tcPr>
            <w:tcW w:w="8520" w:type="dxa"/>
            <w:vAlign w:val="bottom"/>
            <w:gridSpan w:val="5"/>
          </w:tcPr>
          <w:p>
            <w:pPr>
              <w:spacing w:after="0"/>
              <w:rPr>
                <w:sz w:val="20"/>
                <w:szCs w:val="20"/>
                <w:color w:val="auto"/>
              </w:rPr>
            </w:pPr>
            <w:r>
              <w:rPr>
                <w:rFonts w:ascii="Arial" w:cs="Arial" w:eastAsia="Arial" w:hAnsi="Arial"/>
                <w:sz w:val="18"/>
                <w:szCs w:val="18"/>
                <w:b w:val="1"/>
                <w:bCs w:val="1"/>
                <w:color w:val="auto"/>
              </w:rPr>
              <w:t>7. Multiclient Seismic Data</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40" w:type="dxa"/>
            <w:vAlign w:val="bottom"/>
            <w:gridSpan w:val="3"/>
            <w:shd w:val="clear" w:color="auto" w:fill="000000"/>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520" w:type="dxa"/>
            <w:vAlign w:val="bottom"/>
            <w:gridSpan w:val="5"/>
          </w:tcPr>
          <w:p>
            <w:pPr>
              <w:spacing w:after="0"/>
              <w:rPr>
                <w:sz w:val="20"/>
                <w:szCs w:val="20"/>
                <w:color w:val="auto"/>
              </w:rPr>
            </w:pPr>
            <w:r>
              <w:rPr>
                <w:rFonts w:ascii="Arial" w:cs="Arial" w:eastAsia="Arial" w:hAnsi="Arial"/>
                <w:sz w:val="18"/>
                <w:szCs w:val="18"/>
                <w:color w:val="auto"/>
                <w:w w:val="90"/>
              </w:rPr>
              <w:t>The change in the carrying amount of multiclient seismic data for the six months ended June 30, 2009 was as follows: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7"/>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000" w:type="dxa"/>
            <w:vAlign w:val="bottom"/>
            <w:gridSpan w:val="6"/>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tcPr>
          <w:p>
            <w:pPr>
              <w:spacing w:after="0"/>
              <w:rPr>
                <w:sz w:val="20"/>
                <w:szCs w:val="20"/>
                <w:color w:val="auto"/>
              </w:rPr>
            </w:pPr>
            <w:r>
              <w:rPr>
                <w:rFonts w:ascii="Arial" w:cs="Arial" w:eastAsia="Arial" w:hAnsi="Arial"/>
                <w:sz w:val="18"/>
                <w:szCs w:val="18"/>
                <w:color w:val="auto"/>
              </w:rPr>
              <w:t>Capitalized in period</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Charged to cost of goods sold and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Balance at June 30, 2009</w:t>
            </w:r>
          </w:p>
        </w:tc>
        <w:tc>
          <w:tcPr>
            <w:tcW w:w="840" w:type="dxa"/>
            <w:vAlign w:val="bottom"/>
            <w:gridSpan w:val="5"/>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0" w:type="dxa"/>
            <w:vAlign w:val="bottom"/>
            <w:gridSpan w:val="3"/>
            <w:vMerge w:val="continue"/>
          </w:tcPr>
          <w:p>
            <w:pPr>
              <w:spacing w:after="0"/>
              <w:rPr>
                <w:sz w:val="19"/>
                <w:szCs w:val="19"/>
                <w:color w:val="auto"/>
              </w:rPr>
            </w:pPr>
          </w:p>
        </w:tc>
        <w:tc>
          <w:tcPr>
            <w:tcW w:w="1000" w:type="dxa"/>
            <w:vAlign w:val="bottom"/>
            <w:gridSpan w:val="6"/>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8520" w:type="dxa"/>
            <w:vAlign w:val="bottom"/>
            <w:gridSpan w:val="5"/>
            <w:vMerge w:val="restart"/>
          </w:tcPr>
          <w:p>
            <w:pPr>
              <w:ind w:left="56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2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for the six months ended June 30, 2009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5"/>
          </w:tcPr>
          <w:p>
            <w:pPr>
              <w:ind w:left="46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788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2"/>
              </w:rPr>
              <w:t>Oilfield</w:t>
            </w:r>
          </w:p>
        </w:tc>
        <w:tc>
          <w:tcPr>
            <w:tcW w:w="24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Western</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8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Services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Geco</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$4,174</w:t>
            </w: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$1,015</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Balance at June 30, 2009</w:t>
            </w: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4,251</w:t>
            </w:r>
          </w:p>
        </w:tc>
        <w:tc>
          <w:tcPr>
            <w:tcW w:w="280" w:type="dxa"/>
            <w:vAlign w:val="bottom"/>
          </w:tcPr>
          <w:p>
            <w:pPr>
              <w:spacing w:after="0"/>
              <w:rPr>
                <w:sz w:val="19"/>
                <w:szCs w:val="19"/>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1,015</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Jun. 30, 2009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Dec. 31, 2008</w:t>
            </w:r>
          </w:p>
        </w:tc>
        <w:tc>
          <w:tcPr>
            <w:tcW w:w="1060" w:type="dxa"/>
            <w:vAlign w:val="bottom"/>
            <w:gridSpan w:val="4"/>
          </w:tcPr>
          <w:p>
            <w:pPr>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36"/>
        </w:trPr>
        <w:tc>
          <w:tcPr>
            <w:tcW w:w="4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vMerge w:val="continue"/>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6"/>
              <w:spacing w:after="0" w:line="129" w:lineRule="exact"/>
              <w:rPr>
                <w:sz w:val="20"/>
                <w:szCs w:val="20"/>
                <w:color w:val="auto"/>
              </w:rPr>
            </w:pPr>
            <w:r>
              <w:rPr>
                <w:rFonts w:ascii="Arial" w:cs="Arial" w:eastAsia="Arial" w:hAnsi="Arial"/>
                <w:sz w:val="14"/>
                <w:szCs w:val="14"/>
                <w:b w:val="1"/>
                <w:bCs w:val="1"/>
                <w:color w:val="auto"/>
                <w:w w:val="88"/>
              </w:rPr>
              <w:t>Gross</w:t>
            </w:r>
          </w:p>
        </w:tc>
        <w:tc>
          <w:tcPr>
            <w:tcW w:w="5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Net Book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0"/>
              </w:rPr>
              <w:t>Value</w:t>
            </w:r>
          </w:p>
        </w:tc>
        <w:tc>
          <w:tcPr>
            <w:tcW w:w="50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Book Value</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338</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248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136</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405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1,354</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497</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w w:val="95"/>
              </w:rPr>
              <w:t>(Stated in millions)</w:t>
            </w:r>
          </w:p>
        </w:tc>
      </w:tr>
      <w:tr>
        <w:trPr>
          <w:trHeight w:val="161"/>
        </w:trPr>
        <w:tc>
          <w:tcPr>
            <w:tcW w:w="8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3"/>
              </w:rPr>
              <w:t>2008</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8"/>
        </w:trPr>
        <w:tc>
          <w:tcPr>
            <w:tcW w:w="8020" w:type="dxa"/>
            <w:vAlign w:val="bottom"/>
          </w:tcPr>
          <w:p>
            <w:pPr>
              <w:spacing w:after="0"/>
              <w:rPr>
                <w:sz w:val="20"/>
                <w:szCs w:val="20"/>
                <w:color w:val="auto"/>
              </w:rPr>
            </w:pPr>
            <w:r>
              <w:rPr>
                <w:rFonts w:ascii="Arial" w:cs="Arial" w:eastAsia="Arial" w:hAnsi="Arial"/>
                <w:sz w:val="18"/>
                <w:szCs w:val="18"/>
                <w:color w:val="auto"/>
              </w:rPr>
              <w:t>Six Months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17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Based on the net book value of intangible assets at June 30, 2009, amortization charged to income for the subsequent five years is estimated to be: remainder of 2009 – $59 million; 2010 – $106 million; 2011 – $97 million; 2012 – $89 million; 2013 – $74 million and 2014 – $68 million.</w:t>
      </w:r>
    </w:p>
    <w:p>
      <w:pPr>
        <w:spacing w:after="0" w:line="160"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multinational company, Schlumberger conducts its business in approximately 80 countries. Schlumberger’s functional currency is primarily the US dollar, which is consistent with the oil and gas industry. However, outside the United States, a significant portion of Schlumberger’s expenses is incurred in foreign currencies.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Therefore, when the US dollar weakens (strengthens) in relation to the foreign currencies of the countries in which Schlumberger conducts business, the US dollar – reported expenses will increase (decrease).</w:t>
      </w:r>
    </w:p>
    <w:p>
      <w:pPr>
        <w:spacing w:after="0" w:line="1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under the provisions of SFAS No.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(SFAS No. 133), with the effective portion of changes in the fair value of the hedge recorded on the</w:t>
      </w:r>
      <w:r>
        <w:rPr>
          <w:rFonts w:ascii="Arial" w:cs="Arial" w:eastAsia="Arial" w:hAnsi="Arial"/>
          <w:sz w:val="16"/>
          <w:szCs w:val="16"/>
          <w:i w:val="1"/>
          <w:iCs w:val="1"/>
          <w:color w:val="auto"/>
        </w:rPr>
        <w:t xml:space="preserve"> Consolidated Balance Sheet </w:t>
      </w:r>
      <w:r>
        <w:rPr>
          <w:rFonts w:ascii="Arial" w:cs="Arial" w:eastAsia="Arial" w:hAnsi="Arial"/>
          <w:sz w:val="16"/>
          <w:szCs w:val="16"/>
          <w:color w:val="auto"/>
        </w:rPr>
        <w:t>and in</w:t>
      </w:r>
      <w:r>
        <w:rPr>
          <w:rFonts w:ascii="Arial" w:cs="Arial" w:eastAsia="Arial" w:hAnsi="Arial"/>
          <w:sz w:val="16"/>
          <w:szCs w:val="16"/>
          <w:i w:val="1"/>
          <w:iCs w:val="1"/>
          <w:color w:val="auto"/>
        </w:rPr>
        <w:t xml:space="preserve"> Other Comprehensive Income (Loss). </w:t>
      </w:r>
      <w:r>
        <w:rPr>
          <w:rFonts w:ascii="Arial" w:cs="Arial" w:eastAsia="Arial" w:hAnsi="Arial"/>
          <w:sz w:val="16"/>
          <w:szCs w:val="16"/>
          <w:color w:val="auto"/>
        </w:rPr>
        <w:t>Amounts recorded in</w:t>
      </w:r>
      <w:r>
        <w:rPr>
          <w:rFonts w:ascii="Arial" w:cs="Arial" w:eastAsia="Arial" w:hAnsi="Arial"/>
          <w:sz w:val="16"/>
          <w:szCs w:val="16"/>
          <w:i w:val="1"/>
          <w:iCs w:val="1"/>
          <w:color w:val="auto"/>
        </w:rPr>
        <w:t xml:space="preserve"> Other Comprehensive Income (Loss) </w:t>
      </w:r>
      <w:r>
        <w:rPr>
          <w:rFonts w:ascii="Arial" w:cs="Arial" w:eastAsia="Arial" w:hAnsi="Arial"/>
          <w:sz w:val="16"/>
          <w:szCs w:val="16"/>
          <w:color w:val="auto"/>
        </w:rPr>
        <w:t>are reclassified into earnings in the same period or periods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hedged item is recognized in earnings. The ineffective portion of changes in the fair value of the hedged item is recorded directly to earnings.</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At June 30, 2009, Schlumberger recognized a cumulative net $52 million gain in </w:t>
      </w:r>
      <w:r>
        <w:rPr>
          <w:rFonts w:ascii="Arial" w:cs="Arial" w:eastAsia="Arial" w:hAnsi="Arial"/>
          <w:sz w:val="18"/>
          <w:szCs w:val="18"/>
          <w:i w:val="1"/>
          <w:iCs w:val="1"/>
          <w:color w:val="auto"/>
        </w:rPr>
        <w:t>Equity</w:t>
      </w:r>
      <w:r>
        <w:rPr>
          <w:rFonts w:ascii="Arial" w:cs="Arial" w:eastAsia="Arial" w:hAnsi="Arial"/>
          <w:sz w:val="18"/>
          <w:szCs w:val="18"/>
          <w:color w:val="auto"/>
        </w:rPr>
        <w:t xml:space="preserve"> relating to revaluation of foreign currency forward contracts and foreign currency options designated as cash flow hedges at June 30, 2009.</w:t>
      </w:r>
    </w:p>
    <w:p>
      <w:pPr>
        <w:spacing w:after="0" w:line="1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Schlumberger is also exposed to changes in the fair value of assets and liabilities, including certain of its long-term debt, which are denominated in currencies other than the functional currency. Schlumberger uses foreign currency forward contracts and foreign currency options to hedge this exposure as it relates to certain currencies. These contracts are accounted for as fair value hedges under the provisions of SFAS No. 133, with the fair value of the contracts recorded on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and changes in the fair value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along with the change in fair value of the hedged item.</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At June 30, 2009, contracts were outstanding for the US dollar equivalent of $4.9 billion in various foreign currencies. These contracts expire on various dates during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Schlumberger is exposed to the impact of market fluctuations in the price of commodities, such as copper and lead. Schlumberger has entered into forward contracts on these commodities to manage the price risk associated with forecasted purchases. The objective of these contracts is to reduce the variability of cash flows associated with the forecasted purchase of those commodities. These contracts do not qualify for hedge accounting treatment under the provisions of SFAS No. 133 and therefore, changes in the fair value of the forward contracts are recorded directly to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generally does not involve derivatives and instead primarily uses a mix of variable and fixed rate debt combined with its investment portfolio to mitigate the exposure to changes in interest rates. At June 30, 2009, Schlumberger had fixed rate debt aggregating approximately $3.6 billion and variable rate debt aggregating approximately $2.2 billion.</w:t>
      </w:r>
    </w:p>
    <w:p>
      <w:pPr>
        <w:spacing w:after="0" w:line="14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 xml:space="preserve">Schlumberger’s exposure to interest rate risk associated with its debt is also partially mitigated by its investment portfolio. 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w:t>
      </w:r>
      <w:r>
        <w:rPr>
          <w:rFonts w:ascii="Arial" w:cs="Arial" w:eastAsia="Arial" w:hAnsi="Arial"/>
          <w:sz w:val="16"/>
          <w:szCs w:val="16"/>
          <w:color w:val="auto"/>
        </w:rPr>
        <w:t xml:space="preserve"> </w:t>
      </w:r>
      <w:r>
        <w:rPr>
          <w:rFonts w:ascii="Arial" w:cs="Arial" w:eastAsia="Arial" w:hAnsi="Arial"/>
          <w:sz w:val="16"/>
          <w:szCs w:val="16"/>
          <w:i w:val="1"/>
          <w:iCs w:val="1"/>
          <w:color w:val="auto"/>
        </w:rPr>
        <w:t>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which totaled approximately $4.7 billion at June 30, 2009, are comprised primarily of money market funds, eurodollar time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deposits, certificates of deposit, commercial paper, euro notes and Eurobonds, and are substantially all denominated in US dollars.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is summarized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tcPr>
          <w:p>
            <w:pPr>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w w:val="94"/>
              </w:rPr>
              <w:t>Fair Value of Derivatives</w:t>
            </w:r>
          </w:p>
        </w:tc>
        <w:tc>
          <w:tcPr>
            <w:tcW w:w="43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Classifications</w:t>
            </w:r>
          </w:p>
        </w:tc>
        <w:tc>
          <w:tcPr>
            <w:tcW w:w="0" w:type="dxa"/>
            <w:vAlign w:val="bottom"/>
          </w:tcPr>
          <w:p>
            <w:pPr>
              <w:spacing w:after="0"/>
              <w:rPr>
                <w:sz w:val="1"/>
                <w:szCs w:val="1"/>
                <w:color w:val="auto"/>
              </w:rPr>
            </w:pPr>
          </w:p>
        </w:tc>
      </w:tr>
      <w:tr>
        <w:trPr>
          <w:trHeight w:val="136"/>
        </w:trPr>
        <w:tc>
          <w:tcPr>
            <w:tcW w:w="4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60" w:type="dxa"/>
            <w:vAlign w:val="bottom"/>
            <w:gridSpan w:val="5"/>
            <w:vMerge w:val="continue"/>
          </w:tcPr>
          <w:p>
            <w:pPr>
              <w:spacing w:after="0"/>
              <w:rPr>
                <w:sz w:val="11"/>
                <w:szCs w:val="11"/>
                <w:color w:val="auto"/>
              </w:rPr>
            </w:pPr>
          </w:p>
        </w:tc>
        <w:tc>
          <w:tcPr>
            <w:tcW w:w="4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38"/>
              <w:spacing w:after="0" w:line="129" w:lineRule="exact"/>
              <w:rPr>
                <w:sz w:val="20"/>
                <w:szCs w:val="20"/>
                <w:color w:val="auto"/>
              </w:rPr>
            </w:pPr>
            <w:r>
              <w:rPr>
                <w:rFonts w:ascii="Arial" w:cs="Arial" w:eastAsia="Arial" w:hAnsi="Arial"/>
                <w:sz w:val="14"/>
                <w:szCs w:val="14"/>
                <w:b w:val="1"/>
                <w:bCs w:val="1"/>
                <w:color w:val="auto"/>
                <w:w w:val="86"/>
              </w:rPr>
              <w:t>Jun. 30</w:t>
            </w: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w w:val="85"/>
              </w:rPr>
              <w:t>Dec. 31</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Derivative designated as hedges: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320" w:type="dxa"/>
            <w:vAlign w:val="bottom"/>
            <w:gridSpan w:val="3"/>
            <w:shd w:val="clear" w:color="auto" w:fill="CCEEFF"/>
          </w:tcPr>
          <w:p>
            <w:pPr>
              <w:ind w:left="2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Derivative not designated as hedges: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320" w:type="dxa"/>
            <w:vAlign w:val="bottom"/>
            <w:gridSpan w:val="3"/>
            <w:shd w:val="clear" w:color="auto" w:fill="CCEEFF"/>
          </w:tcPr>
          <w:p>
            <w:pPr>
              <w:ind w:left="2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4320" w:type="dxa"/>
            <w:vAlign w:val="bottom"/>
            <w:gridSpan w:val="3"/>
          </w:tcPr>
          <w:p>
            <w:pPr>
              <w:ind w:left="260"/>
              <w:spacing w:after="0"/>
              <w:rPr>
                <w:sz w:val="20"/>
                <w:szCs w:val="20"/>
                <w:color w:val="auto"/>
              </w:rPr>
            </w:pPr>
            <w:r>
              <w:rPr>
                <w:rFonts w:ascii="Arial" w:cs="Arial" w:eastAsia="Arial" w:hAnsi="Arial"/>
                <w:sz w:val="18"/>
                <w:szCs w:val="18"/>
                <w:i w:val="1"/>
                <w:iCs w:val="1"/>
                <w:color w:val="auto"/>
              </w:rPr>
              <w:t>Other Assets</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Derivative designated as hedges: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4320" w:type="dxa"/>
            <w:vAlign w:val="bottom"/>
            <w:gridSpan w:val="3"/>
            <w:shd w:val="clear" w:color="auto" w:fill="CCEEFF"/>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Derivative not designated as hedges: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4320" w:type="dxa"/>
            <w:vAlign w:val="bottom"/>
            <w:gridSpan w:val="3"/>
            <w:shd w:val="clear" w:color="auto" w:fill="CCEEFF"/>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fair value of all outstanding derivatives are determined using a model with inputs that are observable in the market or can be derived from or corroborated by observable data.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fair value hedges and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tcPr>
          <w:p>
            <w:pPr>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4"/>
                <w:szCs w:val="14"/>
                <w:color w:val="auto"/>
              </w:rPr>
            </w:pPr>
          </w:p>
        </w:tc>
        <w:tc>
          <w:tcPr>
            <w:tcW w:w="2160" w:type="dxa"/>
            <w:vAlign w:val="bottom"/>
            <w:gridSpan w:val="4"/>
            <w:vMerge w:val="restart"/>
          </w:tcPr>
          <w:p>
            <w:pPr>
              <w:jc w:val="center"/>
              <w:ind w:left="98"/>
              <w:spacing w:after="0"/>
              <w:rPr>
                <w:sz w:val="20"/>
                <w:szCs w:val="20"/>
                <w:color w:val="auto"/>
              </w:rPr>
            </w:pPr>
            <w:r>
              <w:rPr>
                <w:rFonts w:ascii="Arial" w:cs="Arial" w:eastAsia="Arial" w:hAnsi="Arial"/>
                <w:sz w:val="14"/>
                <w:szCs w:val="14"/>
                <w:b w:val="1"/>
                <w:bCs w:val="1"/>
                <w:color w:val="auto"/>
                <w:w w:val="86"/>
              </w:rPr>
              <w:t>Gain/(Loss) Recognized in Income</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4"/>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w w:val="76"/>
              </w:rPr>
              <w:t>2009</w:t>
            </w:r>
          </w:p>
        </w:tc>
        <w:tc>
          <w:tcPr>
            <w:tcW w:w="5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2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5"/>
              </w:rPr>
              <w:t>Second Quarter</w:t>
            </w:r>
          </w:p>
        </w:tc>
        <w:tc>
          <w:tcPr>
            <w:tcW w:w="58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Six Months</w:t>
            </w:r>
          </w:p>
        </w:tc>
        <w:tc>
          <w:tcPr>
            <w:tcW w:w="360" w:type="dxa"/>
            <w:vAlign w:val="bottom"/>
          </w:tcPr>
          <w:p>
            <w:pPr>
              <w:spacing w:after="0"/>
              <w:rPr>
                <w:sz w:val="12"/>
                <w:szCs w:val="12"/>
                <w:color w:val="auto"/>
              </w:rPr>
            </w:pPr>
          </w:p>
        </w:tc>
        <w:tc>
          <w:tcPr>
            <w:tcW w:w="3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fair value hedges: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3240" w:type="dxa"/>
            <w:vAlign w:val="bottom"/>
            <w:gridSpan w:val="3"/>
          </w:tcPr>
          <w:p>
            <w:pPr>
              <w:ind w:left="320"/>
              <w:spacing w:after="0"/>
              <w:rPr>
                <w:sz w:val="20"/>
                <w:szCs w:val="20"/>
                <w:color w:val="auto"/>
              </w:rPr>
            </w:pPr>
            <w:r>
              <w:rPr>
                <w:rFonts w:ascii="Arial" w:cs="Arial" w:eastAsia="Arial" w:hAnsi="Arial"/>
                <w:sz w:val="18"/>
                <w:szCs w:val="18"/>
                <w:i w:val="1"/>
                <w:iCs w:val="1"/>
                <w:color w:val="auto"/>
              </w:rPr>
              <w:t>Cost of goods sold and services</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Foreign exchange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(22)</w:t>
            </w:r>
          </w:p>
        </w:tc>
        <w:tc>
          <w:tcPr>
            <w:tcW w:w="3240" w:type="dxa"/>
            <w:vAlign w:val="bottom"/>
            <w:gridSpan w:val="3"/>
          </w:tcPr>
          <w:p>
            <w:pPr>
              <w:ind w:left="320"/>
              <w:spacing w:after="0"/>
              <w:rPr>
                <w:sz w:val="20"/>
                <w:szCs w:val="20"/>
                <w:color w:val="auto"/>
              </w:rPr>
            </w:pPr>
            <w:r>
              <w:rPr>
                <w:rFonts w:ascii="Arial" w:cs="Arial" w:eastAsia="Arial" w:hAnsi="Arial"/>
                <w:sz w:val="18"/>
                <w:szCs w:val="18"/>
                <w:i w:val="1"/>
                <w:iCs w:val="1"/>
                <w:color w:val="auto"/>
              </w:rPr>
              <w:t>Cost of goods sold and services</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Commodity contracts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w:t>
            </w:r>
          </w:p>
        </w:tc>
        <w:tc>
          <w:tcPr>
            <w:tcW w:w="3240" w:type="dxa"/>
            <w:vAlign w:val="bottom"/>
            <w:gridSpan w:val="3"/>
            <w:shd w:val="clear" w:color="auto" w:fill="CCEEFF"/>
          </w:tcPr>
          <w:p>
            <w:pPr>
              <w:ind w:left="320"/>
              <w:spacing w:after="0"/>
              <w:rPr>
                <w:sz w:val="20"/>
                <w:szCs w:val="20"/>
                <w:color w:val="auto"/>
              </w:rPr>
            </w:pPr>
            <w:r>
              <w:rPr>
                <w:rFonts w:ascii="Arial" w:cs="Arial" w:eastAsia="Arial" w:hAnsi="Arial"/>
                <w:sz w:val="18"/>
                <w:szCs w:val="18"/>
                <w:i w:val="1"/>
                <w:iCs w:val="1"/>
                <w:color w:val="auto"/>
              </w:rPr>
              <w:t>Cost of goods sold and services</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12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(22)</w:t>
            </w: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518"/>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derivative instruments in cash flow hedging relationships on income and other comprehensive income (OCI)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tcPr>
          <w:p>
            <w:pPr>
              <w:spacing w:after="0"/>
              <w:rPr>
                <w:sz w:val="20"/>
                <w:szCs w:val="20"/>
                <w:color w:val="auto"/>
              </w:rPr>
            </w:pPr>
            <w:r>
              <w:rPr>
                <w:rFonts w:ascii="Arial" w:cs="Arial" w:eastAsia="Arial" w:hAnsi="Arial"/>
                <w:sz w:val="14"/>
                <w:szCs w:val="14"/>
                <w:i w:val="1"/>
                <w:iCs w:val="1"/>
                <w:color w:val="auto"/>
              </w:rPr>
              <w:t>(Stated in millions)</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vMerge w:val="restart"/>
          </w:tcPr>
          <w:p>
            <w:pPr>
              <w:jc w:val="center"/>
              <w:ind w:right="380"/>
              <w:spacing w:after="0"/>
              <w:rPr>
                <w:sz w:val="20"/>
                <w:szCs w:val="20"/>
                <w:color w:val="auto"/>
              </w:rPr>
            </w:pPr>
            <w:r>
              <w:rPr>
                <w:rFonts w:ascii="Arial" w:cs="Arial" w:eastAsia="Arial" w:hAnsi="Arial"/>
                <w:sz w:val="14"/>
                <w:szCs w:val="14"/>
                <w:b w:val="1"/>
                <w:bCs w:val="1"/>
                <w:color w:val="auto"/>
                <w:w w:val="84"/>
              </w:rPr>
              <w:t>Gain (Loss) Reclassified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6"/>
            <w:vMerge w:val="continue"/>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center"/>
              <w:ind w:left="146"/>
              <w:spacing w:after="0" w:line="149" w:lineRule="exact"/>
              <w:rPr>
                <w:sz w:val="20"/>
                <w:szCs w:val="20"/>
                <w:color w:val="auto"/>
              </w:rPr>
            </w:pPr>
            <w:r>
              <w:rPr>
                <w:rFonts w:ascii="Arial" w:cs="Arial" w:eastAsia="Arial" w:hAnsi="Arial"/>
                <w:sz w:val="14"/>
                <w:szCs w:val="14"/>
                <w:b w:val="1"/>
                <w:bCs w:val="1"/>
                <w:color w:val="auto"/>
                <w:w w:val="88"/>
              </w:rPr>
              <w:t>Gain/(Loss)</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from Accumulated OCI</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right="62"/>
              <w:spacing w:after="0"/>
              <w:rPr>
                <w:sz w:val="20"/>
                <w:szCs w:val="20"/>
                <w:color w:val="auto"/>
              </w:rPr>
            </w:pPr>
            <w:r>
              <w:rPr>
                <w:rFonts w:ascii="Arial" w:cs="Arial" w:eastAsia="Arial" w:hAnsi="Arial"/>
                <w:sz w:val="14"/>
                <w:szCs w:val="14"/>
                <w:b w:val="1"/>
                <w:bCs w:val="1"/>
                <w:color w:val="auto"/>
                <w:w w:val="87"/>
              </w:rPr>
              <w:t>Recognized in OCI</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center"/>
              <w:ind w:left="264"/>
              <w:spacing w:after="0"/>
              <w:rPr>
                <w:sz w:val="20"/>
                <w:szCs w:val="20"/>
                <w:color w:val="auto"/>
              </w:rPr>
            </w:pPr>
            <w:r>
              <w:rPr>
                <w:rFonts w:ascii="Arial" w:cs="Arial" w:eastAsia="Arial" w:hAnsi="Arial"/>
                <w:sz w:val="14"/>
                <w:szCs w:val="14"/>
                <w:b w:val="1"/>
                <w:bCs w:val="1"/>
                <w:color w:val="auto"/>
                <w:w w:val="89"/>
              </w:rPr>
              <w:t>into Income</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center"/>
              <w:ind w:right="62"/>
              <w:spacing w:after="0" w:line="129" w:lineRule="exact"/>
              <w:rPr>
                <w:sz w:val="20"/>
                <w:szCs w:val="20"/>
                <w:color w:val="auto"/>
              </w:rPr>
            </w:pPr>
            <w:r>
              <w:rPr>
                <w:rFonts w:ascii="Arial" w:cs="Arial" w:eastAsia="Arial" w:hAnsi="Arial"/>
                <w:sz w:val="14"/>
                <w:szCs w:val="14"/>
                <w:b w:val="1"/>
                <w:bCs w:val="1"/>
                <w:color w:val="auto"/>
                <w:w w:val="85"/>
              </w:rPr>
              <w:t>Six</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79"/>
              </w:rPr>
              <w:t>Second</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w w:val="94"/>
              </w:rPr>
              <w:t>Six</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Quarter</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Months</w:t>
            </w:r>
          </w:p>
        </w:tc>
        <w:tc>
          <w:tcPr>
            <w:tcW w:w="380" w:type="dxa"/>
            <w:vAlign w:val="bottom"/>
          </w:tcPr>
          <w:p>
            <w:pPr>
              <w:spacing w:after="0"/>
              <w:rPr>
                <w:sz w:val="14"/>
                <w:szCs w:val="14"/>
                <w:color w:val="auto"/>
              </w:rPr>
            </w:pPr>
          </w:p>
        </w:tc>
        <w:tc>
          <w:tcPr>
            <w:tcW w:w="620" w:type="dxa"/>
            <w:vAlign w:val="bottom"/>
            <w:gridSpan w:val="2"/>
          </w:tcPr>
          <w:p>
            <w:pPr>
              <w:jc w:val="right"/>
              <w:ind w:right="4"/>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Months</w:t>
            </w:r>
          </w:p>
        </w:tc>
        <w:tc>
          <w:tcPr>
            <w:tcW w:w="280" w:type="dxa"/>
            <w:vAlign w:val="bottom"/>
          </w:tcPr>
          <w:p>
            <w:pPr>
              <w:spacing w:after="0"/>
              <w:rPr>
                <w:sz w:val="14"/>
                <w:szCs w:val="14"/>
                <w:color w:val="auto"/>
              </w:rPr>
            </w:pPr>
          </w:p>
        </w:tc>
        <w:tc>
          <w:tcPr>
            <w:tcW w:w="3620" w:type="dxa"/>
            <w:vAlign w:val="bottom"/>
            <w:gridSpan w:val="3"/>
          </w:tcPr>
          <w:p>
            <w:pPr>
              <w:ind w:left="22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362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Cost of goods sold and services</w:t>
            </w:r>
          </w:p>
        </w:tc>
        <w:tc>
          <w:tcPr>
            <w:tcW w:w="0" w:type="dxa"/>
            <w:vAlign w:val="bottom"/>
          </w:tcPr>
          <w:p>
            <w:pPr>
              <w:spacing w:after="0"/>
              <w:rPr>
                <w:sz w:val="1"/>
                <w:szCs w:val="1"/>
                <w:color w:val="auto"/>
              </w:rPr>
            </w:pPr>
          </w:p>
        </w:tc>
      </w:tr>
      <w:tr>
        <w:trPr>
          <w:trHeight w:val="222"/>
        </w:trPr>
        <w:tc>
          <w:tcPr>
            <w:tcW w:w="2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620" w:type="dxa"/>
            <w:vAlign w:val="bottom"/>
            <w:gridSpan w:val="3"/>
          </w:tcPr>
          <w:p>
            <w:pPr>
              <w:ind w:left="220"/>
              <w:spacing w:after="0"/>
              <w:rPr>
                <w:sz w:val="20"/>
                <w:szCs w:val="20"/>
                <w:color w:val="auto"/>
              </w:rPr>
            </w:pPr>
            <w:r>
              <w:rPr>
                <w:rFonts w:ascii="Arial" w:cs="Arial" w:eastAsia="Arial" w:hAnsi="Arial"/>
                <w:sz w:val="18"/>
                <w:szCs w:val="18"/>
                <w:i w:val="1"/>
                <w:iCs w:val="1"/>
                <w:color w:val="auto"/>
              </w:rPr>
              <w:t>Research &amp; engineering</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Financial Instruments</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are comprised primarily of money market funds, eurodollar time deposits, certificates of deposits, commercial paper, euro notes and Eurobonds, and are substantially denominated in US dollars. The carrying value of these investments approximates fair value, which was estimated using quoted market prices for those or similar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ind w:left="220"/>
              <w:spacing w:after="0"/>
              <w:rPr>
                <w:sz w:val="20"/>
                <w:szCs w:val="20"/>
                <w:color w:val="auto"/>
              </w:rPr>
            </w:pPr>
            <w:r>
              <w:rPr>
                <w:rFonts w:ascii="Arial" w:cs="Arial" w:eastAsia="Arial" w:hAnsi="Arial"/>
                <w:sz w:val="14"/>
                <w:szCs w:val="14"/>
                <w:i w:val="1"/>
                <w:iCs w:val="1"/>
                <w:color w:val="auto"/>
                <w:w w:val="90"/>
              </w:rPr>
              <w:t>(Stated in millions)</w:t>
            </w:r>
          </w:p>
        </w:tc>
      </w:tr>
      <w:tr>
        <w:trPr>
          <w:trHeight w:val="16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Jun. 30, 2009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 31, 2008</w:t>
            </w:r>
          </w:p>
        </w:tc>
      </w:tr>
      <w:tr>
        <w:trPr>
          <w:trHeight w:val="129"/>
        </w:trPr>
        <w:tc>
          <w:tcPr>
            <w:tcW w:w="8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Carrying</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r>
      <w:tr>
        <w:trPr>
          <w:trHeight w:val="16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0"/>
              </w:rPr>
              <w:t>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r>
      <w:tr>
        <w:trPr>
          <w:trHeight w:val="21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5.25% Guaranteed Notes due 2013</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741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6.5% Notes due 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649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5.875% Guaranteed Bonds due 2011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5.14% Guaranteed Notes due 2010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4.50% Guaranteed Notes due 2014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4"/>
              </w:rPr>
              <w:t>1,440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Commercial paper borrowings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771</w:t>
            </w:r>
          </w:p>
        </w:tc>
        <w:tc>
          <w:tcPr>
            <w:tcW w:w="2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variable rate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0" w:type="dxa"/>
            <w:vAlign w:val="bottom"/>
          </w:tcPr>
          <w:p>
            <w:pPr>
              <w:spacing w:after="0"/>
              <w:rPr>
                <w:sz w:val="18"/>
                <w:szCs w:val="18"/>
                <w:color w:val="auto"/>
              </w:rPr>
            </w:pPr>
          </w:p>
        </w:tc>
      </w:tr>
      <w:tr>
        <w:trPr>
          <w:trHeight w:val="223"/>
        </w:trPr>
        <w:tc>
          <w:tcPr>
            <w:tcW w:w="8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4,291</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4,437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3,372</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3,434</w:t>
            </w:r>
          </w:p>
        </w:tc>
        <w:tc>
          <w:tcPr>
            <w:tcW w:w="20" w:type="dxa"/>
            <w:vAlign w:val="bottom"/>
          </w:tcPr>
          <w:p>
            <w:pPr>
              <w:spacing w:after="0"/>
              <w:rPr>
                <w:sz w:val="19"/>
                <w:szCs w:val="19"/>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 xml:space="preserve">At both June 30, 2009 and December 31, 2008, there were $321 million outstanding of 2.125% Series B Convertible Debentures due June 1, 2023. On June 1, 2010, holders may require Schlumberger to repurchase their Series B debentures for cash. Accordingly, these debentures are classified within </w:t>
      </w:r>
      <w:r>
        <w:rPr>
          <w:rFonts w:ascii="Arial" w:cs="Arial" w:eastAsia="Arial" w:hAnsi="Arial"/>
          <w:sz w:val="16"/>
          <w:szCs w:val="16"/>
          <w:i w:val="1"/>
          <w:iCs w:val="1"/>
          <w:color w:val="auto"/>
        </w:rPr>
        <w:t>Current Liabilities</w:t>
      </w:r>
      <w:r>
        <w:rPr>
          <w:rFonts w:ascii="Arial" w:cs="Arial" w:eastAsia="Arial" w:hAnsi="Arial"/>
          <w:sz w:val="16"/>
          <w:szCs w:val="16"/>
          <w:color w:val="auto"/>
        </w:rPr>
        <w:t xml:space="preserve">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June 30, 2009. The fair value of these Series B debentures at June 30, 2009 and December 31, 2008 was $474 million and $398 million, respectively. For further information regarding the debentures refer to Note 11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the Schlumberger Annual Report on Form 10-K for the year ended December 31, 2008.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fair value of Schlumberger’s fixed rate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was estimated based on quoted market prices.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first quarter of 2009, a subsidiary of Schlumberger entered into a €3.0 billion Euro Medium Term Note program which is guaranteed by Schlumberger Limited. This program provides for the issuance of various types of debt instruments such as fixed or floating rate notes in Euro, US dollar or other currencies. Schlumberger issued €1.0 billion 4.50% Guaranteed Notes due 2014 in the second quarter under this program. Schlumberger entered into agreements to swap these Euro notes for US dollars on the date of issue until maturity, effectively making this a US dollar denominated debt on which Schlumberger will pay interest in US dollars at a rate of 4.95%.</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from Continuing Operations before taxes </w:t>
      </w:r>
      <w:r>
        <w:rPr>
          <w:rFonts w:ascii="Arial" w:cs="Arial" w:eastAsia="Arial" w:hAnsi="Arial"/>
          <w:sz w:val="18"/>
          <w:szCs w:val="18"/>
          <w:color w:val="auto"/>
        </w:rPr>
        <w:t>which were subject to US and non-US income taxes was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38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61"/>
        </w:trPr>
        <w:tc>
          <w:tcPr>
            <w:tcW w:w="7080" w:type="dxa"/>
            <w:vAlign w:val="bottom"/>
          </w:tcPr>
          <w:p>
            <w:pPr>
              <w:spacing w:after="0"/>
              <w:rPr>
                <w:sz w:val="14"/>
                <w:szCs w:val="14"/>
                <w:color w:val="auto"/>
              </w:rPr>
            </w:pPr>
          </w:p>
        </w:tc>
        <w:tc>
          <w:tcPr>
            <w:tcW w:w="1900" w:type="dxa"/>
            <w:vAlign w:val="bottom"/>
            <w:gridSpan w:val="5"/>
          </w:tcPr>
          <w:p>
            <w:pPr>
              <w:ind w:left="240"/>
              <w:spacing w:after="0"/>
              <w:rPr>
                <w:sz w:val="20"/>
                <w:szCs w:val="20"/>
                <w:color w:val="auto"/>
              </w:rPr>
            </w:pPr>
            <w:r>
              <w:rPr>
                <w:rFonts w:ascii="Arial" w:cs="Arial" w:eastAsia="Arial" w:hAnsi="Arial"/>
                <w:sz w:val="14"/>
                <w:szCs w:val="14"/>
                <w:b w:val="1"/>
                <w:bCs w:val="1"/>
                <w:color w:val="auto"/>
              </w:rPr>
              <w:t>Second Quarter</w:t>
            </w:r>
          </w:p>
        </w:tc>
        <w:tc>
          <w:tcPr>
            <w:tcW w:w="10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89"/>
              </w:rPr>
              <w:t>2009</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4"/>
              </w:rPr>
              <w:t>$ (64)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Outside United States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831</w:t>
            </w: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1,920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767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1,804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1,960</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 xml:space="preserve">During the second quarter of 2009, Schlumberger recorded pretax charges of $73 million in the US and $165 million outside of the US. These charges are included in the above table and are more fully described in Note 2 – </w:t>
      </w:r>
      <w:r>
        <w:rPr>
          <w:rFonts w:ascii="Arial" w:cs="Arial" w:eastAsia="Arial" w:hAnsi="Arial"/>
          <w:sz w:val="18"/>
          <w:szCs w:val="18"/>
          <w:i w:val="1"/>
          <w:iCs w:val="1"/>
          <w:color w:val="auto"/>
        </w:rPr>
        <w:t>Charges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spacing w:after="0"/>
              <w:rPr>
                <w:sz w:val="20"/>
                <w:szCs w:val="20"/>
                <w:color w:val="auto"/>
              </w:rPr>
            </w:pPr>
            <w:r>
              <w:rPr>
                <w:rFonts w:ascii="Arial" w:cs="Arial" w:eastAsia="Arial" w:hAnsi="Arial"/>
                <w:sz w:val="14"/>
                <w:szCs w:val="14"/>
                <w:i w:val="1"/>
                <w:iCs w:val="1"/>
                <w:color w:val="auto"/>
                <w:w w:val="97"/>
              </w:rPr>
              <w:t>(Stated in millions)</w:t>
            </w:r>
          </w:p>
        </w:tc>
      </w:tr>
      <w:tr>
        <w:trPr>
          <w:trHeight w:val="149"/>
        </w:trPr>
        <w:tc>
          <w:tcPr>
            <w:tcW w:w="794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Jun. 30</w:t>
            </w:r>
          </w:p>
        </w:tc>
        <w:tc>
          <w:tcPr>
            <w:tcW w:w="580" w:type="dxa"/>
            <w:vAlign w:val="bottom"/>
          </w:tcPr>
          <w:p>
            <w:pPr>
              <w:spacing w:after="0"/>
              <w:rPr>
                <w:sz w:val="12"/>
                <w:szCs w:val="12"/>
                <w:color w:val="auto"/>
              </w:rPr>
            </w:pPr>
          </w:p>
        </w:tc>
        <w:tc>
          <w:tcPr>
            <w:tcW w:w="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31</w:t>
            </w:r>
          </w:p>
        </w:tc>
      </w:tr>
      <w:tr>
        <w:trPr>
          <w:trHeight w:val="161"/>
        </w:trPr>
        <w:tc>
          <w:tcPr>
            <w:tcW w:w="79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r>
      <w:tr>
        <w:trPr>
          <w:trHeight w:val="21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$ 406</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(116)</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(106)</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Other, net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7"/>
        </w:trPr>
        <w:tc>
          <w:tcPr>
            <w:tcW w:w="7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88"/>
              </w:rPr>
              <w:t>$ 568</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r>
      <w:tr>
        <w:trPr>
          <w:trHeight w:val="20"/>
        </w:trPr>
        <w:tc>
          <w:tcPr>
            <w:tcW w:w="7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above deferred tax assets at June 30, 2009 and December 31, 2008 are net of valuation allowances relating to net operating losses in certain countries of $195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million and $197 million, respectively. The deferred tax assets are also net of valuation allowances relating to a capital loss carryforward of $139 million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2009 ($140 million at December 31, 2008), of which $123 million expires in 2009 and $16 million expires in 2010, and a foreign tax credit carryforward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$49 million at June 30, 2009 ($49 million at December 31, 2008) of which $3 million expires in 2009, and $46 million expires in years 2010 through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7"/>
              </w:rPr>
              <w:t>Second Quarter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United States - Federal</w:t>
            </w:r>
          </w:p>
        </w:tc>
        <w:tc>
          <w:tcPr>
            <w:tcW w:w="3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(20)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132</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(55)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215</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State</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64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3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169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379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409</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322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690</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Deferred:</w:t>
            </w:r>
          </w:p>
        </w:tc>
        <w:tc>
          <w:tcPr>
            <w:tcW w:w="3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 - Federal</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United States - State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4"/>
              <w:spacing w:after="0"/>
              <w:rPr>
                <w:sz w:val="20"/>
                <w:szCs w:val="20"/>
                <w:color w:val="auto"/>
              </w:rPr>
            </w:pPr>
            <w:r>
              <w:rPr>
                <w:rFonts w:ascii="Arial" w:cs="Arial" w:eastAsia="Arial" w:hAnsi="Arial"/>
                <w:sz w:val="18"/>
                <w:szCs w:val="18"/>
                <w:b w:val="1"/>
                <w:bCs w:val="1"/>
                <w:color w:val="auto"/>
                <w:w w:val="88"/>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Consolidated taxes on income</w:t>
            </w:r>
          </w:p>
        </w:tc>
        <w:tc>
          <w:tcPr>
            <w:tcW w:w="3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404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540" w:type="dxa"/>
            <w:vAlign w:val="bottom"/>
            <w:vMerge w:val="restart"/>
          </w:tcPr>
          <w:p>
            <w:pPr>
              <w:jc w:val="right"/>
              <w:ind w:right="175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8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Second Quarter</w:t>
            </w:r>
          </w:p>
        </w:tc>
        <w:tc>
          <w:tcPr>
            <w:tcW w:w="13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6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2009</w:t>
            </w: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35%</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Non-US income taxed at different rates</w:t>
            </w:r>
          </w:p>
        </w:tc>
        <w:tc>
          <w:tcPr>
            <w:tcW w:w="9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(16)</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(15)</w:t>
            </w: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Effect of equity method investment</w:t>
            </w: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8"/>
              </w:rPr>
              <w:t>—</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180" w:type="dxa"/>
            <w:vAlign w:val="bottom"/>
          </w:tcPr>
          <w:p>
            <w:pPr>
              <w:spacing w:after="0"/>
              <w:rPr>
                <w:sz w:val="20"/>
                <w:szCs w:val="20"/>
                <w:color w:val="auto"/>
              </w:rPr>
            </w:pPr>
            <w:r>
              <w:rPr>
                <w:rFonts w:ascii="Arial" w:cs="Arial" w:eastAsia="Arial" w:hAnsi="Arial"/>
                <w:sz w:val="18"/>
                <w:szCs w:val="18"/>
                <w:color w:val="auto"/>
              </w:rPr>
              <w:t>Charges</w:t>
            </w:r>
          </w:p>
        </w:tc>
        <w:tc>
          <w:tcPr>
            <w:tcW w:w="9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w:t>
            </w:r>
          </w:p>
        </w:tc>
        <w:tc>
          <w:tcPr>
            <w:tcW w:w="9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w:t>
            </w: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w:t>
            </w:r>
          </w:p>
        </w:tc>
        <w:tc>
          <w:tcPr>
            <w:tcW w:w="70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July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continuing its own investigation with respect to these services.</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Schlumberger and its subsidiaries are party to various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188"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4"/>
          </w:tcPr>
          <w:p>
            <w:pPr>
              <w:ind w:left="32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Second Quarter 2009</w:t>
            </w:r>
          </w:p>
        </w:tc>
        <w:tc>
          <w:tcPr>
            <w:tcW w:w="19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Second Quarter 2008</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5"/>
              </w:rPr>
              <w:t>Income</w:t>
            </w:r>
          </w:p>
        </w:tc>
        <w:tc>
          <w:tcPr>
            <w:tcW w:w="6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2"/>
              </w:rPr>
              <w:t>Revenue</w:t>
            </w:r>
          </w:p>
        </w:tc>
        <w:tc>
          <w:tcPr>
            <w:tcW w:w="6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before taxes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6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4"/>
              </w:rPr>
              <w:t>before taxes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819</w:t>
            </w:r>
          </w:p>
        </w:tc>
        <w:tc>
          <w:tcPr>
            <w:tcW w:w="76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$1,438</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Europe/CIS/Africa</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1,782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432</w:t>
            </w:r>
          </w:p>
        </w:tc>
        <w:tc>
          <w:tcPr>
            <w:tcW w:w="500" w:type="dxa"/>
            <w:vAlign w:val="bottom"/>
          </w:tcPr>
          <w:p>
            <w:pPr>
              <w:jc w:val="right"/>
              <w:spacing w:after="0"/>
              <w:rPr>
                <w:sz w:val="20"/>
                <w:szCs w:val="20"/>
                <w:color w:val="auto"/>
              </w:rPr>
            </w:pPr>
            <w:r>
              <w:rPr>
                <w:rFonts w:ascii="Arial" w:cs="Arial" w:eastAsia="Arial" w:hAnsi="Arial"/>
                <w:sz w:val="18"/>
                <w:szCs w:val="18"/>
                <w:color w:val="auto"/>
              </w:rPr>
              <w:t>2,070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1,312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421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(15)</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4,956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322"/>
        </w:trPr>
        <w:tc>
          <w:tcPr>
            <w:tcW w:w="6500" w:type="dxa"/>
            <w:vAlign w:val="bottom"/>
            <w:gridSpan w:val="3"/>
          </w:tcPr>
          <w:p>
            <w:pPr>
              <w:ind w:left="460"/>
              <w:spacing w:after="0"/>
              <w:rPr>
                <w:sz w:val="20"/>
                <w:szCs w:val="20"/>
                <w:color w:val="auto"/>
              </w:rPr>
            </w:pPr>
            <w:r>
              <w:rPr>
                <w:rFonts w:ascii="Arial" w:cs="Arial" w:eastAsia="Arial" w:hAnsi="Arial"/>
                <w:sz w:val="18"/>
                <w:szCs w:val="18"/>
                <w:b w:val="1"/>
                <w:bCs w:val="1"/>
                <w:color w:val="auto"/>
              </w:rPr>
              <w:t>WesternGeco</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559</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97</w:t>
            </w:r>
          </w:p>
        </w:tc>
        <w:tc>
          <w:tcPr>
            <w:tcW w:w="500" w:type="dxa"/>
            <w:vAlign w:val="bottom"/>
          </w:tcPr>
          <w:p>
            <w:pPr>
              <w:jc w:val="right"/>
              <w:spacing w:after="0"/>
              <w:rPr>
                <w:sz w:val="20"/>
                <w:szCs w:val="20"/>
                <w:color w:val="auto"/>
              </w:rPr>
            </w:pPr>
            <w:r>
              <w:rPr>
                <w:rFonts w:ascii="Arial" w:cs="Arial" w:eastAsia="Arial" w:hAnsi="Arial"/>
                <w:sz w:val="18"/>
                <w:szCs w:val="18"/>
                <w:color w:val="auto"/>
              </w:rPr>
              <w:t>671</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5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Charges</w:t>
            </w:r>
          </w:p>
        </w:tc>
        <w:tc>
          <w:tcPr>
            <w:tcW w:w="80" w:type="dxa"/>
            <w:vAlign w:val="bottom"/>
          </w:tcPr>
          <w:p>
            <w:pPr>
              <w:spacing w:after="0"/>
              <w:rPr>
                <w:sz w:val="18"/>
                <w:szCs w:val="18"/>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(238)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5,528</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w w:val="9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767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6,746</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($4 million in 2009; $3 million in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($11 million in 2009; $6 million in 2008).</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240"/>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Six Months 2009</w:t>
            </w:r>
          </w:p>
        </w:tc>
        <w:tc>
          <w:tcPr>
            <w:tcW w:w="10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2008</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5"/>
              </w:rPr>
              <w:t>Income</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Revenue</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before taxes</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Revenue</w:t>
            </w:r>
          </w:p>
        </w:tc>
        <w:tc>
          <w:tcPr>
            <w:tcW w:w="5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4"/>
              </w:rPr>
              <w:t>before taxes</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2,857</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2,024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440"/>
              <w:spacing w:after="0"/>
              <w:rPr>
                <w:sz w:val="20"/>
                <w:szCs w:val="20"/>
                <w:color w:val="auto"/>
              </w:rPr>
            </w:pPr>
            <w:r>
              <w:rPr>
                <w:rFonts w:ascii="Arial" w:cs="Arial" w:eastAsia="Arial" w:hAnsi="Arial"/>
                <w:sz w:val="18"/>
                <w:szCs w:val="18"/>
                <w:color w:val="auto"/>
              </w:rPr>
              <w:t>Europe/CIS/Africa</w:t>
            </w:r>
          </w:p>
        </w:tc>
        <w:tc>
          <w:tcPr>
            <w:tcW w:w="8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3,585</w:t>
            </w: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899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3,967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2,687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876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10,395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2,278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w:t>
            </w:r>
          </w:p>
        </w:tc>
        <w:tc>
          <w:tcPr>
            <w:tcW w:w="0" w:type="dxa"/>
            <w:vAlign w:val="bottom"/>
          </w:tcPr>
          <w:p>
            <w:pPr>
              <w:spacing w:after="0"/>
              <w:rPr>
                <w:sz w:val="1"/>
                <w:szCs w:val="1"/>
                <w:color w:val="auto"/>
              </w:rPr>
            </w:pPr>
          </w:p>
        </w:tc>
      </w:tr>
      <w:tr>
        <w:trPr>
          <w:trHeight w:val="322"/>
        </w:trPr>
        <w:tc>
          <w:tcPr>
            <w:tcW w:w="6580" w:type="dxa"/>
            <w:vAlign w:val="bottom"/>
            <w:gridSpan w:val="3"/>
          </w:tcPr>
          <w:p>
            <w:pPr>
              <w:ind w:left="460"/>
              <w:spacing w:after="0"/>
              <w:rPr>
                <w:sz w:val="20"/>
                <w:szCs w:val="20"/>
                <w:color w:val="auto"/>
              </w:rPr>
            </w:pPr>
            <w:r>
              <w:rPr>
                <w:rFonts w:ascii="Arial" w:cs="Arial" w:eastAsia="Arial" w:hAnsi="Arial"/>
                <w:sz w:val="18"/>
                <w:szCs w:val="18"/>
                <w:b w:val="1"/>
                <w:bCs w:val="1"/>
                <w:color w:val="auto"/>
              </w:rPr>
              <w:t>WesternGeco</w:t>
            </w:r>
          </w:p>
        </w:tc>
        <w:tc>
          <w:tcPr>
            <w:tcW w:w="80" w:type="dxa"/>
            <w:vAlign w:val="bottom"/>
          </w:tcPr>
          <w:p>
            <w:pPr>
              <w:spacing w:after="0"/>
              <w:rPr>
                <w:sz w:val="24"/>
                <w:szCs w:val="2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1,110</w:t>
            </w:r>
          </w:p>
        </w:tc>
        <w:tc>
          <w:tcPr>
            <w:tcW w:w="12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1,347</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110"/>
        </w:trPr>
        <w:tc>
          <w:tcPr>
            <w:tcW w:w="46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5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Corporate &amp; Other</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1"/>
                <w:szCs w:val="11"/>
                <w:b w:val="1"/>
                <w:bCs w:val="1"/>
                <w:color w:val="auto"/>
              </w:rPr>
              <w:t>(1)</w:t>
            </w:r>
          </w:p>
        </w:tc>
        <w:tc>
          <w:tcPr>
            <w:tcW w:w="8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1"/>
                <w:szCs w:val="11"/>
                <w:b w:val="1"/>
                <w:bCs w:val="1"/>
                <w:color w:val="auto"/>
              </w:rPr>
              <w:t>(2)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(92)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Charges</w:t>
            </w:r>
          </w:p>
        </w:tc>
        <w:tc>
          <w:tcPr>
            <w:tcW w:w="8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(238)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11,528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1,960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13,036</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($9 million in 2009; $4 million in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($24 million in 2009; $14 million in 2008).</w:t>
      </w:r>
    </w:p>
    <w:p>
      <w:pPr>
        <w:spacing w:after="0" w:line="240"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6"/>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Second Quarter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w w:val="99"/>
              </w:rPr>
              <w:t>Six Months</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300" w:type="dxa"/>
            <w:vAlign w:val="bottom"/>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32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US</w:t>
            </w:r>
          </w:p>
        </w:tc>
        <w:tc>
          <w:tcPr>
            <w:tcW w:w="30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1"/>
              </w:rPr>
              <w:t>$ 30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(40)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(20)</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(81)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8"/>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6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119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98</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85"/>
              </w:rPr>
              <w:t>$ 49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158</w:t>
            </w:r>
          </w:p>
        </w:tc>
        <w:tc>
          <w:tcPr>
            <w:tcW w:w="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$ 72</w:t>
            </w: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217</w:t>
            </w:r>
          </w:p>
        </w:tc>
        <w:tc>
          <w:tcPr>
            <w:tcW w:w="180" w:type="dxa"/>
            <w:vAlign w:val="bottom"/>
            <w:vMerge w:val="continue"/>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During the first six months of 2009, Schlumberger made contributions to its US and international defined benefit pension plans of $212 million and $290 million,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Schlumberger currently anticipates contributing approximately $300 million to its defined benefit pension plans during the last six months of 2009.</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6"/>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3"/>
              </w:rPr>
              <w:t>Second Quarter</w:t>
            </w:r>
          </w:p>
        </w:tc>
        <w:tc>
          <w:tcPr>
            <w:tcW w:w="26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$ 12</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8"/>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8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22"/>
        </w:trPr>
        <w:tc>
          <w:tcPr>
            <w:tcW w:w="7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7"/>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Curtailment charge</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23"/>
        </w:trPr>
        <w:tc>
          <w:tcPr>
            <w:tcW w:w="7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$ 34</w:t>
            </w:r>
          </w:p>
        </w:tc>
        <w:tc>
          <w:tcPr>
            <w:tcW w:w="3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0"/>
        </w:trPr>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Due to the actions Schlumberger has taken to reduce its global workforce (See Note 2 – </w:t>
      </w:r>
      <w:r>
        <w:rPr>
          <w:rFonts w:ascii="Arial" w:cs="Arial" w:eastAsia="Arial" w:hAnsi="Arial"/>
          <w:sz w:val="16"/>
          <w:szCs w:val="16"/>
          <w:i w:val="1"/>
          <w:iCs w:val="1"/>
          <w:color w:val="auto"/>
        </w:rPr>
        <w:t>Charges</w:t>
      </w:r>
      <w:r>
        <w:rPr>
          <w:rFonts w:ascii="Arial" w:cs="Arial" w:eastAsia="Arial" w:hAnsi="Arial"/>
          <w:sz w:val="16"/>
          <w:szCs w:val="16"/>
          <w:color w:val="auto"/>
        </w:rPr>
        <w:t>), Schlumberger experienced a significant reduction in the expected aggregate years of future service of its employees in certain of its pension plans and its postretirement medical plan. Accordingly, Schlumberger recorded a curtailment charge of $136 million during the second quarter of 2009. The curtailment charge includes recognition of the change in benefit obligations as well as a portion of the previously unrecognized prior service costs, reflecting the reduction in expected future service for the impacted plans.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As a result of the curtailment, Schlumberger performed a remeasurement of the impacted plans using a discount rate of 7.25% (as compared to 6.50% at December 31, 2008). All other significant assumptions remained unchanged from the December 31, 2008 measurement date. The curtailment and remeasurement resulted in a net decrease in Schlumberger’s liability for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of $361 million.</w:t>
      </w:r>
    </w:p>
    <w:p>
      <w:pPr>
        <w:spacing w:after="0" w:line="21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Discontinued Operations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first quarter of 2008, Schlumberger recorded an after-tax gain of $38 million relating to a previously disposed of business that was accounted for as a discontinued operation.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Second Quarter 2009 Compared to First Quarter 2009</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 Quarter</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First Quarter</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i w:val="1"/>
                <w:iCs w:val="1"/>
                <w:color w:val="auto"/>
                <w:w w:val="93"/>
              </w:rPr>
              <w:t>(Stated in millions)</w:t>
            </w:r>
          </w:p>
        </w:tc>
        <w:tc>
          <w:tcPr>
            <w:tcW w:w="0" w:type="dxa"/>
            <w:vAlign w:val="bottom"/>
          </w:tcPr>
          <w:p>
            <w:pPr>
              <w:spacing w:after="0"/>
              <w:rPr>
                <w:sz w:val="1"/>
                <w:szCs w:val="1"/>
                <w:color w:val="auto"/>
              </w:rPr>
            </w:pPr>
          </w:p>
        </w:tc>
      </w:tr>
      <w:tr>
        <w:trPr>
          <w:trHeight w:val="123"/>
        </w:trPr>
        <w:tc>
          <w:tcPr>
            <w:tcW w:w="652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6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2009</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 chg</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4,956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5,439</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1,022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1,255</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2"/>
        </w:trPr>
        <w:tc>
          <w:tcPr>
            <w:tcW w:w="652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559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551</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65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5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97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 xml:space="preserve">Pretax operating income represents the segments’ income before taxes and noncontrolling interest. The pretax operating income excludes such items as corporate expenses and interest income and interest expense not allocated to the segments as well as the charges described in detail in Note 2 to the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amortization of certain intangible assets, interest on postretirement medical benefits and stock-based compensation costs.</w:t>
      </w:r>
    </w:p>
    <w:p>
      <w:pPr>
        <w:spacing w:after="0" w:line="10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Second quarter 2009 revenue was $5.53 billion versus $6.00 billion in the first quarter of 2009. Income from continuing operations attributable to Schlumberger for the second quarter of 2009 was $613 million compared to $938 million in the first quarter of 2009. The second quarter 2009 results included after-tax charges of $207 million related to workforce reductions and postretirement benefits curtailment.</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Compared to the first quarter, the overall sequential rate of revenue decline slowed as a further precipitous drop in North America was offset by slowing rates of decline and some recovery in other parts of the world. In Russia, revenue recovered noticeably due to seasonal trends and improving activity. North American gas drilling in both the US and Canada reached a five-year low as demand remained weak and storage remained at levels significantly above seasonal averages. While production has begun to show some decline and summer demand has been strong, it will still require a further substantial increase in demand to stimulate and sustain higher levels of drilling. This is not anticipated to happen before 2010. At WesternGeco, there was some recovery in Multiclient sales both in North America and overseas, although this, together with increased activity in Land, was offset by weaker Marine revenue. Marine pricing continued to decline due to excess capacity in the market. Several new marine and land contracts were booked during the quarter giving better visibility on the next few months, however, multiclient sales remain difficult to forecast until there is better visibility on year-end oil prices.</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Schlumberger’s outlook for the remainder of 2009 assumes some stability but no major increase in the North American natural gas rig count and as a result service pricing is expected to remain depressed. Overseas, further activity declines are expected to occur but be limited and the pricing concessions made in the first half of the year are expected to affect revenues in the second half. The current volatility in the oil price makes it unlikely that customers will sanction any major increases in expenditures.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Schlumberger is aware that a number of projects are continuing to be postponed or cancelled and is also concerned that the higher finding and development costs of new supply, coupled with lower oil and gas prices and more restrictive credit markets are stifling investment flows. This situation, if it persists, will lead to inadequate supply when demand growth returns. The shape of the economic recovery beyond 2009 and the consequent recovery in oil and gas demand remain the determining factors for future activity increases.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Second quarter revenue of $4.96 billion was 9% lower sequentially driven by a 31% fall in North America moderated by a 3% decline internationally. The significant drop in North America revenue resulted primarily from a further decrease in activity in the US Land GeoMarket*, the impact of spring break-up and generally reduced drilling activity in Canada, and additional pricing erosion across the Area. The reduction in revenue across the other Areas was primarily due to lower overall activity levels, although improvements were noted in Russia, East Asia and Mexico/Central America. Across all Areas, revenue declines were most significant in Well Services, Drilling &amp; Measurements and Wireline activities.</w:t>
      </w:r>
    </w:p>
    <w:p>
      <w:pPr>
        <w:spacing w:after="0" w:line="1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Sequentially, second quarter pretax operating income of $1.02 billion was down 19%. Pretax operating margin decreased 245 basis points (bps) sequentially to 20.6% primarily due to the impact of the severe reduction in activity and pricing in North America and the overall lower level of international activity.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Revenue of $819 million was 31% lower compared to the first quarter of 2009. Pretax operating income of $8 million decreased 95% versus the first quarter of 2009.</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US Land GeoMarket recorded a further steep drop in revenue as rig count declined approximately 27% and pricing continued to erode. Canada GeoMarket revenue also dropped significantly due to the impact of the seasonal spring break-up, a general reduction in land drilling activity and significant pricing pressure. US Gulf of Mexico revenue fell modestly as lower pricing and a further weakening in shelf drilling activity were partially offset by slightly higher deepwater activity.</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Pretax operating margin decreased sequentially by 12.7 percentage points to 1.0% on the heavy pricing pressure across most of the Area and the sharp drop in activity primarily in the US Land and Canada GeoMarkets.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 of $995 million was 3% lower than the previous quarter. Pretax operating income of $176 million was 13% lower sequentially.</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Sequentially, Area revenue decreased primarily as the result of significantly lower activity and the deferral of revenue pending finalization of certain contracts in the Venezuela/Trinidad &amp; Tobago GeoMarket. This decrease, however, was partially offset by an increase in the Mexico/Central America GeoMarket from higher Integrated Project Management (IPM) project efficiency and activity.</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Pretax operating margin decreased 206 bps sequentially to 17.6% primarily due to a less favorable revenue mix coupled with higher operating costs in the Brazil GeoMarket; currency revaluation losses and pricing pressure in the Peru/Colombia/Ecuador GeoMarket; and the impact of the lower activity in the Venezuela/Trinidad &amp; Tobago GeoMarket. These decreases were partially offset by increased IPM project efficiency and activity in Mexico/Central America.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 of $1.78 billion was 1% lower sequentially. Pretax operating income of $432 million was 8% lower than the previous quarter.</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Russia revenue increased on the seasonal rebound of offshore activities in the East and generally improved activity levels in East and West Siberia as well as through higher sales of Artificial Lift and Completions products. The North Africa GeoMarket also increased on strong demand for Testing Services technologies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Completions products. These increases were offset by lower revenue in the Nigeria &amp; Gulf of Guinea and the West &amp; South Africa GeoMarkets due to reduced activity levels that mainly impacted Drilling &amp; Measurements and Wireline services. The Caspian and North Sea GeoMarkets were down primarily due to reduced demand for Drilling &amp; Measurements and Well Services technologies. Sequentially, revenue also declined in the Continental Europe GeoMarket due to lower Schlumberger Information Solutions (SIS) software sales as well as reduced demand for Drilling &amp; Measurements, Wireline and Testing Services technologies.</w:t>
      </w:r>
    </w:p>
    <w:p>
      <w:pPr>
        <w:spacing w:after="0" w:line="14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Pretax operating margin of 24.2% dropped 172 bps sequentially, primarily due to the lower activity levels and a less favorable revenue mix in the Nigeria &amp; Gulf of Guinea, West &amp; South Africa and North Sea GeoMarkets. These decreases, however, were partially offset by the improving activity levels in Russia.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Revenue of $1.31 billion was 5% lower sequentially. Pretax operating income of $421 million was 8% lower than the previous quarter.</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Sequentially, revenue decreased primarily due to lower activity in the Gulf GeoMarkets as well as in the East Mediterranean, Arabian, Indonesia, Australia/Papua New Guinea and India GeoMarkets. Pricing pressure also began to impact revenue. These decreases were partially offset by an increase in revenue in the East Asia GeoMarket on strong exploration-related demand for Testing Services, Wireline and Well Services technologies and a rebound in activity in the China/Japan/Korea GeoMarket following the winter slowdown in the prior quarter.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slipped 107 bps sequentially to 32.1% primarily as the result of the lower overall activity in the Area.</w:t>
      </w:r>
    </w:p>
    <w:p>
      <w:pPr>
        <w:spacing w:after="0" w:line="3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Second quarter revenue of $559 million increased 1% versus the first quarter of 2009. Pretax operating income of $97 million increased 77% sequentially.</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Multiclient revenue improved primarily in North America due to increased sales of the E-Octopus surveys, and in the North Sea following the announcement of licensing round awards. Land revenue increased slightly with the start of a new project in Asia. These increases were partially offset by a decrease in Marine revenue on weaker activity.</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Pretax operating margin increased 7.4 percentage points to 17.3% sequentially primarily due to higher Multiclient sales and improved profitability in Marine as cost reduction initiatives more than offset the impact of the lower revenue.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$1.2 billion at the end of the quarter compared to $1.5 billion at the end of the first quarter 2009 and $1.8 billion at December 31, 2008.</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Second Quarter 2009 Compared to Second Quarter 2008</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4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Second Quarter</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2008</w:t>
            </w:r>
          </w:p>
        </w:tc>
        <w:tc>
          <w:tcPr>
            <w:tcW w:w="5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chg</w:t>
            </w:r>
          </w:p>
        </w:tc>
        <w:tc>
          <w:tcPr>
            <w:tcW w:w="260" w:type="dxa"/>
            <w:vAlign w:val="bottom"/>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Revenue</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4"/>
              </w:rPr>
              <w:t>4,956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6,066</w:t>
            </w:r>
          </w:p>
        </w:tc>
        <w:tc>
          <w:tcPr>
            <w:tcW w:w="5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1,022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1,704</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323"/>
        </w:trPr>
        <w:tc>
          <w:tcPr>
            <w:tcW w:w="432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28"/>
        </w:trPr>
        <w:tc>
          <w:tcPr>
            <w:tcW w:w="4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5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2009 revenue was $5.53 billion versus $6.75 billion in the second quarter of 2008.</w:t>
      </w:r>
    </w:p>
    <w:p>
      <w:pPr>
        <w:spacing w:after="0" w:line="171"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Income from continuing operations attributable to Schlumberger was $613 million in the second quarter of 2009 as compared to $1.42 billion in the second quarter of 2008. The second quarter 2009 results included after-tax charges of $207 million related to workforce reductions and postretirement benefits curtailment.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Second quarter 2009 revenue of $4.96 billion was 18% lower compared to the same period last year with declines in all Areas. North America revenue was down as low natural gas prices resulted in a significant drop in activity and associated pricing pressure. Europe/CIS/Africa revenue decreased primarily due to the weakening of local currencies against the US dollar and lower activity in the North Sea and Russia as the result of lower customer spending. Middle East &amp; Asia revenue was lower due to reduced activity throughout most of the Area. Latin America revenue decreased as a result of the sharp drop in activity in Venezuela/Trinidad &amp; Tobago and the weakening of local currencies against the US dollar. Across the Areas, revenue declines were heaviest in Well Services, Wireline and Drilling &amp; Measurements activities.</w:t>
      </w:r>
    </w:p>
    <w:p>
      <w:pPr>
        <w:spacing w:after="0" w:line="1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Second quarter 2009 pretax operating income of $1.02 billion was 40% lower year-on-year. Pretax operating margin declined 746 bps to 20.6% compared to the second quarter of 2008 due to the significant drop in activity and pricing pressure in North America as well as the lower overall activity coupled with a less favorable revenue mix internationally.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Second quarter 2009 revenue of $819 million was 43% lower year-on-year. US Land and Canada revenue decreased significantly as lower natural gas prices and a lack of available credit for some customers resulted in a sharp decrease in activity coupled with heavy pricing pressure. Canada revenue was adversely impacted by the weakening of the Canadian dollar against the US dollar. The US Gulf of Mexico revenue decreased on weaker shelf drilling activity and lower pricing.</w:t>
      </w:r>
    </w:p>
    <w:p>
      <w:pPr>
        <w:spacing w:after="0" w:line="8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Year-on-year, pretax operating margin decreased 23.0 percentage points to 1.0%, primarily due to the impact of lower activity across the Area and the related pricing erosion.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Second quarter 2009 revenue of $995 million was 6% below the same period last year primarily as the result of significantly reduced activity in Venezuela/Trinidad &amp; Tobago and the weakening of local currencies against the US dollar. Peru/Colombia/Ecuador revenue also decreased on lower gain share in IPM projects as well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reduced demand for Drilling &amp; Measurements and Wireline services while Argentina/Bolivia/Chile decreased on reduced demand for Well Services and Drilling &amp; Measurements technologies and Data &amp; Consulting Services. These decreases were partially offset by increases in Mexico/Central America on higher IPM project activity and in Brazil due to stronger exploration related activities that resulted in demand for Wireline, Testing Services and Drilling &amp; Measurement technologies.</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Year-on-year, pretax operating margin was down 537 bps to 17.6% primarily due to the impact of the severe drop in activity in Venezuela/Trinidad &amp; Tobago as well as the reduced gain share and pricing erosion in Peru/Colombia/Ecuador.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Second quarter 2009 revenue of $1.78 billion was 14% lower year-on-year primarily as the result of the weakening of local currencies against the US dollar. Additionally, revenue decreased in Russia and the North Sea on lower activity resulting from reduced customer spending, and from the associated pricing pressure. Nigeria &amp; Gulf of Guinea revenue was lower on a decrease in demand for Drilling &amp; Measurements, Testing Services and Wireline technologies while Framo revenue was also lower. These decreases were partially offset by an increase in Libya on commencement of exploration-related activities and higher demand for Artificial Lift and Completion products.</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Year-on-year, pretax operating margin decreased by 394 bps to 24.2% primarily as the result of the lower overall activity and a less favorable revenue mix in the North Sea, Nigeria &amp; Gulf of Guinea, and West &amp; South Africa.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Second quarter 2009 revenue of $1.31 billion was 9% below the same period last year. Revenue in the Australia/Papua New Guinea and Arabian GeoMarkets decreased on lower exploration-related activity which resulted in reduced demand for Testing Services, Wireline, Well Services and Drilling &amp; Measurements technologies. The China/Japan/Korea GeoMarket was lower on reduced demand for Drilling &amp; Measurements services and Artificial Lift products while the East Mediterranean GeoMarket dropped on decreased demand for Drilling &amp; Measurements and Well Services technologies.</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Year-on-year, pretax operating margin decreased 428 bps to 32.1% primarily due to the lower activity coupled with a less favorable revenue mix in the Arabian, Gulf, Indonesia, East Mediterranean and Australia/Papua New Guinea GeoMarkets.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Second quarter 2009 revenue of $559 million was 17% lower year-on-year. Marine revenue decreased as the result of reduced activity and increased vessel dry docks and transits. Multiclient revenue was down primarily due to reduced sales in North America. Land revenue was also below the same period last year mostly as the result of the completion of contracts in Latin America.</w:t>
      </w:r>
    </w:p>
    <w:p>
      <w:pPr>
        <w:spacing w:after="0" w:line="140"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Year-on-year, pretax operating margin decreased 11.9 percentage points to 17.3% primarily due to the impact of the reduced activity in Marine and lower Multiclient sales. However, these decreases were partially offset by an improvement in Land as cost reductions more than offset the lower activity.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Six Months 2009 Compared to Six Months 2008</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right"/>
              <w:ind w:right="260"/>
              <w:spacing w:after="0"/>
              <w:rPr>
                <w:sz w:val="20"/>
                <w:szCs w:val="20"/>
                <w:color w:val="auto"/>
              </w:rPr>
            </w:pPr>
            <w:r>
              <w:rPr>
                <w:rFonts w:ascii="Arial" w:cs="Arial" w:eastAsia="Arial" w:hAnsi="Arial"/>
                <w:sz w:val="14"/>
                <w:szCs w:val="14"/>
                <w:i w:val="1"/>
                <w:iCs w:val="1"/>
                <w:color w:val="auto"/>
              </w:rPr>
              <w:t>(Stated in millions)</w:t>
            </w:r>
          </w:p>
        </w:tc>
      </w:tr>
      <w:tr>
        <w:trPr>
          <w:trHeight w:val="161"/>
        </w:trPr>
        <w:tc>
          <w:tcPr>
            <w:tcW w:w="7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chg</w:t>
            </w:r>
          </w:p>
        </w:tc>
        <w:tc>
          <w:tcPr>
            <w:tcW w:w="260" w:type="dxa"/>
            <w:vAlign w:val="bottom"/>
          </w:tcPr>
          <w:p>
            <w:pPr>
              <w:spacing w:after="0"/>
              <w:rPr>
                <w:sz w:val="12"/>
                <w:szCs w:val="12"/>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3"/>
              </w:rPr>
              <w:t>10,395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w w:val="83"/>
              </w:rPr>
              <w:t>11,671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3,206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322"/>
        </w:trPr>
        <w:tc>
          <w:tcPr>
            <w:tcW w:w="770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8"/>
        </w:trPr>
        <w:tc>
          <w:tcPr>
            <w:tcW w:w="770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393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r>
    </w:tbl>
    <w:p>
      <w:pPr>
        <w:spacing w:after="0" w:line="141"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Six month revenue for the period ended June 30, 2009 was $11.53 billion versus $13.04 billion for the same period last year. Income from continuing operations attributable to Schlumberger was $1.55 billion in the first six months of 2009 as compared to $2.72 billion for the same period in 2008. Results for the first six months of 2009 included after-tax charges of $207 million related to workforce reductions and postretirement benefits curtailment.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Six month revenue of $10.40 billion was 11% lower compared to the same period last year. North America revenue was down significantly as low natural gas prices resulted in a steep drop in activity and heavy pricing pressure in much of the Area. Europe/CIS/Africa revenue decreased primarily on the weakening of local currencies against the US dollar and lower activity in the North Sea and Russia due to reduced customer spending. Middle East &amp; Asia revenue decreased as the result of lower activity primarily in the Asia GeoMarkets. These decreases were partially offset by an increase in Latin America revenue primarily due to higher IPM activity in Mexico/Central America and offshore activity in Brazil but partially offset by lower activity in Venezuela &amp; Trinidad &amp; Tobago and the impact of weakening local currencies in the Area against the US dollar.</w:t>
      </w:r>
    </w:p>
    <w:p>
      <w:pPr>
        <w:spacing w:after="0" w:line="12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Pretax operating margin decreased 556 bps to 21.9% as a result of the significant drop in activity and pricing pressure in North America as well as the lower overall international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of $2.01 billion was 30% lower than the same period last year. Revenue decreases were recorded across the Area but were most significant in US Land and Canada where lower natural gas prices and a lack of available credit for some customers resulted in a steep drop in activity coupled with heavy pricing pressure. Canada revenue was also down due to the weakening of the Canadian dollar against the US dollar. The US Gulf of Mexico revenue decreased on weaker shelf drilling activity and lower pricing.</w:t>
      </w:r>
    </w:p>
    <w:p>
      <w:pPr>
        <w:spacing w:after="0" w:line="14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Pretax operating margin decreased 16.3 percentage points to 8.5% primarily due to the impact of the lower activity across the Area and the related pricing erosion.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Revenue of $2.02 billion grew 2% versus the same period last year primarily due to increased IPM activity in Mexico/Central America and higher offshore activity in Brazil. These increases, however, were partially offset by significantly lower activity across Venezuela &amp; Trinidad &amp; Tobago and the impact of the weakening of local currencies in the Area against the US dollar.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Pretax operating margin was down 294 bps to 18.7% primarily due to the impact of the severe drop in activity in Venezuela/Trinidad &amp; Tobago.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of $3.58 billion was 10% lower than the same period last year primarily as the result of the weakening of local currencies against the US dollar. Additionally, revenue decreased in Russia and the North Sea as reduced customer spending resulted in lower activity and associated pricing pressure. Nigeria &amp; Gulf of Guinea was lower on a decrease in demand for Drilling &amp; Measurements, Testing Services, Well Services and Wireline technologies while Framo revenue also declined. These decreases were partially offset by an increase in Libya on commencement of exploration-related activities and higher demand for Artificial Lift and Completion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by 221 bps to 25.1% primarily as the result of the lower overall activity and pricing pressure.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Revenue of $2.69 billion was 3% below the same period last year primarily in the Asia GeoMarkets where decreases were most significant in Australia/Papua New Guinea and East Asia on lower activity which resulted in reduced demand for Testing Services and Drilling &amp; Measurements technologies. Revenue for Middle East GeoMarkets was essentially flat with the same period last year.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margin decreased 303 bps to 32.6%, primarily due to a less favorable revenue mix in the Arabian, Gulf, and Indonesia GeoMarkets.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Six month revenue of $1.11 billion was 18% lower year-on-year. Multiclient decreased on reduced sales primarily in North America, Europe/Africa and Asia. Marine revenue declined due to lower activity and rationalization of the fleet capacity as the result of weaker market conditions. Land revenue was lower following the completion of contracts in South America, Egypt and North East Africa while Data Processing was also down primarily in Europe/Africa and in North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Pretax margin decreased 15.5 percentage points to 13.6% primarily due to the weaker Marine activity and lower Multiclient sales.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second quarter and six months ended June 30, 2009 and 2008:</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5"/>
          </w:tcPr>
          <w:p>
            <w:pPr>
              <w:ind w:left="30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Second Quarter</w:t>
            </w:r>
          </w:p>
        </w:tc>
        <w:tc>
          <w:tcPr>
            <w:tcW w:w="1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Six Months</w:t>
            </w: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w w:val="76"/>
              </w:rPr>
              <w:t>2009</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w w:val="79"/>
              </w:rPr>
              <w:t>72</w:t>
            </w: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79"/>
              </w:rPr>
              <w:t>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interest income is attributable to the significant decline in interest rates experienced during 2009 as compared to 2008.</w:t>
      </w:r>
    </w:p>
    <w:p>
      <w:pPr>
        <w:spacing w:after="0" w:line="171"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decrease in equity in net earnings of affiliated companies was primarily due to the results of the MI-SWACO drilling fluids joint venture between Schlumberger and Smith International, Inc.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96"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Gross margin was 20.2% and 31.7% in the second quarter of 2009 and 2008, and 22.8% and 31.2% in the six-month periods ended June 30, 2009 and 2008, respectively. The decreases in gross margin were primarily driven by the significant drop in activity and pricing pressure, particularly in North America for Oilfield Services.</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a percentage of Revenue, Research &amp; engineering, Marketing and General &amp; administrative expenses for the second quarter and six months ended June 30, 2009 and 2008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7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Second Quarter</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5"/>
              </w:rPr>
              <w:t>Six Months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14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7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76"/>
              </w:rPr>
              <w:t>2009</w:t>
            </w: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2"/>
                <w:szCs w:val="12"/>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3.6%</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1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Marketing</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0.4%</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160" w:type="dxa"/>
            <w:vAlign w:val="bottom"/>
            <w:gridSpan w:val="3"/>
          </w:tcPr>
          <w:p>
            <w:pPr>
              <w:jc w:val="right"/>
              <w:ind w:right="412"/>
              <w:spacing w:after="0"/>
              <w:rPr>
                <w:sz w:val="20"/>
                <w:szCs w:val="20"/>
                <w:color w:val="auto"/>
              </w:rPr>
            </w:pPr>
            <w:r>
              <w:rPr>
                <w:rFonts w:ascii="Arial" w:cs="Arial" w:eastAsia="Arial" w:hAnsi="Arial"/>
                <w:sz w:val="18"/>
                <w:szCs w:val="18"/>
                <w:b w:val="1"/>
                <w:bCs w:val="1"/>
                <w:color w:val="auto"/>
              </w:rPr>
              <w:t>0.4%</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0.4%</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2.4%</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160" w:type="dxa"/>
            <w:vAlign w:val="bottom"/>
            <w:gridSpan w:val="3"/>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2.3%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Research and engineering expenditures, by business segment, for the second quarter and six months ended June 30, 2009 and 2008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4"/>
                <w:szCs w:val="14"/>
                <w:i w:val="1"/>
                <w:iCs w:val="1"/>
                <w:color w:val="auto"/>
                <w:w w:val="97"/>
              </w:rPr>
              <w:t>(Stated in millions)</w:t>
            </w:r>
          </w:p>
        </w:tc>
      </w:t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Arial" w:cs="Arial" w:eastAsia="Arial" w:hAnsi="Arial"/>
                <w:sz w:val="14"/>
                <w:szCs w:val="14"/>
                <w:b w:val="1"/>
                <w:bCs w:val="1"/>
                <w:color w:val="auto"/>
              </w:rPr>
              <w:t>Second Quarter</w:t>
            </w:r>
          </w:p>
        </w:tc>
        <w:tc>
          <w:tcPr>
            <w:tcW w:w="220" w:type="dxa"/>
            <w:vAlign w:val="bottom"/>
          </w:tcPr>
          <w:p>
            <w:pPr>
              <w:spacing w:after="0"/>
              <w:rPr>
                <w:sz w:val="14"/>
                <w:szCs w:val="14"/>
                <w:color w:val="auto"/>
              </w:rPr>
            </w:pPr>
          </w:p>
        </w:tc>
        <w:tc>
          <w:tcPr>
            <w:tcW w:w="11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Six Months</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0" w:type="dxa"/>
            <w:vAlign w:val="bottom"/>
          </w:tcPr>
          <w:p>
            <w:pPr>
              <w:spacing w:after="0"/>
              <w:rPr>
                <w:sz w:val="12"/>
                <w:szCs w:val="12"/>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$168</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WesternGeco</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30</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4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197</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386</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389</w:t>
            </w:r>
          </w:p>
        </w:tc>
      </w:tr>
      <w:tr>
        <w:trPr>
          <w:trHeight w:val="20"/>
        </w:trPr>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effective tax rate for the second quarter of 2009 was 19.8% compared to 20.9% for the same period in 2008. This decrease was primarily attributable to the substantially lower proportion of pretax earnings in North America in the second quarter of 2009 as compared to the second quarter of 2008 partially offset by the fact that a significant portion of the charges recorded during the second quarter of 2009 were not tax effective.</w:t>
      </w:r>
    </w:p>
    <w:p>
      <w:pPr>
        <w:spacing w:after="0" w:line="10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effective tax rate for the six months ended June 30, 2009 was 20.6% compared to 20.1% for the same period of the prior year. This increase was primarily attributable to the fact that a significant portion of the charges recorded during the six months ended June 30, 2009 were not tax effective.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Schlumberger recorded significant charges during the second quarter of 2009. These charges, which are summarized below are more fully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second quarter 2009 Charges: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30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61"/>
        </w:trPr>
        <w:tc>
          <w:tcPr>
            <w:tcW w:w="1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4"/>
              </w:rPr>
              <w:t>Pretax</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Tax</w:t>
            </w: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Net</w:t>
            </w:r>
          </w:p>
        </w:tc>
        <w:tc>
          <w:tcPr>
            <w:tcW w:w="3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3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5900" w:type="dxa"/>
            <w:vAlign w:val="bottom"/>
          </w:tcPr>
          <w:p>
            <w:pPr>
              <w:ind w:left="60"/>
              <w:spacing w:after="0"/>
              <w:rPr>
                <w:sz w:val="20"/>
                <w:szCs w:val="20"/>
                <w:color w:val="auto"/>
              </w:rPr>
            </w:pPr>
            <w:r>
              <w:rPr>
                <w:rFonts w:ascii="Arial" w:cs="Arial" w:eastAsia="Arial" w:hAnsi="Arial"/>
                <w:sz w:val="18"/>
                <w:szCs w:val="18"/>
                <w:color w:val="auto"/>
              </w:rPr>
              <w:t>Workforce reductions</w:t>
            </w: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$ 102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i w:val="1"/>
                <w:iCs w:val="1"/>
                <w:color w:val="auto"/>
              </w:rPr>
              <w:t>Cost of goods sold and services</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9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Postretirement benefits curtailment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20" w:type="dxa"/>
            <w:vAlign w:val="bottom"/>
            <w:shd w:val="clear" w:color="auto" w:fill="CCEEFF"/>
          </w:tcPr>
          <w:p>
            <w:pPr>
              <w:spacing w:after="0"/>
              <w:rPr>
                <w:sz w:val="18"/>
                <w:szCs w:val="18"/>
                <w:color w:val="auto"/>
              </w:rPr>
            </w:pPr>
          </w:p>
        </w:tc>
        <w:tc>
          <w:tcPr>
            <w:tcW w:w="3020" w:type="dxa"/>
            <w:vAlign w:val="bottom"/>
            <w:shd w:val="clear" w:color="auto" w:fill="CCEEFF"/>
          </w:tcPr>
          <w:p>
            <w:pPr>
              <w:ind w:left="800"/>
              <w:spacing w:after="0"/>
              <w:rPr>
                <w:sz w:val="20"/>
                <w:szCs w:val="20"/>
                <w:color w:val="auto"/>
              </w:rPr>
            </w:pPr>
            <w:r>
              <w:rPr>
                <w:rFonts w:ascii="Arial" w:cs="Arial" w:eastAsia="Arial" w:hAnsi="Arial"/>
                <w:sz w:val="18"/>
                <w:szCs w:val="18"/>
                <w:i w:val="1"/>
                <w:iCs w:val="1"/>
                <w:color w:val="auto"/>
                <w:w w:val="86"/>
              </w:rPr>
              <w:t>Cost of goods sold and services</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79"/>
              </w:rPr>
              <w:t>$ 238</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207</w:t>
            </w:r>
          </w:p>
        </w:tc>
        <w:tc>
          <w:tcPr>
            <w:tcW w:w="3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in either the first quarter of 2009 or the first six months of 2008.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Details of Net Debt follow: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i w:val="1"/>
                <w:iCs w:val="1"/>
                <w:color w:val="auto"/>
                <w:w w:val="97"/>
              </w:rPr>
              <w:t>(Stated in millions)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06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95"/>
              </w:rPr>
              <w:t>Jun. 30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Jun.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7"/>
              </w:rPr>
              <w:t>(1,129)</w:t>
            </w:r>
          </w:p>
        </w:tc>
        <w:tc>
          <w:tcPr>
            <w:tcW w:w="6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1,556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1,235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Non-cash postretirement benefits curtailment charge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of equity income over dividends received</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(675)</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Capital expenditure</w:t>
            </w:r>
          </w:p>
        </w:tc>
        <w:tc>
          <w:tcPr>
            <w:tcW w:w="8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87"/>
              </w:rPr>
              <w:t>(1,252)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(89)</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Dividends paid</w:t>
            </w:r>
          </w:p>
        </w:tc>
        <w:tc>
          <w:tcPr>
            <w:tcW w:w="8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(502)</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employee stock plans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Business acquisitions</w:t>
            </w:r>
          </w:p>
        </w:tc>
        <w:tc>
          <w:tcPr>
            <w:tcW w:w="80" w:type="dxa"/>
            <w:vAlign w:val="bottom"/>
          </w:tcPr>
          <w:p>
            <w:pPr>
              <w:spacing w:after="0"/>
              <w:rPr>
                <w:sz w:val="18"/>
                <w:szCs w:val="18"/>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(198)</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Pension plan funding</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(502)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Stock repurchase program</w:t>
            </w:r>
          </w:p>
        </w:tc>
        <w:tc>
          <w:tcPr>
            <w:tcW w:w="80" w:type="dxa"/>
            <w:vAlign w:val="bottom"/>
          </w:tcPr>
          <w:p>
            <w:pPr>
              <w:spacing w:after="0"/>
              <w:rPr>
                <w:sz w:val="18"/>
                <w:szCs w:val="18"/>
                <w:color w:val="auto"/>
              </w:rPr>
            </w:pPr>
          </w:p>
        </w:tc>
        <w:tc>
          <w:tcPr>
            <w:tcW w:w="98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Conversion of debentures</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color w:val="auto"/>
              </w:rPr>
              <w:t>Net Debt, end of period</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gridSpan w:val="2"/>
            <w:vMerge w:val="restart"/>
          </w:tcPr>
          <w:p>
            <w:pPr>
              <w:jc w:val="right"/>
              <w:ind w:right="460"/>
              <w:spacing w:after="0"/>
              <w:rPr>
                <w:sz w:val="20"/>
                <w:szCs w:val="20"/>
                <w:color w:val="auto"/>
              </w:rPr>
            </w:pPr>
            <w:r>
              <w:rPr>
                <w:rFonts w:ascii="Arial" w:cs="Arial" w:eastAsia="Arial" w:hAnsi="Arial"/>
                <w:sz w:val="16"/>
                <w:szCs w:val="16"/>
                <w:b w:val="1"/>
                <w:bCs w:val="1"/>
                <w:color w:val="auto"/>
                <w:w w:val="74"/>
              </w:rPr>
              <w:t>)</w:t>
            </w: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40" w:type="dxa"/>
            <w:vAlign w:val="bottom"/>
            <w:gridSpan w:val="3"/>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(990</w:t>
            </w:r>
          </w:p>
        </w:tc>
        <w:tc>
          <w:tcPr>
            <w:tcW w:w="520" w:type="dxa"/>
            <w:vAlign w:val="bottom"/>
            <w:gridSpan w:val="2"/>
            <w:vMerge w:val="continue"/>
          </w:tcPr>
          <w:p>
            <w:pPr>
              <w:spacing w:after="0"/>
              <w:rPr>
                <w:sz w:val="19"/>
                <w:szCs w:val="19"/>
                <w:color w:val="auto"/>
              </w:rPr>
            </w:pPr>
          </w:p>
        </w:tc>
        <w:tc>
          <w:tcPr>
            <w:tcW w:w="6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Includes Multiclient seismic data costs.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4"/>
                <w:szCs w:val="14"/>
                <w:i w:val="1"/>
                <w:iCs w:val="1"/>
                <w:color w:val="auto"/>
                <w:w w:val="90"/>
              </w:rPr>
              <w:t>(Stated in millions)</w:t>
            </w:r>
          </w:p>
        </w:tc>
        <w:tc>
          <w:tcPr>
            <w:tcW w:w="0" w:type="dxa"/>
            <w:vAlign w:val="bottom"/>
          </w:tcPr>
          <w:p>
            <w:pPr>
              <w:spacing w:after="0"/>
              <w:rPr>
                <w:sz w:val="1"/>
                <w:szCs w:val="1"/>
                <w:color w:val="auto"/>
              </w:rPr>
            </w:pPr>
          </w:p>
        </w:tc>
      </w:tr>
      <w:tr>
        <w:trPr>
          <w:trHeight w:val="149"/>
        </w:trPr>
        <w:tc>
          <w:tcPr>
            <w:tcW w:w="75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Components of Net Debt</w:t>
            </w:r>
          </w:p>
        </w:tc>
        <w:tc>
          <w:tcPr>
            <w:tcW w:w="88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Jun. 30</w:t>
            </w:r>
          </w:p>
        </w:tc>
        <w:tc>
          <w:tcPr>
            <w:tcW w:w="28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Jun. 30</w:t>
            </w:r>
          </w:p>
        </w:tc>
        <w:tc>
          <w:tcPr>
            <w:tcW w:w="500" w:type="dxa"/>
            <w:vAlign w:val="bottom"/>
          </w:tcPr>
          <w:p>
            <w:pPr>
              <w:spacing w:after="0"/>
              <w:rPr>
                <w:sz w:val="12"/>
                <w:szCs w:val="12"/>
                <w:color w:val="auto"/>
              </w:rPr>
            </w:pPr>
          </w:p>
        </w:tc>
        <w:tc>
          <w:tcPr>
            <w:tcW w:w="66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61"/>
        </w:trPr>
        <w:tc>
          <w:tcPr>
            <w:tcW w:w="7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5"/>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600" w:type="dxa"/>
            <w:vAlign w:val="bottom"/>
            <w:gridSpan w:val="2"/>
            <w:shd w:val="clear" w:color="auto" w:fill="CCEEFF"/>
          </w:tcPr>
          <w:p>
            <w:pPr>
              <w:jc w:val="center"/>
              <w:ind w:left="399"/>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4,195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2,714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Bank loans and current portion of long-term debt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(1,253)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(1,248)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(4,291)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(3,758)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(2,018)</w:t>
            </w:r>
          </w:p>
        </w:tc>
        <w:tc>
          <w:tcPr>
            <w:tcW w:w="600" w:type="dxa"/>
            <w:vAlign w:val="bottom"/>
            <w:gridSpan w:val="2"/>
            <w:shd w:val="clear" w:color="auto" w:fill="CCEEFF"/>
          </w:tcPr>
          <w:p>
            <w:pPr>
              <w:jc w:val="center"/>
              <w:ind w:left="399"/>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2009 and 2008 included:</w:t>
      </w:r>
    </w:p>
    <w:p>
      <w:pPr>
        <w:spacing w:after="0" w:line="90" w:lineRule="exact"/>
        <w:rPr>
          <w:sz w:val="20"/>
          <w:szCs w:val="20"/>
          <w:color w:val="auto"/>
        </w:rPr>
      </w:pPr>
    </w:p>
    <w:p>
      <w:pPr>
        <w:jc w:val="both"/>
        <w:ind w:left="900" w:right="12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During the first quarter of 2009, a subsidiary of Schlumberger entered into a €3.0 billion Euro Medium Term Note program which is guaranteed by Schlumberger Limited. This program provides for the issuance of various types of debt instruments such as fixed or floating rate notes in Euro, US dollar or other currencies.</w:t>
      </w:r>
    </w:p>
    <w:p>
      <w:pPr>
        <w:spacing w:after="0" w:line="59"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During the first quarter of 2009, Schlumberger issued €1.0 billion 4.50% Guaranteed Notes due 2014 under this program. Schlumberger entered into agreements to swap these Euro notes for US dollars on the date of issue until maturity, effectively making this a US dollar denominated debt on which</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Schlumberger will pay interest in US dollars at a rate of 4.95%. The proceeds from these notes will be used to refinance existing debt obligations and for general corporate purposes and will increase Schlumberger’s financial flexibility.</w:t>
      </w:r>
    </w:p>
    <w:p>
      <w:pPr>
        <w:spacing w:after="0" w:line="51" w:lineRule="exact"/>
        <w:rPr>
          <w:sz w:val="20"/>
          <w:szCs w:val="20"/>
          <w:color w:val="auto"/>
        </w:rPr>
      </w:pPr>
    </w:p>
    <w:p>
      <w:pPr>
        <w:ind w:left="900" w:right="40" w:hanging="446"/>
        <w:spacing w:after="0" w:line="283"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April 20, 2006, the Board of Directors of Schlumberger approved a share repurchase program of up to 40 million shares of its common stock to be acquired in the open market before April 2010, subject to market conditions. This program was completed during the second quarter of 2008. On April 17, 2008, the Board of Directors of Schlumberger approved an $8 billion share repurchase program for shares of its common stock to be acquired in the open market before December 31, 2011, of which $934 million have been repurchased as of June 30, 2009. Given the current economic environment, Schlumberger has temporarily suspended the share repurchase program and did not repurchase any shares during the first six months of 2009. The following table summarizes the activity under the April 20, 2006 share repurchase program during the six months ended</w:t>
      </w:r>
    </w:p>
    <w:p>
      <w:pPr>
        <w:spacing w:after="0" w:line="1"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June 30, 2008:</w:t>
      </w:r>
    </w:p>
    <w:p>
      <w:pPr>
        <w:spacing w:after="0" w:line="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4"/>
          </w:tcPr>
          <w:p>
            <w:pPr>
              <w:ind w:left="420"/>
              <w:spacing w:after="0"/>
              <w:rPr>
                <w:sz w:val="20"/>
                <w:szCs w:val="20"/>
                <w:color w:val="auto"/>
              </w:rPr>
            </w:pPr>
            <w:r>
              <w:rPr>
                <w:rFonts w:ascii="Arial" w:cs="Arial" w:eastAsia="Arial" w:hAnsi="Arial"/>
                <w:sz w:val="14"/>
                <w:szCs w:val="14"/>
                <w:i w:val="1"/>
                <w:iCs w:val="1"/>
                <w:color w:val="auto"/>
                <w:w w:val="98"/>
              </w:rPr>
              <w:t>(Stated in thousands, except per share amounts)</w:t>
            </w:r>
          </w:p>
        </w:tc>
      </w:tr>
      <w:tr>
        <w:trPr>
          <w:trHeight w:val="149"/>
        </w:trPr>
        <w:tc>
          <w:tcPr>
            <w:tcW w:w="3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Total cost of</w:t>
            </w:r>
          </w:p>
        </w:tc>
        <w:tc>
          <w:tcPr>
            <w:tcW w:w="8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149"/>
        </w:trPr>
        <w:tc>
          <w:tcPr>
            <w:tcW w:w="3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shares</w:t>
            </w:r>
          </w:p>
        </w:tc>
        <w:tc>
          <w:tcPr>
            <w:tcW w:w="8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of shares</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61"/>
        </w:trPr>
        <w:tc>
          <w:tcPr>
            <w:tcW w:w="3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88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87"/>
              </w:rPr>
              <w:t>price paid per share</w:t>
            </w: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First six months of 2008</w:t>
            </w:r>
          </w:p>
        </w:tc>
        <w:tc>
          <w:tcPr>
            <w:tcW w:w="2180" w:type="dxa"/>
            <w:vAlign w:val="bottom"/>
            <w:gridSpan w:val="2"/>
            <w:shd w:val="clear" w:color="auto" w:fill="CCEEFF"/>
          </w:tcPr>
          <w:p>
            <w:pPr>
              <w:jc w:val="center"/>
              <w:ind w:left="1292"/>
              <w:spacing w:after="0"/>
              <w:rPr>
                <w:sz w:val="20"/>
                <w:szCs w:val="20"/>
                <w:color w:val="auto"/>
              </w:rPr>
            </w:pPr>
            <w:r>
              <w:rPr>
                <w:rFonts w:ascii="Arial" w:cs="Arial" w:eastAsia="Arial" w:hAnsi="Arial"/>
                <w:sz w:val="18"/>
                <w:szCs w:val="18"/>
                <w:color w:val="auto"/>
                <w:w w:val="88"/>
              </w:rPr>
              <w:t>$1,119,316</w:t>
            </w:r>
          </w:p>
        </w:tc>
        <w:tc>
          <w:tcPr>
            <w:tcW w:w="190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85"/>
              </w:rPr>
              <w:t>12,400.0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r>
    </w:tbl>
    <w:p>
      <w:pPr>
        <w:spacing w:after="0" w:line="73" w:lineRule="exact"/>
        <w:rPr>
          <w:sz w:val="20"/>
          <w:szCs w:val="20"/>
          <w:color w:val="auto"/>
        </w:rPr>
      </w:pPr>
    </w:p>
    <w:p>
      <w:pPr>
        <w:ind w:left="9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During the first six months of 2009 Schlumberger made contributions to its US and international defined benefit plans of $212 million and $290 million, respectively. Schlumberger currently anticipates contributing approximately $300 million to its defined benefits pension plans during the last six months of 2009.</w:t>
      </w:r>
    </w:p>
    <w:p>
      <w:pPr>
        <w:spacing w:after="0" w:line="59"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Cash flow provided by operations was $2.1 billion in the first six months of 2009 compared to $2.7 billion in the first six months of 2008. This was primarily driven by the net income decrease experienced in the first six months of 2009 as compared to the first six months of 2008 and the significant pension plan contributions made during the first six months of 2009, offset by an improvement in working capital requirements.</w:t>
      </w:r>
    </w:p>
    <w:p>
      <w:pPr>
        <w:spacing w:after="0" w:line="25" w:lineRule="exact"/>
        <w:rPr>
          <w:rFonts w:ascii="Arial" w:cs="Arial" w:eastAsia="Arial" w:hAnsi="Arial"/>
          <w:sz w:val="16"/>
          <w:szCs w:val="16"/>
          <w:color w:val="auto"/>
        </w:rPr>
      </w:pPr>
    </w:p>
    <w:p>
      <w:pPr>
        <w:ind w:left="900" w:right="8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expenditures were $1.3 billion in the first six months of 2009 compared to $1.6 billion during the first six months of 2008. Capital expenditures are expected to approach $2.4 billion for the full year 2009.</w:t>
      </w:r>
    </w:p>
    <w:p>
      <w:pPr>
        <w:spacing w:after="0" w:line="1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reduction in cash flows being experienced by our customers resulting from declines in commodity prices, together with the reduced availability of credit and increased costs of borrowing due to the tightening of the credit markets, could have significant adverse effects on the financial condition of some of our customers. This could result in, among other things, delay in, or nonpayment of, amounts that are owed to Schlumberger, which could have a material adverse effect on Schlumberger’s results of operations and cash flows. At times in recent quarters, Schlumberger has experienced delays in payments from certain of its customers. Schlumberger operates in approximately 80 countries. As of June 30, 2009, only five of those countries individually accounted for greater than 5% of Schlumberger’s accounts receivable balance and only one, where cash collections continue to be received on a timely and regular basis, represented greater than 10%.</w:t>
      </w:r>
    </w:p>
    <w:p>
      <w:pPr>
        <w:spacing w:after="0" w:line="14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of June 30, 2009, Schlumberger had approximately $4.9 billion of cash and investments on hand. Wholly-owned subsidiaries of Schlumberger had separate committed debt facility agreements aggregating $3.8 billion with commercial banks, of which $2.3 billion was available and unused as of June 30, 2009. Schlumberger believes that these amounts are sufficient to meet future business requirements for at least the next twelve months.</w:t>
      </w:r>
    </w:p>
    <w:p>
      <w:pPr>
        <w:spacing w:after="0" w:line="107"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Schlumberger’s total outstanding debt at June 30, 2009 was $5.9 billion and included approximately $0.4 billion of commercial paper borrowings. The total outstanding debt increased approximately $0.6 billion as compared to December 31, 2008. This increase was primarily attributable to the €1 billion of 4.50% Guaranteed Notes due 2014 that were issued during the first quarter, partially offset by the repayment of $0.6 billion of commercial paper borrowings.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Report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capital expenditures by Schlumberger and the oil and gas industry; the business strategies of Schlumberger customers; the Schlumberger effective tax rate; and future results of operations. These statements are subject to risks and uncertainties, including, but not limited to, the current global economic downturn; the current volatility in the price of oil; changes in exploration and production spending by Schlumberger customers and changes in the level of oil and natural gas exploration and development; general economic and business conditions in key regions of the world; the financial condition of our suppliers and customers in light of current global economic conditions; delay in, or nonpayment of, amounts that are owed to Schlumberger; pricing erosion; operational and project modifications, delays or cancelations; seasonal factors and weather-related events; and other risks and uncertainties detailed in our second-quarter 2009 earnings release, our most recent Form 10-K, this Form 10-Q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2008. Schlumberger’s exposure to market risk has not changed materially since December 31, 2008.</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t>PART</w:t>
      </w:r>
      <w:r>
        <w:rPr>
          <w:sz w:val="20"/>
          <w:szCs w:val="20"/>
          <w:color w:val="auto"/>
        </w:rPr>
        <w:tab/>
      </w:r>
      <w:r>
        <w:rPr>
          <w:rFonts w:ascii="Arial" w:cs="Arial" w:eastAsia="Arial" w:hAnsi="Arial"/>
          <w:sz w:val="18"/>
          <w:szCs w:val="18"/>
          <w:b w:val="1"/>
          <w:bCs w:val="1"/>
          <w:u w:val="single" w:color="auto"/>
          <w:color w:val="auto"/>
        </w:rPr>
        <w:t>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13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have been no material changes from the risk factors as previously disclosed in Part 1, Item 1A, of the Schlumberger Annual Report on Form 10-K for the fiscal year ended December 31,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6.</w:t>
      </w:r>
      <w:r>
        <w:rPr>
          <w:sz w:val="20"/>
          <w:szCs w:val="20"/>
          <w:color w:val="auto"/>
        </w:rPr>
        <w:tab/>
      </w:r>
      <w:r>
        <w:rPr>
          <w:rFonts w:ascii="Arial" w:cs="Arial" w:eastAsia="Arial" w:hAnsi="Arial"/>
          <w:sz w:val="15"/>
          <w:szCs w:val="15"/>
          <w:b w:val="1"/>
          <w:bCs w:val="1"/>
          <w:u w:val="single" w:color="auto"/>
          <w:color w:val="auto"/>
        </w:rPr>
        <w:t>Exhibits.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Exhibit 3.1 - Articles of Incorporation of Schlumberger Limited (Schlumberger N.V.) (incorporated by reference to Exhibit 3.1 to Schlumberger’s Quarterly Report on Form 10-Q for the fiscal quarter ended March 31, 2006).</w:t>
      </w:r>
    </w:p>
    <w:p>
      <w:pPr>
        <w:spacing w:after="0" w:line="51"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Exhibit 3.2 - Amended and Restated Bylaws of Schlumberger Limited (Schlumberger N.V.) (incorporated by reference to Exhibit 3.1 to Schlumberger’s Current Report on Form 8-K filed on April 22, 2005).</w:t>
      </w:r>
    </w:p>
    <w:p>
      <w:pPr>
        <w:spacing w:after="0" w:line="51" w:lineRule="exact"/>
        <w:rPr>
          <w:sz w:val="20"/>
          <w:szCs w:val="20"/>
          <w:color w:val="auto"/>
        </w:rPr>
      </w:pPr>
    </w:p>
    <w:p>
      <w:pPr>
        <w:ind w:left="600" w:hanging="136"/>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Exhibit 10.1 - Employment Agreement dated June 9, 2009 and effective as of May 1, 2009, between Schlumberger Limited and Dalton Boutte.</w:t>
      </w:r>
    </w:p>
    <w:p>
      <w:pPr>
        <w:spacing w:after="0" w:line="113" w:lineRule="exact"/>
        <w:rPr>
          <w:rFonts w:ascii="Arial" w:cs="Arial" w:eastAsia="Arial" w:hAnsi="Arial"/>
          <w:sz w:val="16"/>
          <w:szCs w:val="16"/>
          <w:color w:val="auto"/>
        </w:rPr>
      </w:pPr>
    </w:p>
    <w:p>
      <w:pPr>
        <w:ind w:left="460" w:right="520" w:firstLine="4"/>
        <w:spacing w:after="0" w:line="268" w:lineRule="auto"/>
        <w:tabs>
          <w:tab w:leader="none" w:pos="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31.1 - Certification of Chief Executive Officer pursuant to Rule 13a-14(a) of the Securities Exchange Act of 1934, as amended, as adopted pursuant to Section 302 of the Sarbanes-Oxley Act of 2002.</w:t>
      </w:r>
    </w:p>
    <w:p>
      <w:pPr>
        <w:spacing w:after="0" w:line="50" w:lineRule="exact"/>
        <w:rPr>
          <w:rFonts w:ascii="Arial" w:cs="Arial" w:eastAsia="Arial" w:hAnsi="Arial"/>
          <w:sz w:val="18"/>
          <w:szCs w:val="18"/>
          <w:color w:val="auto"/>
        </w:rPr>
      </w:pPr>
    </w:p>
    <w:p>
      <w:pPr>
        <w:ind w:left="460" w:right="580" w:firstLine="4"/>
        <w:spacing w:after="0" w:line="268" w:lineRule="auto"/>
        <w:tabs>
          <w:tab w:leader="none" w:pos="59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31.2 - Certification of Chief Financial Officer pursuant to Rule 13a-14(a) of the Securities Exchange Act of 1934, as amended, as adopted pursuant to Section 302 of the Sarbanes-Oxley Act of 2002.</w:t>
      </w:r>
    </w:p>
    <w:p>
      <w:pPr>
        <w:spacing w:after="0" w:line="51" w:lineRule="exact"/>
        <w:rPr>
          <w:sz w:val="20"/>
          <w:szCs w:val="20"/>
          <w:color w:val="auto"/>
        </w:rPr>
      </w:pPr>
    </w:p>
    <w:p>
      <w:pPr>
        <w:ind w:left="460" w:right="240" w:firstLine="4"/>
        <w:spacing w:after="0" w:line="268" w:lineRule="auto"/>
        <w:tabs>
          <w:tab w:leader="none" w:pos="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Exhibit 32.1 - Certification of Chief Executive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ind w:left="460" w:right="180" w:firstLine="4"/>
        <w:spacing w:after="0" w:line="268" w:lineRule="auto"/>
        <w:tabs>
          <w:tab w:leader="none" w:pos="6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Exhibit 32.2 - Certification Chief Financial Officer pursuant to 18 U.S.C. Section 1350, as adopted pursuant to Section 906 of the Sarbanes-Oxley Act of 2002.</w:t>
      </w:r>
    </w:p>
    <w:p>
      <w:pPr>
        <w:spacing w:after="0" w:line="50" w:lineRule="exact"/>
        <w:rPr>
          <w:rFonts w:ascii="Arial" w:cs="Arial" w:eastAsia="Arial" w:hAnsi="Arial"/>
          <w:sz w:val="18"/>
          <w:szCs w:val="18"/>
          <w:color w:val="auto"/>
        </w:rPr>
      </w:pPr>
    </w:p>
    <w:p>
      <w:pPr>
        <w:jc w:val="both"/>
        <w:ind w:left="460" w:right="120" w:firstLine="4"/>
        <w:spacing w:after="0" w:line="306" w:lineRule="auto"/>
        <w:tabs>
          <w:tab w:leader="none" w:pos="6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Exhibit 101 - The following materials from Schlumberger Limited’s Quarterly Report on Form 10-Q for the quarter ended June 30, 2009, formatted in XBRL (Extensible Business Reporting Language): (i) Consolidated Statement of Income, (ii) Consolidated Balance Sheet, (iii) Consolidated Statement of Cash Flows, (iv) Consolidated Statement of Equity and (v) Notes to Consolidated Financial Statements, tagged as blocks of text.</w:t>
      </w:r>
    </w:p>
    <w:p>
      <w:pPr>
        <w:spacing w:after="0" w:line="26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with this Form 10-Q.</w:t>
      </w:r>
    </w:p>
    <w:p>
      <w:pPr>
        <w:spacing w:after="0" w:line="15"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with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-378460</wp:posOffset>
            </wp:positionV>
            <wp:extent cx="6604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8"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July 29, 2009</w:t>
      </w:r>
      <w:r>
        <w:rPr>
          <w:sz w:val="20"/>
          <w:szCs w:val="20"/>
          <w:color w:val="auto"/>
        </w:rPr>
        <w:tab/>
      </w:r>
      <w:r>
        <w:rPr>
          <w:rFonts w:ascii="Arial" w:cs="Arial" w:eastAsia="Arial" w:hAnsi="Arial"/>
          <w:sz w:val="18"/>
          <w:szCs w:val="18"/>
          <w:color w:val="auto"/>
        </w:rPr>
        <w:t>/s/</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Accounting Officer and Duly Authorized Signatory</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0"/>
          </w:cols>
          <w:pgMar w:left="240" w:top="459" w:right="7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ind w:right="660" w:firstLine="456"/>
        <w:spacing w:after="0" w:line="339" w:lineRule="auto"/>
        <w:rPr>
          <w:sz w:val="20"/>
          <w:szCs w:val="20"/>
          <w:color w:val="auto"/>
        </w:rPr>
      </w:pPr>
      <w:r>
        <w:rPr>
          <w:rFonts w:ascii="Arial" w:cs="Arial" w:eastAsia="Arial" w:hAnsi="Arial"/>
          <w:sz w:val="16"/>
          <w:szCs w:val="16"/>
          <w:color w:val="auto"/>
        </w:rPr>
        <w:t xml:space="preserve">THIS EMPLOYMENT AGREEMENT (“Agreement”) is effective as of the 1st of May, 2009, by and between </w:t>
      </w:r>
      <w:r>
        <w:rPr>
          <w:rFonts w:ascii="Arial" w:cs="Arial" w:eastAsia="Arial" w:hAnsi="Arial"/>
          <w:sz w:val="16"/>
          <w:szCs w:val="16"/>
          <w:b w:val="1"/>
          <w:bCs w:val="1"/>
          <w:color w:val="auto"/>
        </w:rPr>
        <w:t>SCHLUMBERGER LIMITED</w:t>
      </w:r>
      <w:r>
        <w:rPr>
          <w:rFonts w:ascii="Arial" w:cs="Arial" w:eastAsia="Arial" w:hAnsi="Arial"/>
          <w:sz w:val="16"/>
          <w:szCs w:val="16"/>
          <w:color w:val="auto"/>
        </w:rPr>
        <w:t>, a Netherlands Antilles corporation (the “Company”), and Dalton Boutte, an individual currently residing in Houston, TX (“Executive”).</w:t>
      </w:r>
    </w:p>
    <w:p>
      <w:pPr>
        <w:spacing w:after="0" w:line="80" w:lineRule="exact"/>
        <w:rPr>
          <w:sz w:val="20"/>
          <w:szCs w:val="20"/>
          <w:color w:val="auto"/>
        </w:rPr>
      </w:pPr>
    </w:p>
    <w:p>
      <w:pPr>
        <w:jc w:val="both"/>
        <w:ind w:right="80" w:firstLine="464"/>
        <w:spacing w:after="0" w:line="256" w:lineRule="auto"/>
        <w:tabs>
          <w:tab w:leader="none" w:pos="63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Employment of Executive</w:t>
      </w:r>
      <w:r>
        <w:rPr>
          <w:rFonts w:ascii="Arial" w:cs="Arial" w:eastAsia="Arial" w:hAnsi="Arial"/>
          <w:sz w:val="18"/>
          <w:szCs w:val="18"/>
          <w:color w:val="auto"/>
        </w:rPr>
        <w:t>: In consideration of the mutual covenants and agreements herein contained, including Executive’s agreement to sign a release of claims as provided in Section 13, the Company and Executive wish to establish an Employment Agreement retaining Executive’s services as described herein, establishing certain incentive, tenure and performance criteria related to such employment and otherwise fixing Executive’s benefits, base salary and incentive compensation.</w:t>
      </w:r>
    </w:p>
    <w:p>
      <w:pPr>
        <w:spacing w:after="0" w:line="143" w:lineRule="exact"/>
        <w:rPr>
          <w:rFonts w:ascii="Arial" w:cs="Arial" w:eastAsia="Arial" w:hAnsi="Arial"/>
          <w:sz w:val="18"/>
          <w:szCs w:val="18"/>
          <w:color w:val="auto"/>
        </w:rPr>
      </w:pPr>
    </w:p>
    <w:p>
      <w:pPr>
        <w:ind w:right="20" w:firstLine="464"/>
        <w:spacing w:after="0" w:line="287" w:lineRule="auto"/>
        <w:tabs>
          <w:tab w:leader="none" w:pos="632"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Term and Extent of Services</w:t>
      </w:r>
      <w:r>
        <w:rPr>
          <w:rFonts w:ascii="Arial" w:cs="Arial" w:eastAsia="Arial" w:hAnsi="Arial"/>
          <w:sz w:val="16"/>
          <w:szCs w:val="16"/>
          <w:color w:val="auto"/>
        </w:rPr>
        <w:t>: During the Initial Term, as defined below, Executive shall be employed as Vice President Industry Affairs reporting to Andrew Gould, Chairman &amp; CEO. During the Secondary Term, as defined below, Executive shall be employed as Senior Advisor reporting to Andrew Gould, Chairman &amp; CEO. The term hereof shall commence May 1st, 2009 (the “Effective Date”) and shall continue until the close of business on January 31st, 2013 (the “Term”). The initial term as referenced herein shall commence on the Effective Date and shall continue until December 31st, 2009 (the “Initial Term”). The Secondary Term shall commence January 1st, 2010 and shall continue until January 31st, 2013 (the “Secondary Term”). During the Initial Term, Executive agrees to devote up to 100% of his business time to the business of the Company, as requested, and to perform to the best of his ability and with reasonable diligence the duties and responsibilities assigned to him by the appropriate management of the Company. During the Secondary Term, Executive agrees to devote up to 50% of his time to the business of the Company, as requested, and to perform to the best of his ability and with reasonable diligence the duties and responsibilities assigned to him by the appropriate management of the Company. At the expiration of the Term, Executive agrees to voluntarily retire from the Company and all affiliates.</w:t>
      </w:r>
    </w:p>
    <w:p>
      <w:pPr>
        <w:spacing w:after="0" w:line="123"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Nothing herein shall prohibit Executive, during the Term, from being engaged as a consultant to organizations and businesses, except those described as Unauthorized Competitors in Section 5, provided that Executive’s work as a consultant does not affect his ability to perform the duties and responsibilities assigned to him under this Agreement.</w:t>
      </w:r>
    </w:p>
    <w:p>
      <w:pPr>
        <w:spacing w:after="0" w:line="59" w:lineRule="exact"/>
        <w:rPr>
          <w:sz w:val="20"/>
          <w:szCs w:val="20"/>
          <w:color w:val="auto"/>
        </w:rPr>
      </w:pPr>
    </w:p>
    <w:p>
      <w:pPr>
        <w:ind w:left="640" w:hanging="17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right="220" w:hanging="437"/>
        <w:spacing w:after="0" w:line="268" w:lineRule="auto"/>
        <w:tabs>
          <w:tab w:leader="none" w:pos="11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During the Initial Term, Executive’s base salary shall be US$54,166.67 per month. During the Secondary Term, Executive’s base salary shall be US$40,625.00 per month. During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2" w:name="page33"/>
    <w:bookmarkEnd w:id="32"/>
    <w:p>
      <w:pPr>
        <w:ind w:left="45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 Executive’s base salary shall be payable semi-monthly in accordance with the Company’s normal payroll practices.</w:t>
      </w:r>
    </w:p>
    <w:p>
      <w:pPr>
        <w:spacing w:after="0" w:line="90" w:lineRule="exact"/>
        <w:rPr>
          <w:sz w:val="20"/>
          <w:szCs w:val="20"/>
          <w:color w:val="auto"/>
        </w:rPr>
      </w:pPr>
    </w:p>
    <w:p>
      <w:pPr>
        <w:ind w:left="437" w:right="100" w:hanging="437"/>
        <w:spacing w:after="0" w:line="332" w:lineRule="auto"/>
        <w:tabs>
          <w:tab w:leader="none" w:pos="43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Welfare Benefits</w:t>
      </w:r>
      <w:r>
        <w:rPr>
          <w:rFonts w:ascii="Arial" w:cs="Arial" w:eastAsia="Arial" w:hAnsi="Arial"/>
          <w:sz w:val="16"/>
          <w:szCs w:val="16"/>
          <w:color w:val="auto"/>
        </w:rPr>
        <w:t>: During the Term, Executive shall be eligible to participate in the Company’s health, welfare and insurance plans (e.g., medical, dental, vision, life insurance, short- and long-term disability, etc.) on a basis comparable to that of other U.S. employees.</w:t>
      </w:r>
    </w:p>
    <w:p>
      <w:pPr>
        <w:spacing w:after="0" w:line="4" w:lineRule="exact"/>
        <w:rPr>
          <w:rFonts w:ascii="Arial" w:cs="Arial" w:eastAsia="Arial" w:hAnsi="Arial"/>
          <w:sz w:val="16"/>
          <w:szCs w:val="16"/>
          <w:color w:val="auto"/>
        </w:rPr>
      </w:pPr>
    </w:p>
    <w:p>
      <w:pPr>
        <w:ind w:left="437" w:right="40" w:hanging="437"/>
        <w:spacing w:after="0" w:line="294" w:lineRule="auto"/>
        <w:tabs>
          <w:tab w:leader="none" w:pos="43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Pension and Profit Sharing</w:t>
      </w:r>
      <w:r>
        <w:rPr>
          <w:rFonts w:ascii="Arial" w:cs="Arial" w:eastAsia="Arial" w:hAnsi="Arial"/>
          <w:sz w:val="16"/>
          <w:szCs w:val="16"/>
          <w:color w:val="auto"/>
        </w:rPr>
        <w:t>: During the Term, or if Executive’s employment is terminated sooner pursuant to Section 4, until such termination, Executive shall continue to accrue benefits under the Company’s qualified and non-qualified pension and profit sharing plans based on an annual base salary of $650,000. Executive will also accrue benefits under the same plans, based on the Incentive payment to be made to him on February 2010, as per section 3(d) below. Payments under the Company’s non-qualified pension and profit sharing plans will be made in accordance with the terms of the relevant plan upon separation from service with the Company.</w:t>
      </w:r>
    </w:p>
    <w:p>
      <w:pPr>
        <w:spacing w:after="0" w:line="34" w:lineRule="exact"/>
        <w:rPr>
          <w:rFonts w:ascii="Arial" w:cs="Arial" w:eastAsia="Arial" w:hAnsi="Arial"/>
          <w:sz w:val="16"/>
          <w:szCs w:val="16"/>
          <w:color w:val="auto"/>
        </w:rPr>
      </w:pPr>
    </w:p>
    <w:p>
      <w:pPr>
        <w:ind w:left="437" w:right="80" w:hanging="437"/>
        <w:spacing w:after="0" w:line="332" w:lineRule="auto"/>
        <w:tabs>
          <w:tab w:leader="none" w:pos="437"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Incentive Plans</w:t>
      </w:r>
      <w:r>
        <w:rPr>
          <w:rFonts w:ascii="Arial" w:cs="Arial" w:eastAsia="Arial" w:hAnsi="Arial"/>
          <w:sz w:val="16"/>
          <w:szCs w:val="16"/>
          <w:color w:val="auto"/>
        </w:rPr>
        <w:t>: During the Initial Term, Executive will participate in the Company’s Performance Incentive Program at a range level of 100% of base pay. During the Secondary Term, Executive shall not participate in the Company’s Performance Incentive Plan.</w:t>
      </w:r>
    </w:p>
    <w:p>
      <w:pPr>
        <w:spacing w:after="0" w:line="4" w:lineRule="exact"/>
        <w:rPr>
          <w:rFonts w:ascii="Arial" w:cs="Arial" w:eastAsia="Arial" w:hAnsi="Arial"/>
          <w:sz w:val="16"/>
          <w:szCs w:val="16"/>
          <w:color w:val="auto"/>
        </w:rPr>
      </w:pPr>
    </w:p>
    <w:p>
      <w:pPr>
        <w:ind w:left="1017" w:right="40" w:hanging="558"/>
        <w:spacing w:after="0" w:line="259" w:lineRule="auto"/>
        <w:tabs>
          <w:tab w:leader="none" w:pos="10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During the Term, or if Executive’s employment is terminated sooner pursuant to Section 4, until such termination, Executive will continue to vest in stock options previously granted to Executive under the Company’s stock option plans in accordance with the terms of those plans and any applicable agreements.</w:t>
      </w:r>
    </w:p>
    <w:p>
      <w:pPr>
        <w:spacing w:after="0" w:line="59" w:lineRule="exact"/>
        <w:rPr>
          <w:rFonts w:ascii="Arial" w:cs="Arial" w:eastAsia="Arial" w:hAnsi="Arial"/>
          <w:sz w:val="18"/>
          <w:szCs w:val="18"/>
          <w:color w:val="auto"/>
        </w:rPr>
      </w:pPr>
    </w:p>
    <w:p>
      <w:pPr>
        <w:ind w:left="1017" w:right="160" w:hanging="558"/>
        <w:spacing w:after="0" w:line="256" w:lineRule="auto"/>
        <w:tabs>
          <w:tab w:leader="none" w:pos="1017" w:val="left"/>
        </w:tabs>
        <w:numPr>
          <w:ilvl w:val="1"/>
          <w:numId w:val="27"/>
        </w:numPr>
        <w:rPr>
          <w:rFonts w:ascii="Arial" w:cs="Arial" w:eastAsia="Arial" w:hAnsi="Arial"/>
          <w:sz w:val="18"/>
          <w:szCs w:val="18"/>
          <w:color w:val="auto"/>
        </w:rPr>
      </w:pPr>
      <w:r>
        <w:rPr>
          <w:rFonts w:ascii="Arial" w:cs="Arial" w:eastAsia="Arial" w:hAnsi="Arial"/>
          <w:sz w:val="18"/>
          <w:szCs w:val="18"/>
          <w:color w:val="auto"/>
        </w:rPr>
        <w:t>Upon termination of employment, except for a termination for Cause pursuant to Section 4 (c) or upon Executive’s employment with an Unauthorized Competitor as described in Section 5 (c) (i), Executive shall have the lesser of 5 years or the length of time left on the option term from the date of such termination to exercise any previously granted stock options, to the extent that such options were exercisable as of the date of such termination.</w:t>
      </w:r>
    </w:p>
    <w:p>
      <w:pPr>
        <w:spacing w:after="0" w:line="62" w:lineRule="exact"/>
        <w:rPr>
          <w:rFonts w:ascii="Arial" w:cs="Arial" w:eastAsia="Arial" w:hAnsi="Arial"/>
          <w:sz w:val="18"/>
          <w:szCs w:val="18"/>
          <w:color w:val="auto"/>
        </w:rPr>
      </w:pPr>
    </w:p>
    <w:p>
      <w:pPr>
        <w:ind w:left="1017" w:hanging="558"/>
        <w:spacing w:after="0" w:line="332" w:lineRule="auto"/>
        <w:tabs>
          <w:tab w:leader="none" w:pos="1017"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During the Initial Term, Executive shall continue to accrue vacation. Executive shall be paid on the last day of the Initial Term a cash amount representing his accrued and unused vacation accumulated as of December 31, 2009. During the</w:t>
      </w:r>
    </w:p>
    <w:p>
      <w:pPr>
        <w:spacing w:after="0" w:line="72" w:lineRule="exact"/>
        <w:rPr>
          <w:sz w:val="20"/>
          <w:szCs w:val="20"/>
          <w:color w:val="auto"/>
        </w:rPr>
      </w:pPr>
    </w:p>
    <w:p>
      <w:pPr>
        <w:ind w:left="499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37"/>
          </w:cols>
          <w:pgMar w:left="923" w:top="280" w:right="239" w:bottom="1440" w:gutter="0" w:footer="0" w:header="0"/>
        </w:sectPr>
      </w:pPr>
    </w:p>
    <w:bookmarkStart w:id="33" w:name="page34"/>
    <w:bookmarkEnd w:id="33"/>
    <w:p>
      <w:pPr>
        <w:ind w:left="1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Secondary Term, Executive shall not be eligible to accrue vacation pay.</w:t>
      </w:r>
    </w:p>
    <w:p>
      <w:pPr>
        <w:spacing w:after="0" w:line="90" w:lineRule="exact"/>
        <w:rPr>
          <w:sz w:val="20"/>
          <w:szCs w:val="20"/>
          <w:color w:val="auto"/>
        </w:rPr>
      </w:pPr>
    </w:p>
    <w:p>
      <w:pPr>
        <w:ind w:left="1120" w:right="160" w:hanging="437"/>
        <w:spacing w:after="0" w:line="256" w:lineRule="auto"/>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Expense Reimbursement:</w:t>
      </w:r>
      <w:r>
        <w:rPr>
          <w:rFonts w:ascii="Arial" w:cs="Arial" w:eastAsia="Arial" w:hAnsi="Arial"/>
          <w:sz w:val="18"/>
          <w:szCs w:val="18"/>
          <w:color w:val="auto"/>
        </w:rPr>
        <w:t xml:space="preserve"> Executive shall be reimbursed for any expenses incurred in the normal course of performing his duties, including any travel expenditures necessary to satisfactorily perform his duties. Executive shall submit all invoices for such incurred costs to the Company no later than 30 days prior to the end of the taxable year following the taxable year in which they were incurred. The Company shall reimburse Executive for such costs within 14 days of receipt of such invoices.</w:t>
      </w:r>
    </w:p>
    <w:p>
      <w:pPr>
        <w:spacing w:after="0" w:line="143" w:lineRule="exact"/>
        <w:rPr>
          <w:rFonts w:ascii="Arial" w:cs="Arial" w:eastAsia="Arial" w:hAnsi="Arial"/>
          <w:sz w:val="18"/>
          <w:szCs w:val="18"/>
          <w:color w:val="auto"/>
        </w:rPr>
      </w:pPr>
    </w:p>
    <w:p>
      <w:pPr>
        <w:ind w:right="320" w:firstLine="464"/>
        <w:spacing w:after="0" w:line="268" w:lineRule="auto"/>
        <w:tabs>
          <w:tab w:leader="none" w:pos="6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Should Executive’s employment terminate prior to the end of the Term, the following provisions of this Section 4 shall govern the rights of Executive under this Agreement:</w:t>
      </w:r>
    </w:p>
    <w:p>
      <w:pPr>
        <w:spacing w:after="0" w:line="50" w:lineRule="exact"/>
        <w:rPr>
          <w:rFonts w:ascii="Arial" w:cs="Arial" w:eastAsia="Arial" w:hAnsi="Arial"/>
          <w:sz w:val="18"/>
          <w:szCs w:val="18"/>
          <w:color w:val="auto"/>
        </w:rPr>
      </w:pPr>
    </w:p>
    <w:p>
      <w:pPr>
        <w:ind w:left="1120" w:right="60" w:hanging="437"/>
        <w:spacing w:after="0" w:line="259" w:lineRule="auto"/>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59" w:lineRule="exact"/>
        <w:rPr>
          <w:rFonts w:ascii="Arial" w:cs="Arial" w:eastAsia="Arial" w:hAnsi="Arial"/>
          <w:sz w:val="18"/>
          <w:szCs w:val="18"/>
          <w:color w:val="auto"/>
        </w:rPr>
      </w:pPr>
    </w:p>
    <w:p>
      <w:pPr>
        <w:ind w:left="1120" w:hanging="437"/>
        <w:spacing w:after="0" w:line="256" w:lineRule="auto"/>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In the event Executive’s employment 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62" w:lineRule="exact"/>
        <w:rPr>
          <w:rFonts w:ascii="Arial" w:cs="Arial" w:eastAsia="Arial" w:hAnsi="Arial"/>
          <w:sz w:val="18"/>
          <w:szCs w:val="18"/>
          <w:color w:val="auto"/>
        </w:rPr>
      </w:pPr>
    </w:p>
    <w:p>
      <w:pPr>
        <w:ind w:left="1120" w:right="300" w:hanging="437"/>
        <w:spacing w:after="0" w:line="268" w:lineRule="auto"/>
        <w:tabs>
          <w:tab w:leader="none" w:pos="1120" w:val="left"/>
        </w:tabs>
        <w:numPr>
          <w:ilvl w:val="1"/>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the Company terminates Executive’s employment during the Term for Cause, as defined below, he shall be entitled to:</w:t>
      </w:r>
    </w:p>
    <w:p>
      <w:pPr>
        <w:spacing w:after="0" w:line="50" w:lineRule="exact"/>
        <w:rPr>
          <w:rFonts w:ascii="Arial" w:cs="Arial" w:eastAsia="Arial" w:hAnsi="Arial"/>
          <w:sz w:val="18"/>
          <w:szCs w:val="18"/>
          <w:color w:val="auto"/>
        </w:rPr>
      </w:pPr>
    </w:p>
    <w:p>
      <w:pPr>
        <w:ind w:left="1700" w:hanging="558"/>
        <w:spacing w:after="0"/>
        <w:tabs>
          <w:tab w:leader="none" w:pos="17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 for Cause; and</w:t>
      </w:r>
    </w:p>
    <w:p>
      <w:pPr>
        <w:spacing w:after="0" w:line="90" w:lineRule="exact"/>
        <w:rPr>
          <w:rFonts w:ascii="Arial" w:cs="Arial" w:eastAsia="Arial" w:hAnsi="Arial"/>
          <w:sz w:val="18"/>
          <w:szCs w:val="18"/>
          <w:color w:val="auto"/>
        </w:rPr>
      </w:pPr>
    </w:p>
    <w:p>
      <w:pPr>
        <w:ind w:left="1700" w:right="40" w:hanging="558"/>
        <w:spacing w:after="0" w:line="268" w:lineRule="auto"/>
        <w:tabs>
          <w:tab w:leader="none" w:pos="17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other amounts earned, accrued or owing as of the date of termination of employment under the applicable employee benefit plans or programs of the Company.</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“Cause” means Executive’s dishonesty, conviction of a felony, willful unauthorized disclosure of confidential information of the Company, or willful refusal to perform the duties of Executive’s position or positions with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34" w:name="page35"/>
    <w:bookmarkEnd w:id="34"/>
    <w:p>
      <w:pPr>
        <w:ind w:left="437" w:right="260" w:hanging="437"/>
        <w:spacing w:after="0" w:line="298" w:lineRule="auto"/>
        <w:tabs>
          <w:tab w:leader="none" w:pos="43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Voluntary Termination</w:t>
      </w:r>
      <w:r>
        <w:rPr>
          <w:rFonts w:ascii="Arial" w:cs="Arial" w:eastAsia="Arial" w:hAnsi="Arial"/>
          <w:sz w:val="16"/>
          <w:szCs w:val="16"/>
          <w:color w:val="auto"/>
        </w:rPr>
        <w:t>: Upon 15 days’ prior written notice to the Company (unless otherwise waived by the Company), Executive may voluntarily terminate his employment with the Company. A voluntary termination pursuant to this Section 4(d) shall not include a termination under Section 4 (a), 4 (b) or 4 (c) above, and shall not be deemed a breach of this Agreement by Executive (except if Executive accepts employment or other prohibited association with an Unauthorized Competitor, as defined below, during the Term of this Agreement).</w:t>
      </w:r>
    </w:p>
    <w:p>
      <w:pPr>
        <w:spacing w:after="0" w:line="32" w:lineRule="exact"/>
        <w:rPr>
          <w:sz w:val="20"/>
          <w:szCs w:val="20"/>
          <w:color w:val="auto"/>
        </w:rPr>
      </w:pPr>
    </w:p>
    <w:p>
      <w:pPr>
        <w:ind w:left="457" w:right="200"/>
        <w:spacing w:after="0" w:line="259" w:lineRule="auto"/>
        <w:rPr>
          <w:sz w:val="20"/>
          <w:szCs w:val="20"/>
          <w:color w:val="auto"/>
        </w:rPr>
      </w:pPr>
      <w:r>
        <w:rPr>
          <w:rFonts w:ascii="Arial" w:cs="Arial" w:eastAsia="Arial" w:hAnsi="Arial"/>
          <w:sz w:val="18"/>
          <w:szCs w:val="18"/>
          <w:color w:val="auto"/>
        </w:rPr>
        <w:t>In the event Executive voluntarily terminates his employment during the Term, and (I) does not become employed by an Unauthorized Competitor or (II) becomes employed by another Oil &amp; Gas related Company with consent of the Chief Executive Officer (which consent will not be unreasonably withheld), he shall be entitled to:</w:t>
      </w:r>
    </w:p>
    <w:p>
      <w:pPr>
        <w:spacing w:after="0" w:line="59" w:lineRule="exact"/>
        <w:rPr>
          <w:sz w:val="20"/>
          <w:szCs w:val="20"/>
          <w:color w:val="auto"/>
        </w:rPr>
      </w:pPr>
    </w:p>
    <w:p>
      <w:pPr>
        <w:ind w:left="1017" w:hanging="558"/>
        <w:spacing w:after="0"/>
        <w:tabs>
          <w:tab w:leader="none" w:pos="10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w:t>
      </w:r>
    </w:p>
    <w:p>
      <w:pPr>
        <w:spacing w:after="0" w:line="90" w:lineRule="exact"/>
        <w:rPr>
          <w:rFonts w:ascii="Arial" w:cs="Arial" w:eastAsia="Arial" w:hAnsi="Arial"/>
          <w:sz w:val="18"/>
          <w:szCs w:val="18"/>
          <w:color w:val="auto"/>
        </w:rPr>
      </w:pPr>
    </w:p>
    <w:p>
      <w:pPr>
        <w:ind w:left="1017" w:hanging="558"/>
        <w:spacing w:after="0"/>
        <w:tabs>
          <w:tab w:leader="none" w:pos="10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90" w:lineRule="exact"/>
        <w:rPr>
          <w:rFonts w:ascii="Arial" w:cs="Arial" w:eastAsia="Arial" w:hAnsi="Arial"/>
          <w:sz w:val="18"/>
          <w:szCs w:val="18"/>
          <w:color w:val="auto"/>
        </w:rPr>
      </w:pPr>
    </w:p>
    <w:p>
      <w:pPr>
        <w:ind w:left="1017" w:right="80" w:hanging="558"/>
        <w:spacing w:after="0" w:line="259" w:lineRule="auto"/>
        <w:tabs>
          <w:tab w:leader="none" w:pos="10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59" w:lineRule="exact"/>
        <w:rPr>
          <w:rFonts w:ascii="Arial" w:cs="Arial" w:eastAsia="Arial" w:hAnsi="Arial"/>
          <w:sz w:val="18"/>
          <w:szCs w:val="18"/>
          <w:color w:val="auto"/>
        </w:rPr>
      </w:pPr>
    </w:p>
    <w:p>
      <w:pPr>
        <w:ind w:left="437" w:hanging="437"/>
        <w:spacing w:after="0" w:line="268" w:lineRule="auto"/>
        <w:tabs>
          <w:tab w:leader="none" w:pos="43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Termination Due to Mutual Agreement</w:t>
      </w:r>
      <w:r>
        <w:rPr>
          <w:rFonts w:ascii="Arial" w:cs="Arial" w:eastAsia="Arial" w:hAnsi="Arial"/>
          <w:sz w:val="18"/>
          <w:szCs w:val="18"/>
          <w:color w:val="auto"/>
        </w:rPr>
        <w:t>: In the event the Company and the Executive mutually agree to terminate this Agreement, the Executive’s employment will be terminated and he shall be entitled to:</w:t>
      </w:r>
    </w:p>
    <w:p>
      <w:pPr>
        <w:spacing w:after="0" w:line="50" w:lineRule="exact"/>
        <w:rPr>
          <w:rFonts w:ascii="Arial" w:cs="Arial" w:eastAsia="Arial" w:hAnsi="Arial"/>
          <w:sz w:val="18"/>
          <w:szCs w:val="18"/>
          <w:color w:val="auto"/>
        </w:rPr>
      </w:pPr>
    </w:p>
    <w:p>
      <w:pPr>
        <w:ind w:left="1017" w:hanging="558"/>
        <w:spacing w:after="0"/>
        <w:tabs>
          <w:tab w:leader="none" w:pos="1017" w:val="left"/>
        </w:tabs>
        <w:numPr>
          <w:ilvl w:val="1"/>
          <w:numId w:val="32"/>
        </w:numPr>
        <w:rPr>
          <w:rFonts w:ascii="Arial" w:cs="Arial" w:eastAsia="Arial" w:hAnsi="Arial"/>
          <w:sz w:val="18"/>
          <w:szCs w:val="18"/>
          <w:color w:val="auto"/>
        </w:rPr>
      </w:pPr>
      <w:r>
        <w:rPr>
          <w:rFonts w:ascii="Arial" w:cs="Arial" w:eastAsia="Arial" w:hAnsi="Arial"/>
          <w:sz w:val="18"/>
          <w:szCs w:val="18"/>
          <w:color w:val="auto"/>
        </w:rPr>
        <w:t>his base salary through the date of the termination of his employment;</w:t>
      </w:r>
    </w:p>
    <w:p>
      <w:pPr>
        <w:spacing w:after="0" w:line="90" w:lineRule="exact"/>
        <w:rPr>
          <w:rFonts w:ascii="Arial" w:cs="Arial" w:eastAsia="Arial" w:hAnsi="Arial"/>
          <w:sz w:val="18"/>
          <w:szCs w:val="18"/>
          <w:color w:val="auto"/>
        </w:rPr>
      </w:pPr>
    </w:p>
    <w:p>
      <w:pPr>
        <w:ind w:left="1017" w:hanging="558"/>
        <w:spacing w:after="0"/>
        <w:tabs>
          <w:tab w:leader="none" w:pos="1017" w:val="left"/>
        </w:tabs>
        <w:numPr>
          <w:ilvl w:val="1"/>
          <w:numId w:val="32"/>
        </w:numPr>
        <w:rPr>
          <w:rFonts w:ascii="Arial" w:cs="Arial" w:eastAsia="Arial" w:hAnsi="Arial"/>
          <w:sz w:val="18"/>
          <w:szCs w:val="18"/>
          <w:color w:val="auto"/>
        </w:rPr>
      </w:pPr>
      <w:r>
        <w:rPr>
          <w:rFonts w:ascii="Arial" w:cs="Arial" w:eastAsia="Arial" w:hAnsi="Arial"/>
          <w:sz w:val="18"/>
          <w:szCs w:val="18"/>
          <w:color w:val="auto"/>
        </w:rPr>
        <w:t>other benefits for which he is eligible in accordance with applicable plans or programs of the Company;</w:t>
      </w:r>
    </w:p>
    <w:p>
      <w:pPr>
        <w:spacing w:after="0" w:line="90" w:lineRule="exact"/>
        <w:rPr>
          <w:rFonts w:ascii="Arial" w:cs="Arial" w:eastAsia="Arial" w:hAnsi="Arial"/>
          <w:sz w:val="18"/>
          <w:szCs w:val="18"/>
          <w:color w:val="auto"/>
        </w:rPr>
      </w:pPr>
    </w:p>
    <w:p>
      <w:pPr>
        <w:ind w:left="1017" w:right="80" w:hanging="558"/>
        <w:spacing w:after="0" w:line="259" w:lineRule="auto"/>
        <w:tabs>
          <w:tab w:leader="none" w:pos="1017" w:val="left"/>
        </w:tabs>
        <w:numPr>
          <w:ilvl w:val="1"/>
          <w:numId w:val="32"/>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his termination date) for up to the lesser of 5 years or the amount of time left on the option term after his termination date but not to exceed the original option term;</w:t>
      </w:r>
    </w:p>
    <w:p>
      <w:pPr>
        <w:spacing w:after="0" w:line="127" w:lineRule="exact"/>
        <w:rPr>
          <w:sz w:val="20"/>
          <w:szCs w:val="20"/>
          <w:color w:val="auto"/>
        </w:rPr>
      </w:pPr>
    </w:p>
    <w:p>
      <w:pPr>
        <w:ind w:left="499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77"/>
          </w:cols>
          <w:pgMar w:left="923" w:top="280" w:right="299" w:bottom="1440" w:gutter="0" w:footer="0" w:header="0"/>
        </w:sectPr>
      </w:pPr>
    </w:p>
    <w:bookmarkStart w:id="35" w:name="page36"/>
    <w:bookmarkEnd w:id="35"/>
    <w:p>
      <w:pPr>
        <w:ind w:left="1700" w:right="200" w:hanging="558"/>
        <w:spacing w:after="0" w:line="268" w:lineRule="auto"/>
        <w:tabs>
          <w:tab w:leader="none" w:pos="1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during the Initial Term, the sum of US$650,000 divided by 12 and multiplied by the number of months remaining in the Initial Term, payable on the date 30 days following the Executive’s termination of employment;</w:t>
      </w:r>
    </w:p>
    <w:p>
      <w:pPr>
        <w:spacing w:after="0" w:line="50" w:lineRule="exact"/>
        <w:rPr>
          <w:rFonts w:ascii="Arial" w:cs="Arial" w:eastAsia="Arial" w:hAnsi="Arial"/>
          <w:sz w:val="18"/>
          <w:szCs w:val="18"/>
          <w:color w:val="auto"/>
        </w:rPr>
      </w:pPr>
    </w:p>
    <w:p>
      <w:pPr>
        <w:ind w:left="1700" w:right="660" w:hanging="558"/>
        <w:spacing w:after="0" w:line="332" w:lineRule="auto"/>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during the Secondary Term, the sum of US$1,503,125 divided by 37 and multiplied by the number of months remaining in the Secondary Term, payable on the date 30 days following the Executive’s termination of employment.</w:t>
      </w:r>
    </w:p>
    <w:p>
      <w:pPr>
        <w:spacing w:after="0" w:line="8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purposes of this Agreement, an Unauthorized Competitor means those companies as defined in Section 5, involved in the oilfield services and equipment business.</w:t>
      </w:r>
    </w:p>
    <w:p>
      <w:pPr>
        <w:spacing w:after="0" w:line="51" w:lineRule="exact"/>
        <w:rPr>
          <w:sz w:val="20"/>
          <w:szCs w:val="20"/>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Confidentiality, Return of Property, and Covenant Not to Compete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firstLine="921"/>
        <w:spacing w:after="0" w:line="286" w:lineRule="auto"/>
        <w:tabs>
          <w:tab w:leader="none" w:pos="1152" w:val="left"/>
        </w:tabs>
        <w:numPr>
          <w:ilvl w:val="1"/>
          <w:numId w:val="34"/>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Company agrees that at the time of execution of this Agreement, or shortly thereafter during the Term of this Agreement, the Company will provide Executive with Confidential Information as necessary to perform his duties hereunder. Executive agrees that in return for this and other consideration provided under this Agreement he will not disclose or make available to any other person or entity, or use for his own personal gain,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27" w:lineRule="exact"/>
        <w:rPr>
          <w:rFonts w:ascii="Arial" w:cs="Arial" w:eastAsia="Arial" w:hAnsi="Arial"/>
          <w:sz w:val="16"/>
          <w:szCs w:val="16"/>
          <w:color w:val="auto"/>
        </w:rPr>
      </w:pPr>
    </w:p>
    <w:p>
      <w:pPr>
        <w:ind w:right="100" w:firstLine="921"/>
        <w:spacing w:after="0" w:line="255" w:lineRule="auto"/>
        <w:tabs>
          <w:tab w:leader="none" w:pos="1161" w:val="left"/>
        </w:tabs>
        <w:numPr>
          <w:ilvl w:val="1"/>
          <w:numId w:val="34"/>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Executive agrees that at the time of leaving the Company’s employ, he will deliver to the Company (and will not keep in his possession, recreate or deliver to anyone else) all tangible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6" w:name="page37"/>
    <w:bookmarkEnd w:id="36"/>
    <w:p>
      <w:pPr>
        <w:ind w:left="-20" w:right="120" w:firstLine="921"/>
        <w:spacing w:after="0" w:line="294" w:lineRule="auto"/>
        <w:tabs>
          <w:tab w:leader="none" w:pos="1132"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Covenant Not to Compete</w:t>
      </w:r>
      <w:r>
        <w:rPr>
          <w:rFonts w:ascii="Arial" w:cs="Arial" w:eastAsia="Arial" w:hAnsi="Arial"/>
          <w:sz w:val="16"/>
          <w:szCs w:val="16"/>
          <w:color w:val="auto"/>
        </w:rPr>
        <w:t>: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Executive also acknowledges that the nature of his duties and responsibilities under the Agreement will bring him into close contact with much of the Company’s Confidential Information, and the Company has affirmatively agreed to provide him with Confidential Information. Accordingly, for the consideration provided to Executive in this Agreement, Executive agrees to be bound by the following restrictive covenants:</w:t>
      </w:r>
    </w:p>
    <w:p>
      <w:pPr>
        <w:spacing w:after="0" w:line="34" w:lineRule="exact"/>
        <w:rPr>
          <w:rFonts w:ascii="Arial" w:cs="Arial" w:eastAsia="Arial" w:hAnsi="Arial"/>
          <w:sz w:val="16"/>
          <w:szCs w:val="16"/>
          <w:color w:val="auto"/>
        </w:rPr>
      </w:pPr>
    </w:p>
    <w:p>
      <w:pPr>
        <w:ind w:left="1460" w:hanging="567"/>
        <w:spacing w:after="0" w:line="289"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the Term, Executive shall not accept employment with or render services to any Unauthorized Competitor as a director, officer, agent, employee, independent contractor or consultant, or take any action inconsistent with fiduciary relationship of an employee to his employer.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any where in the world with any company or other enterprise except an Unauthorized Competitor. For purposes of this Agreement, an “Unauthorized Competitor” means any major oilfield equipment and services business, more specifically defined as Halliburton Company, Baker Hughes Inc., BJ Services Company, Weatherford International, CGG-Veritas and PGS, including any and all of their parents, subsidiaries, affiliates, joint ventures, divisions, successors, or assigns.</w:t>
      </w:r>
    </w:p>
    <w:p>
      <w:pPr>
        <w:spacing w:after="0" w:line="37" w:lineRule="exact"/>
        <w:rPr>
          <w:rFonts w:ascii="Arial" w:cs="Arial" w:eastAsia="Arial" w:hAnsi="Arial"/>
          <w:sz w:val="16"/>
          <w:szCs w:val="16"/>
          <w:color w:val="auto"/>
        </w:rPr>
      </w:pPr>
    </w:p>
    <w:p>
      <w:pPr>
        <w:ind w:left="1460" w:right="220" w:hanging="567"/>
        <w:spacing w:after="0" w:line="259"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Executive further agrees that during the Term,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59" w:lineRule="exact"/>
        <w:rPr>
          <w:rFonts w:ascii="Arial" w:cs="Arial" w:eastAsia="Arial" w:hAnsi="Arial"/>
          <w:sz w:val="18"/>
          <w:szCs w:val="18"/>
          <w:color w:val="auto"/>
        </w:rPr>
      </w:pPr>
    </w:p>
    <w:p>
      <w:pPr>
        <w:ind w:left="1460" w:right="20" w:hanging="567"/>
        <w:spacing w:after="0" w:line="290"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Executive acknowledges that this restrictive covenant under Section 5, for which he received consideration from the Company as provided in this Section 5, is ancillary to otherwise enforceable provisions of this Agreement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and proprietary information. Executive acknowledges that in the event of a breach by Executive of these restrictive covenants, the covenants may be enforced by temporary restraining order, preliminary or temporary injunction and permanent injunction, in addition to any other remedies that may be available by law. In that connection, Executive acknowledges that in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80" w:right="239" w:bottom="1440" w:gutter="0" w:footer="0" w:header="0"/>
        </w:sectPr>
      </w:pPr>
    </w:p>
    <w:bookmarkStart w:id="37" w:name="page38"/>
    <w:bookmarkEnd w:id="37"/>
    <w:p>
      <w:pPr>
        <w:ind w:left="1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event of a breach, the Company will suffer irreparable injury for which there is no adequate legal remedy, in part because damages caused by the breach may be difficult to prove with any reasonable degree of certainty.</w:t>
      </w:r>
    </w:p>
    <w:p>
      <w:pPr>
        <w:spacing w:after="0" w:line="51" w:lineRule="exact"/>
        <w:rPr>
          <w:sz w:val="20"/>
          <w:szCs w:val="20"/>
          <w:color w:val="auto"/>
        </w:rPr>
      </w:pPr>
    </w:p>
    <w:p>
      <w:pPr>
        <w:ind w:left="1480" w:right="120" w:hanging="567"/>
        <w:spacing w:after="0" w:line="332" w:lineRule="auto"/>
        <w:tabs>
          <w:tab w:leader="none" w:pos="14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Executive further acknowledges that if his employment terminates prior to the Term, pursuant to Section 4 (c), (d) or (e) of this Agreement, the covenant not to compete provisions of this Agreement will extend throughout the remainder of the Term.</w:t>
      </w:r>
    </w:p>
    <w:p>
      <w:pPr>
        <w:spacing w:after="0" w:line="85" w:lineRule="exact"/>
        <w:rPr>
          <w:rFonts w:ascii="Arial" w:cs="Arial" w:eastAsia="Arial" w:hAnsi="Arial"/>
          <w:sz w:val="16"/>
          <w:szCs w:val="16"/>
          <w:color w:val="auto"/>
        </w:rPr>
      </w:pPr>
    </w:p>
    <w:p>
      <w:pPr>
        <w:ind w:right="80" w:firstLine="921"/>
        <w:spacing w:after="0" w:line="254" w:lineRule="auto"/>
        <w:tabs>
          <w:tab w:leader="none" w:pos="1161"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Employment by Affiliates</w:t>
      </w:r>
      <w:r>
        <w:rPr>
          <w:rFonts w:ascii="Arial" w:cs="Arial" w:eastAsia="Arial" w:hAnsi="Arial"/>
          <w:sz w:val="18"/>
          <w:szCs w:val="18"/>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Netherlands Antilles corporation, (ii) 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Internal Revenue Code of 1986, as amended.</w:t>
      </w:r>
    </w:p>
    <w:p>
      <w:pPr>
        <w:spacing w:after="0" w:line="144" w:lineRule="exact"/>
        <w:rPr>
          <w:rFonts w:ascii="Arial" w:cs="Arial" w:eastAsia="Arial" w:hAnsi="Arial"/>
          <w:sz w:val="18"/>
          <w:szCs w:val="18"/>
          <w:color w:val="auto"/>
        </w:rPr>
      </w:pPr>
    </w:p>
    <w:p>
      <w:pPr>
        <w:jc w:val="both"/>
        <w:ind w:right="500"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40" w:lineRule="exact"/>
        <w:rPr>
          <w:rFonts w:ascii="Arial" w:cs="Arial" w:eastAsia="Arial" w:hAnsi="Arial"/>
          <w:sz w:val="18"/>
          <w:szCs w:val="18"/>
          <w:color w:val="auto"/>
        </w:rPr>
      </w:pPr>
    </w:p>
    <w:p>
      <w:pPr>
        <w:ind w:right="80" w:firstLine="464"/>
        <w:spacing w:after="0" w:line="259"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Agreement, notices and all other communications provided for herein shall be in writing and shall be deemed to have been duly given when personally delivered or when mailed by United States registered or certified mail, return receipt requested, postage prepaid, addressed as follows:</w:t>
      </w:r>
    </w:p>
    <w:p>
      <w:pPr>
        <w:sectPr>
          <w:pgSz w:w="11900" w:h="16838" w:orient="portrait"/>
          <w:cols w:equalWidth="0" w:num="1">
            <w:col w:w="11400"/>
          </w:cols>
          <w:pgMar w:left="240" w:top="280" w:right="259" w:bottom="1440" w:gutter="0" w:footer="0" w:header="0"/>
        </w:sectPr>
      </w:pP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Gill Gordon,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Executive Compensation</w:t>
      </w:r>
    </w:p>
    <w:p>
      <w:pPr>
        <w:spacing w:after="0" w:line="200" w:lineRule="exact"/>
        <w:rPr>
          <w:sz w:val="20"/>
          <w:szCs w:val="20"/>
          <w:color w:val="auto"/>
        </w:rPr>
      </w:pPr>
    </w:p>
    <w:p>
      <w:pPr>
        <w:sectPr>
          <w:pgSz w:w="11900" w:h="16838" w:orient="portrait"/>
          <w:cols w:equalWidth="0" w:num="2">
            <w:col w:w="2020" w:space="720"/>
            <w:col w:w="8660"/>
          </w:cols>
          <w:pgMar w:left="240" w:top="280" w:right="259" w:bottom="1440" w:gutter="0" w:footer="0" w:header="0"/>
          <w:type w:val="continuous"/>
        </w:sectPr>
      </w:pPr>
    </w:p>
    <w:p>
      <w:pPr>
        <w:spacing w:after="0" w:line="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to Executive: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At the most recent address on file at the Company.</w:t>
      </w:r>
    </w:p>
    <w:p>
      <w:pPr>
        <w:spacing w:after="0" w:line="205" w:lineRule="exact"/>
        <w:rPr>
          <w:sz w:val="20"/>
          <w:szCs w:val="20"/>
          <w:color w:val="auto"/>
        </w:rPr>
      </w:pPr>
    </w:p>
    <w:p>
      <w:pPr>
        <w:sectPr>
          <w:pgSz w:w="11900" w:h="16838" w:orient="portrait"/>
          <w:cols w:equalWidth="0" w:num="2">
            <w:col w:w="2020" w:space="720"/>
            <w:col w:w="8660"/>
          </w:cols>
          <w:pgMar w:left="240" w:top="280" w:right="25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or to such other address as either party may furnish to the other in writing in accordance herewith, except that notices of changes of address shall be effective only upon receipt.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type w:val="continuous"/>
        </w:sectPr>
      </w:pPr>
    </w:p>
    <w:bookmarkStart w:id="38" w:name="page39"/>
    <w:bookmarkEnd w:id="38"/>
    <w:p>
      <w:pPr>
        <w:ind w:right="600" w:firstLine="464"/>
        <w:spacing w:after="0" w:line="332"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w:t>
      </w:r>
      <w:r>
        <w:rPr>
          <w:rFonts w:ascii="Arial" w:cs="Arial" w:eastAsia="Arial" w:hAnsi="Arial"/>
          <w:sz w:val="16"/>
          <w:szCs w:val="16"/>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w:t>
      </w:r>
    </w:p>
    <w:p>
      <w:pPr>
        <w:spacing w:after="0" w:line="85" w:lineRule="exact"/>
        <w:rPr>
          <w:rFonts w:ascii="Arial" w:cs="Arial" w:eastAsia="Arial" w:hAnsi="Arial"/>
          <w:sz w:val="16"/>
          <w:szCs w:val="16"/>
          <w:color w:val="auto"/>
        </w:rPr>
      </w:pPr>
    </w:p>
    <w:p>
      <w:pPr>
        <w:ind w:right="380" w:firstLine="464"/>
        <w:spacing w:after="0" w:line="268"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31" w:lineRule="exact"/>
        <w:rPr>
          <w:rFonts w:ascii="Arial" w:cs="Arial" w:eastAsia="Arial" w:hAnsi="Arial"/>
          <w:sz w:val="18"/>
          <w:szCs w:val="18"/>
          <w:color w:val="auto"/>
        </w:rPr>
      </w:pPr>
    </w:p>
    <w:p>
      <w:pPr>
        <w:ind w:right="260" w:firstLine="464"/>
        <w:spacing w:after="0" w:line="268"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benefits payable under this Agreement all federal, state, city or other taxes as may be required pursuant to any law or governmental regulation or ruling.</w:t>
      </w:r>
    </w:p>
    <w:p>
      <w:pPr>
        <w:spacing w:after="0" w:line="131" w:lineRule="exact"/>
        <w:rPr>
          <w:rFonts w:ascii="Arial" w:cs="Arial" w:eastAsia="Arial" w:hAnsi="Arial"/>
          <w:sz w:val="18"/>
          <w:szCs w:val="18"/>
          <w:color w:val="auto"/>
        </w:rPr>
      </w:pPr>
    </w:p>
    <w:p>
      <w:pPr>
        <w:ind w:right="240" w:firstLine="464"/>
        <w:spacing w:after="0" w:line="294" w:lineRule="auto"/>
        <w:tabs>
          <w:tab w:leader="none" w:pos="71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 Assignment; Successors</w:t>
      </w:r>
      <w:r>
        <w:rPr>
          <w:rFonts w:ascii="Arial" w:cs="Arial" w:eastAsia="Arial" w:hAnsi="Arial"/>
          <w:sz w:val="16"/>
          <w:szCs w:val="16"/>
          <w:color w:val="auto"/>
        </w:rPr>
        <w:t>: Executive’s right to receive payments or 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This Agreement shall be binding upon and inure to the benefit of the Company, its successors and assigns (including, without limitation, any company into or with which the Company may merge or consolidate).</w:t>
      </w:r>
    </w:p>
    <w:p>
      <w:pPr>
        <w:spacing w:after="0" w:line="132" w:lineRule="exact"/>
        <w:rPr>
          <w:sz w:val="20"/>
          <w:szCs w:val="20"/>
          <w:color w:val="auto"/>
        </w:rPr>
      </w:pPr>
    </w:p>
    <w:p>
      <w:pPr>
        <w:ind w:right="320" w:firstLine="464"/>
        <w:spacing w:after="0" w:line="335" w:lineRule="auto"/>
        <w:tabs>
          <w:tab w:leader="none" w:pos="72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Effect of Prior Agreements</w:t>
      </w:r>
      <w:r>
        <w:rPr>
          <w:rFonts w:ascii="Arial" w:cs="Arial" w:eastAsia="Arial" w:hAnsi="Arial"/>
          <w:sz w:val="15"/>
          <w:szCs w:val="15"/>
          <w:color w:val="auto"/>
        </w:rPr>
        <w:t>: This Agreement contains the entire understanding between the parties hereto and supersedes any prior employment agreement or severance agreement between the Company or any predecessor of the Company and Executive, except that this Agreement shall not affect or operate to reduce any benefit or compensation enuring to Executive of a kind elsewhere provided and not expressly provided or modified in this Agreement.</w:t>
      </w:r>
    </w:p>
    <w:p>
      <w:pPr>
        <w:spacing w:after="0" w:line="88" w:lineRule="exact"/>
        <w:rPr>
          <w:rFonts w:ascii="Arial" w:cs="Arial" w:eastAsia="Arial" w:hAnsi="Arial"/>
          <w:sz w:val="15"/>
          <w:szCs w:val="15"/>
          <w:color w:val="auto"/>
        </w:rPr>
      </w:pPr>
    </w:p>
    <w:p>
      <w:pPr>
        <w:ind w:firstLine="464"/>
        <w:spacing w:after="0" w:line="291" w:lineRule="auto"/>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In consideration for the compensation and other benefits provided pursuant to this Agreement, Executive agrees to execute a “Waiver and Release,” a form of which is attached hereto as Exhibit A. Executive acknowledges that he was given copies of this Agreement and the Waiver and Release on April 13, 2009, and was given at least 21 days to consider whether to sign the Agreement and the Waiver and Release. The Company’s obligations under this Agreement are expressly conditioned on the execution of the Waiver and Release contemporaneously with the execution of this Agreement, and Executive’s failure to execute and deliver such Waiver and Release, or Executive’s revocation of the Waiver and Release within the seven day period provided in the Release, will void the Company’s obligations hereunder.</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39" w:name="page40"/>
    <w:bookmarkEnd w:id="39"/>
    <w:p>
      <w:pPr>
        <w:ind w:left="720" w:hanging="256"/>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409A Compliance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1120" w:hanging="437"/>
        <w:spacing w:after="0" w:line="256" w:lineRule="auto"/>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If Executive is a “specified employee” for purposes of Section 409A of the Code, and the regulations thereunder, to the extent required to comply with Section 409A of the Code, any payments otherwise payable on account of the Executive’s separation from service pursuant to Section 3(c) or 4(e) which are deferred compensation subject to Section 409A of the Code shall not commence until one day after the day which is six (6) months from the date of termination.</w:t>
      </w:r>
    </w:p>
    <w:p>
      <w:pPr>
        <w:spacing w:after="0" w:line="62" w:lineRule="exact"/>
        <w:rPr>
          <w:rFonts w:ascii="Arial" w:cs="Arial" w:eastAsia="Arial" w:hAnsi="Arial"/>
          <w:sz w:val="18"/>
          <w:szCs w:val="18"/>
          <w:color w:val="auto"/>
        </w:rPr>
      </w:pPr>
    </w:p>
    <w:p>
      <w:pPr>
        <w:ind w:left="1120" w:right="20" w:hanging="437"/>
        <w:spacing w:after="0" w:line="306" w:lineRule="auto"/>
        <w:tabs>
          <w:tab w:leader="none" w:pos="11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This Agreement is intended to comply with Section 409A of the Code (to the extent applicable) and, to the extent it would not adversely impact the Company, the Company agrees to interpret, apply and administer this Agreement in the least restrictive manner necessary to comply with such requirements and without resulting in any diminution in the value of payments or benefits to the Executive.</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WITNESS WHEREOF, the parties have caused this Agreement to be executed and delivered the 9th day of June, 2009, but effective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Gill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Director Executive Compensation</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Dalton J. Boutte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10795</wp:posOffset>
            </wp:positionV>
            <wp:extent cx="2752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July 29, 2009</w:t>
      </w:r>
      <w:r>
        <w:rPr>
          <w:sz w:val="20"/>
          <w:szCs w:val="20"/>
          <w:color w:val="auto"/>
        </w:rPr>
        <w:tab/>
      </w: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spacing w:after="0"/>
        <w:tabs>
          <w:tab w:leader="none" w:pos="6160" w:val="left"/>
          <w:tab w:leader="none" w:pos="6500" w:val="left"/>
        </w:tabs>
        <w:rPr>
          <w:sz w:val="20"/>
          <w:szCs w:val="20"/>
          <w:color w:val="auto"/>
        </w:rPr>
      </w:pPr>
      <w:r>
        <w:rPr>
          <w:rFonts w:ascii="Arial" w:cs="Arial" w:eastAsia="Arial" w:hAnsi="Arial"/>
          <w:sz w:val="18"/>
          <w:szCs w:val="18"/>
          <w:color w:val="auto"/>
        </w:rPr>
        <w:t>Date: July 29,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2009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July 29,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w:t>
      </w:r>
      <w:r>
        <w:rPr>
          <w:rFonts w:ascii="Arial" w:cs="Arial" w:eastAsia="Arial" w:hAnsi="Arial"/>
          <w:sz w:val="13"/>
          <w:szCs w:val="13"/>
          <w:color w:val="auto"/>
        </w:rPr>
        <w:t>NDREW</w:t>
      </w:r>
      <w:r>
        <w:rPr>
          <w:rFonts w:ascii="Arial" w:cs="Arial" w:eastAsia="Arial" w:hAnsi="Arial"/>
          <w:sz w:val="16"/>
          <w:szCs w:val="16"/>
          <w:color w:val="auto"/>
        </w:rPr>
        <w:t xml:space="preserve"> G</w:t>
      </w:r>
      <w:r>
        <w:rPr>
          <w:rFonts w:ascii="Arial" w:cs="Arial" w:eastAsia="Arial" w:hAnsi="Arial"/>
          <w:sz w:val="13"/>
          <w:szCs w:val="13"/>
          <w:color w:val="auto"/>
        </w:rPr>
        <w:t>OULD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June 30, 2009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July 29,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1."/>
      <w:numFmt w:val="decimal"/>
      <w:start w:val="2"/>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3"/>
    </w:lvl>
  </w:abstractNum>
  <w:abstractNum w:abstractNumId="4">
    <w:nsid w:val="75A2A8D4"/>
    <w:multiLevelType w:val="hybridMultilevel"/>
    <w:lvl w:ilvl="0">
      <w:lvlJc w:val="left"/>
      <w:lvlText w:val="%1."/>
      <w:numFmt w:val="decimal"/>
      <w:start w:val="4"/>
    </w:lvl>
  </w:abstractNum>
  <w:abstractNum w:abstractNumId="5">
    <w:nsid w:val="8EDBDAB"/>
    <w:multiLevelType w:val="hybridMultilevel"/>
    <w:lvl w:ilvl="0">
      <w:lvlJc w:val="left"/>
      <w:lvlText w:val="%1."/>
      <w:numFmt w:val="decimal"/>
      <w:start w:val="5"/>
    </w:lvl>
  </w:abstractNum>
  <w:abstractNum w:abstractNumId="6">
    <w:nsid w:val="79838CB2"/>
    <w:multiLevelType w:val="hybridMultilevel"/>
    <w:lvl w:ilvl="0">
      <w:lvlJc w:val="left"/>
      <w:lvlText w:val="%1."/>
      <w:numFmt w:val="decimal"/>
      <w:start w:val="8"/>
    </w:lvl>
  </w:abstractNum>
  <w:abstractNum w:abstractNumId="7">
    <w:nsid w:val="4353D0CD"/>
    <w:multiLevelType w:val="hybridMultilevel"/>
    <w:lvl w:ilvl="0">
      <w:lvlJc w:val="left"/>
      <w:lvlText w:val="%1."/>
      <w:numFmt w:val="decimal"/>
      <w:start w:val="9"/>
    </w:lvl>
  </w:abstractNum>
  <w:abstractNum w:abstractNumId="8">
    <w:nsid w:val="B03E0C6"/>
    <w:multiLevelType w:val="hybridMultilevel"/>
    <w:lvl w:ilvl="0">
      <w:lvlJc w:val="left"/>
      <w:lvlText w:val="%1."/>
      <w:numFmt w:val="decimal"/>
      <w:start w:val="10"/>
    </w:lvl>
  </w:abstractNum>
  <w:abstractNum w:abstractNumId="9">
    <w:nsid w:val="189A769B"/>
    <w:multiLevelType w:val="hybridMultilevel"/>
    <w:lvl w:ilvl="0">
      <w:lvlJc w:val="left"/>
      <w:lvlText w:val="%1."/>
      <w:numFmt w:val="decimal"/>
      <w:start w:val="11"/>
    </w:lvl>
  </w:abstractNum>
  <w:abstractNum w:abstractNumId="10">
    <w:nsid w:val="54E49EB4"/>
    <w:multiLevelType w:val="hybridMultilevel"/>
    <w:lvl w:ilvl="0">
      <w:lvlJc w:val="left"/>
      <w:lvlText w:val="%1."/>
      <w:numFmt w:val="decimal"/>
      <w:start w:val="12"/>
    </w:lvl>
  </w:abstractNum>
  <w:abstractNum w:abstractNumId="11">
    <w:nsid w:val="71F32454"/>
    <w:multiLevelType w:val="hybridMultilevel"/>
    <w:lvl w:ilvl="0">
      <w:lvlJc w:val="left"/>
      <w:lvlText w:val="%1."/>
      <w:numFmt w:val="decimal"/>
      <w:start w:val="13"/>
    </w:lvl>
  </w:abstractNum>
  <w:abstractNum w:abstractNumId="12">
    <w:nsid w:val="2CA88611"/>
    <w:multiLevelType w:val="hybridMultilevel"/>
    <w:lvl w:ilvl="0">
      <w:lvlJc w:val="left"/>
      <w:lvlText w:val="%1."/>
      <w:numFmt w:val="decimal"/>
      <w:start w:val="14"/>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15"/>
    </w:lvl>
  </w:abstractNum>
  <w:abstractNum w:abstractNumId="16">
    <w:nsid w:val="8138641"/>
    <w:multiLevelType w:val="hybridMultilevel"/>
    <w:lvl w:ilvl="0">
      <w:lvlJc w:val="left"/>
      <w:lvlText w:val="%1."/>
      <w:numFmt w:val="decimal"/>
      <w:start w:val="16"/>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lvl w:ilvl="1">
      <w:lvlJc w:val="left"/>
      <w:lvlText w:val="**"/>
      <w:numFmt w:val="bullet"/>
      <w:start w:val="1"/>
    </w:lvl>
  </w:abstractNum>
  <w:abstractNum w:abstractNumId="23">
    <w:nsid w:val="3006C83E"/>
    <w:multiLevelType w:val="hybridMultilevel"/>
    <w:lvl w:ilvl="0">
      <w:lvlJc w:val="left"/>
      <w:lvlText w:val="**"/>
      <w:numFmt w:val="bullet"/>
      <w:start w:val="1"/>
    </w:lvl>
    <w:lvl w:ilvl="1">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3"/>
    </w:lvl>
    <w:lvl w:ilvl="1">
      <w:lvlJc w:val="left"/>
      <w:lvlText w:val="(%2)"/>
      <w:numFmt w:val="lowerLetter"/>
      <w:start w:val="1"/>
    </w:lvl>
  </w:abstractNum>
  <w:abstractNum w:abstractNumId="26">
    <w:nsid w:val="5577F8E1"/>
    <w:multiLevelType w:val="hybridMultilevel"/>
    <w:lvl w:ilvl="0">
      <w:lvlJc w:val="left"/>
      <w:lvlText w:val="(%1)"/>
      <w:numFmt w:val="lowerLetter"/>
      <w:start w:val="2"/>
    </w:lvl>
    <w:lvl w:ilvl="1">
      <w:lvlJc w:val="left"/>
      <w:lvlText w:val="%2."/>
      <w:numFmt w:val="lowerRoman"/>
      <w:start w:val="1"/>
    </w:lvl>
  </w:abstractNum>
  <w:abstractNum w:abstractNumId="27">
    <w:nsid w:val="440BADF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8">
    <w:nsid w:val="507236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
    <w:nsid w:val="3804823E"/>
    <w:multiLevelType w:val="hybridMultilevel"/>
    <w:lvl w:ilvl="0">
      <w:lvlJc w:val="left"/>
      <w:lvlText w:val="(%1)"/>
      <w:numFmt w:val="lowerLetter"/>
      <w:start w:val="4"/>
    </w:lvl>
  </w:abstractNum>
  <w:abstractNum w:abstractNumId="30">
    <w:nsid w:val="77465F01"/>
    <w:multiLevelType w:val="hybridMultilevel"/>
    <w:lvl w:ilvl="0">
      <w:lvlJc w:val="left"/>
      <w:lvlText w:val="%1"/>
      <w:numFmt w:val="lowerLetter"/>
      <w:start w:val="1"/>
    </w:lvl>
    <w:lvl w:ilvl="1">
      <w:lvlJc w:val="left"/>
      <w:lvlText w:val="%2."/>
      <w:numFmt w:val="lowerRoman"/>
      <w:start w:val="1"/>
    </w:lvl>
  </w:abstractNum>
  <w:abstractNum w:abstractNumId="31">
    <w:nsid w:val="7724C67E"/>
    <w:multiLevelType w:val="hybridMultilevel"/>
    <w:lvl w:ilvl="0">
      <w:lvlJc w:val="left"/>
      <w:lvlText w:val="(%1)"/>
      <w:numFmt w:val="lowerLetter"/>
      <w:start w:val="5"/>
    </w:lvl>
    <w:lvl w:ilvl="1">
      <w:lvlJc w:val="left"/>
      <w:lvlText w:val="%2."/>
      <w:numFmt w:val="lowerRoman"/>
      <w:start w:val="1"/>
    </w:lvl>
  </w:abstractNum>
  <w:abstractNum w:abstractNumId="32">
    <w:nsid w:val="5C482A97"/>
    <w:multiLevelType w:val="hybridMultilevel"/>
    <w:lvl w:ilvl="0">
      <w:lvlJc w:val="left"/>
      <w:lvlText w:val="%1."/>
      <w:numFmt w:val="lowerRoman"/>
      <w:start w:val="4"/>
    </w:lvl>
  </w:abstractNum>
  <w:abstractNum w:abstractNumId="33">
    <w:nsid w:val="2463B9EA"/>
    <w:multiLevelType w:val="hybridMultilevel"/>
    <w:lvl w:ilvl="0">
      <w:lvlJc w:val="left"/>
      <w:lvlText w:val="%1."/>
      <w:numFmt w:val="decimal"/>
      <w:start w:val="5"/>
    </w:lvl>
    <w:lvl w:ilvl="1">
      <w:lvlJc w:val="left"/>
      <w:lvlText w:val="(%2)"/>
      <w:numFmt w:val="lowerLetter"/>
      <w:start w:val="1"/>
    </w:lvl>
  </w:abstractNum>
  <w:abstractNum w:abstractNumId="34">
    <w:nsid w:val="5E884ADC"/>
    <w:multiLevelType w:val="hybridMultilevel"/>
    <w:lvl w:ilvl="0">
      <w:lvlJc w:val="left"/>
      <w:lvlText w:val="%1"/>
      <w:numFmt w:val="lowerRoman"/>
      <w:start w:val="1"/>
    </w:lvl>
    <w:lvl w:ilvl="1">
      <w:lvlJc w:val="left"/>
      <w:lvlText w:val="(%2)"/>
      <w:numFmt w:val="lowerLetter"/>
      <w:start w:val="3"/>
    </w:lvl>
  </w:abstractNum>
  <w:abstractNum w:abstractNumId="35">
    <w:nsid w:val="51EAD36B"/>
    <w:multiLevelType w:val="hybridMultilevel"/>
    <w:lvl w:ilvl="0">
      <w:lvlJc w:val="left"/>
      <w:lvlText w:val="%1."/>
      <w:numFmt w:val="lowerRoman"/>
      <w:start w:val="1"/>
    </w:lvl>
    <w:lvl w:ilvl="1">
      <w:lvlJc w:val="left"/>
      <w:lvlText w:val="%2"/>
      <w:numFmt w:val="lowerLetter"/>
      <w:start w:val="1"/>
    </w:lvl>
  </w:abstractNum>
  <w:abstractNum w:abstractNumId="36">
    <w:nsid w:val="2D517796"/>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4"/>
    </w:lvl>
  </w:abstractNum>
  <w:abstractNum w:abstractNumId="37">
    <w:nsid w:val="580BD78F"/>
    <w:multiLevelType w:val="hybridMultilevel"/>
    <w:lvl w:ilvl="0">
      <w:lvlJc w:val="left"/>
      <w:lvlText w:val="%1."/>
      <w:numFmt w:val="decimal"/>
      <w:start w:val="6"/>
    </w:lvl>
    <w:lvl w:ilvl="1">
      <w:lvlJc w:val="left"/>
      <w:lvlText w:val="%2"/>
      <w:numFmt w:val="lowerRoman"/>
      <w:start w:val="1"/>
    </w:lvl>
    <w:lvl w:ilvl="2">
      <w:lvlJc w:val="left"/>
      <w:lvlText w:val="%3"/>
      <w:numFmt w:val="lowerLetter"/>
      <w:start w:val="1"/>
    </w:lvl>
  </w:abstractNum>
  <w:abstractNum w:abstractNumId="38">
    <w:nsid w:val="153EA438"/>
    <w:multiLevelType w:val="hybridMultilevel"/>
    <w:lvl w:ilvl="0">
      <w:lvlJc w:val="left"/>
      <w:lvlText w:val="%1."/>
      <w:numFmt w:val="decimal"/>
      <w:start w:val="8"/>
    </w:lvl>
  </w:abstractNum>
  <w:abstractNum w:abstractNumId="39">
    <w:nsid w:val="3855585C"/>
    <w:multiLevelType w:val="hybridMultilevel"/>
    <w:lvl w:ilvl="0">
      <w:lvlJc w:val="left"/>
      <w:lvlText w:val="%1."/>
      <w:numFmt w:val="decimal"/>
      <w:start w:val="12"/>
    </w:lvl>
  </w:abstractNum>
  <w:abstractNum w:abstractNumId="40">
    <w:nsid w:val="70A64E2A"/>
    <w:multiLevelType w:val="hybridMultilevel"/>
    <w:lvl w:ilvl="0">
      <w:lvlJc w:val="left"/>
      <w:lvlText w:val="%1."/>
      <w:numFmt w:val="decimal"/>
      <w:start w:val="14"/>
    </w:lvl>
    <w:lvl w:ilvl="1">
      <w:lvlJc w:val="left"/>
      <w:lvlText w:val="(%2)"/>
      <w:numFmt w:val="lowerLetter"/>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2019-12-10T03:04:48Z</dcterms:created>
  <dcterms:modified xsi:type="dcterms:W3CDTF">2019-12-10T03:04:48Z</dcterms:modified>
</cp:coreProperties>
</file>