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2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June 1, 2004, the closing sale price of our common stock as reported on the New York Stock Exchange was $57.89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2, 2004.</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Principal</w:t>
            </w: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Series A</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Owned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Owned</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That May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That May</w:t>
            </w: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5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Be Sold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0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35,400,000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7.9</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w:t>
            </w: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3,150,000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37,013,000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38,500,000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(Bermuda)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10,200,000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12,400,000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296,020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160,642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Classic Convertible Arbitrage Fund II, L.P.</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1,200,000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46,798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4,595,000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63,528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II, LLC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359,000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14,233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29,900,000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14,500,000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3.2</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11,950,000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149,375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Ascend Offshore Fund,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5,930,804</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74,135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Ascend Partners Sapient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1,569,196</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19,614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470,000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165,000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2,200,000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30,416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298,000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170,000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Beamtenversicherungskasse Des Kantons Zurich</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7,050,000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88,125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30,000,000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414,765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&amp; Co. Inc.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1"/>
              </w:rPr>
              <w:t>21,250,000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Bernische Lehrerversicherungskasse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2,830,000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1,580,000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1,110,000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BRED Banque Populaire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w w:val="91"/>
              </w:rPr>
              <w:t>10,000,000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105,000</w:t>
            </w:r>
          </w:p>
        </w:tc>
        <w:tc>
          <w:tcPr>
            <w:tcW w:w="12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1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0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600,000</w:t>
            </w:r>
          </w:p>
        </w:tc>
        <w:tc>
          <w:tcPr>
            <w:tcW w:w="12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60" w:type="dxa"/>
            <w:vAlign w:val="bottom"/>
            <w:gridSpan w:val="3"/>
          </w:tcPr>
          <w:p>
            <w:pPr>
              <w:spacing w:after="0"/>
              <w:rPr>
                <w:sz w:val="20"/>
                <w:szCs w:val="20"/>
                <w:color w:val="auto"/>
              </w:rPr>
            </w:pPr>
            <w:r>
              <w:rPr>
                <w:rFonts w:ascii="Arial" w:cs="Arial" w:eastAsia="Arial" w:hAnsi="Arial"/>
                <w:sz w:val="14"/>
                <w:szCs w:val="14"/>
                <w:color w:val="auto"/>
              </w:rPr>
              <w:t>California State Auto Association Retirement Pension Plan</w:t>
            </w:r>
          </w:p>
        </w:tc>
        <w:tc>
          <w:tcPr>
            <w:tcW w:w="1180" w:type="dxa"/>
            <w:vAlign w:val="bottom"/>
            <w:gridSpan w:val="2"/>
          </w:tcPr>
          <w:p>
            <w:pPr>
              <w:jc w:val="right"/>
              <w:ind w:right="520"/>
              <w:spacing w:after="0"/>
              <w:rPr>
                <w:sz w:val="20"/>
                <w:szCs w:val="20"/>
                <w:color w:val="auto"/>
              </w:rPr>
            </w:pPr>
            <w:r>
              <w:rPr>
                <w:rFonts w:ascii="Arial" w:cs="Arial" w:eastAsia="Arial" w:hAnsi="Arial"/>
                <w:sz w:val="14"/>
                <w:szCs w:val="14"/>
                <w:color w:val="auto"/>
              </w:rPr>
              <w:t>0</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700" w:type="dxa"/>
            <w:vAlign w:val="bottom"/>
            <w:gridSpan w:val="3"/>
          </w:tcPr>
          <w:p>
            <w:pPr>
              <w:jc w:val="right"/>
              <w:ind w:right="520"/>
              <w:spacing w:after="0"/>
              <w:rPr>
                <w:sz w:val="20"/>
                <w:szCs w:val="20"/>
                <w:color w:val="auto"/>
              </w:rPr>
            </w:pPr>
            <w:r>
              <w:rPr>
                <w:rFonts w:ascii="Arial" w:cs="Arial" w:eastAsia="Arial" w:hAnsi="Arial"/>
                <w:sz w:val="14"/>
                <w:szCs w:val="14"/>
                <w:color w:val="auto"/>
              </w:rPr>
              <w:t>110,000</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660"/>
              <w:spacing w:after="0"/>
              <w:rPr>
                <w:sz w:val="20"/>
                <w:szCs w:val="20"/>
                <w:color w:val="auto"/>
              </w:rPr>
            </w:pPr>
            <w:r>
              <w:rPr>
                <w:rFonts w:ascii="Arial" w:cs="Arial" w:eastAsia="Arial" w:hAnsi="Arial"/>
                <w:sz w:val="14"/>
                <w:szCs w:val="14"/>
                <w:color w:val="auto"/>
              </w:rPr>
              <w:t>1,375</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Centennier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134,941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960,000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CIBC World Markets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103,976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Citigroup Global Markets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Class C Trading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3,400,000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68,256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Clinton Multistrategy Master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1,275,000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15,937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Clinton Riverside Convertible Portfolio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1,725,000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CNH CA Master Account,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580,000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7,250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CQS Convertible &amp; Quantatitive Strategies Master Fund</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Limited</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15,000,000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3.3</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187,500</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Credit Suisse First Boston Europe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Credit Suisse First Boston LLC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7,788,000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107,672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9,633,000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133,181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4,223,500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58,391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8,874,000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7,772,000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219,837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1,797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Deutsche Asset Management Investmentgesellschaft Funds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TRT</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500,000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6,912</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221,208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967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6,359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8,287,000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114,571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2,972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18,500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3,750,000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51,845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F&amp;C Global Convertible Bond SICAV</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2,530(4)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765,000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2,738,000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1,005,000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8,300,000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7,400,000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1.6</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207,251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Gemini Sammelstiftung Zur Forderung Der Personalvorsorge</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1,541,000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19,262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60" w:type="dxa"/>
            <w:vAlign w:val="bottom"/>
            <w:gridSpan w:val="3"/>
          </w:tcPr>
          <w:p>
            <w:pPr>
              <w:spacing w:after="0" w:line="138" w:lineRule="exact"/>
              <w:rPr>
                <w:sz w:val="20"/>
                <w:szCs w:val="20"/>
                <w:color w:val="auto"/>
              </w:rPr>
            </w:pPr>
            <w:r>
              <w:rPr>
                <w:rFonts w:ascii="Arial" w:cs="Arial" w:eastAsia="Arial" w:hAnsi="Arial"/>
                <w:sz w:val="14"/>
                <w:szCs w:val="14"/>
                <w:color w:val="auto"/>
              </w:rPr>
              <w:t>Geode U.S. Convertible Arbitrage Fund, a series of Geode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Investors, LLC</w:t>
            </w: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2,000,000</w:t>
            </w:r>
          </w:p>
        </w:tc>
        <w:tc>
          <w:tcPr>
            <w:tcW w:w="1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5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59" w:lineRule="exact"/>
              <w:rPr>
                <w:sz w:val="20"/>
                <w:szCs w:val="20"/>
                <w:color w:val="auto"/>
              </w:rPr>
            </w:pPr>
            <w:r>
              <w:rPr>
                <w:rFonts w:ascii="Arial" w:cs="Arial" w:eastAsia="Arial" w:hAnsi="Arial"/>
                <w:sz w:val="14"/>
                <w:szCs w:val="14"/>
                <w:color w:val="auto"/>
              </w:rPr>
              <w:t>27,651</w:t>
            </w:r>
          </w:p>
        </w:tc>
        <w:tc>
          <w:tcPr>
            <w:tcW w:w="9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705,000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6,400,000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2,300,000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51,000,000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11.3</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tcPr>
          <w:p>
            <w:pPr>
              <w:spacing w:after="0" w:line="149" w:lineRule="exact"/>
              <w:rPr>
                <w:sz w:val="20"/>
                <w:szCs w:val="20"/>
                <w:color w:val="auto"/>
              </w:rPr>
            </w:pPr>
            <w:r>
              <w:rPr>
                <w:rFonts w:ascii="Arial" w:cs="Arial" w:eastAsia="Arial" w:hAnsi="Arial"/>
                <w:sz w:val="14"/>
                <w:szCs w:val="14"/>
                <w:color w:val="auto"/>
              </w:rPr>
              <w:t>Goldman, Sachs &amp; Co.</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10,280,000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74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142,126(5)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Hamburger Pensionskasse von 1905 VvaG</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4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6,428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ING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ING VP Convertible Portfolio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Jefferies Umbrella Fund Global Convertible Bonds</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1,680,000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Jefferies Umbrella Fund US Convertible Bonds</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Jersey (IMA)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33,901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J.P. Morgan Securities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1,512,000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LibertyView Funds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199,052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LibertyView Global Volatility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LODH The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52,253</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Merrill Lynch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204,617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Antalis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EMS-Chemie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EMS-Dottikon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Der Lonza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2,875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Der Rockwell Automation AG</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Pensionkasse Vantico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 of</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2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2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20" w:type="dxa"/>
            <w:vAlign w:val="bottom"/>
          </w:tcPr>
          <w:p>
            <w:pPr>
              <w:spacing w:after="0"/>
              <w:rPr>
                <w:sz w:val="15"/>
                <w:szCs w:val="15"/>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20" w:type="dxa"/>
            <w:vAlign w:val="bottom"/>
          </w:tcPr>
          <w:p>
            <w:pPr>
              <w:spacing w:after="0"/>
              <w:rPr>
                <w:sz w:val="15"/>
                <w:szCs w:val="15"/>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Outstanding</w:t>
            </w:r>
          </w:p>
        </w:tc>
        <w:tc>
          <w:tcPr>
            <w:tcW w:w="16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Offered Hereby</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Personalfuersorgestiftung Der Gebaeudeversicherung Des</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Kantons Bern</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1780" w:type="dxa"/>
            <w:vAlign w:val="bottom"/>
            <w:gridSpan w:val="3"/>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4,375</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Personalvorsorge Der PV Promea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Pensionkasse Pluss-Staufer AG</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Polygon Global Opportunities Master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890,000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11,125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Professional Liability Ins. Co. of America (aka AICA)</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Quattro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15,400,000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3.4</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Royal Bank of Canada (CI)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S.A.C. Capital Associates,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135,604(6)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22,500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30,000,000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3.1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414,765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14,000,000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193,557</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75,302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69,127(7)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1,225,000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16,936</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116,000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1,450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State Employees’ Retirement Fund of the State of Delaware—</w:t>
            </w:r>
          </w:p>
        </w:tc>
        <w:tc>
          <w:tcPr>
            <w:tcW w:w="6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2,965,000</w:t>
            </w:r>
          </w:p>
        </w:tc>
        <w:tc>
          <w:tcPr>
            <w:tcW w:w="1760" w:type="dxa"/>
            <w:vAlign w:val="bottom"/>
            <w:gridSpan w:val="3"/>
            <w:shd w:val="clear" w:color="auto" w:fill="CCEEFF"/>
          </w:tcPr>
          <w:p>
            <w:pPr>
              <w:jc w:val="right"/>
              <w:ind w:right="500"/>
              <w:spacing w:after="0" w:line="15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40,992</w:t>
            </w:r>
          </w:p>
        </w:tc>
        <w:tc>
          <w:tcPr>
            <w:tcW w:w="68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4,555,000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3,225,000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103,287</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16,180,000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3.6</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202,250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35,575</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15,000,000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207,382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165,906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27,500,000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380,201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14,240</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138,255(8)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83,758(9)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55,548</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Tribeca Investments,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17,500,000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2,903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31,562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UBS AG London Branch</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10,000,000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138,255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97,981</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HealthCare</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Universal Investment Gesellschaft MBH, Ref. Aventis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2,050</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16,250,000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224,664</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38,612</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942,000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13,023</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4,463,000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21,250,000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2.2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356,291</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17,000,000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235,033</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303,000</w:t>
            </w:r>
          </w:p>
        </w:tc>
        <w:tc>
          <w:tcPr>
            <w:tcW w:w="176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4,189</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35,946</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134,000</w:t>
            </w:r>
          </w:p>
        </w:tc>
        <w:tc>
          <w:tcPr>
            <w:tcW w:w="178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1,675</w:t>
            </w:r>
          </w:p>
        </w:tc>
        <w:tc>
          <w:tcPr>
            <w:tcW w:w="6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2,300,000</w:t>
            </w:r>
          </w:p>
        </w:tc>
        <w:tc>
          <w:tcPr>
            <w:tcW w:w="176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78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46,798</w:t>
            </w:r>
          </w:p>
        </w:tc>
        <w:tc>
          <w:tcPr>
            <w:tcW w:w="6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20" w:type="dxa"/>
            <w:vAlign w:val="bottom"/>
          </w:tcPr>
          <w:p>
            <w:pPr>
              <w:spacing w:after="0"/>
              <w:rPr>
                <w:sz w:val="14"/>
                <w:szCs w:val="1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6,500,000</w:t>
            </w:r>
          </w:p>
        </w:tc>
        <w:tc>
          <w:tcPr>
            <w:tcW w:w="1780" w:type="dxa"/>
            <w:vAlign w:val="bottom"/>
            <w:gridSpan w:val="3"/>
          </w:tcPr>
          <w:p>
            <w:pPr>
              <w:jc w:val="right"/>
              <w:ind w:right="520"/>
              <w:spacing w:after="0"/>
              <w:rPr>
                <w:sz w:val="20"/>
                <w:szCs w:val="20"/>
                <w:color w:val="auto"/>
              </w:rPr>
            </w:pPr>
            <w:r>
              <w:rPr>
                <w:rFonts w:ascii="Arial" w:cs="Arial" w:eastAsia="Arial" w:hAnsi="Arial"/>
                <w:sz w:val="14"/>
                <w:szCs w:val="14"/>
                <w:color w:val="auto"/>
              </w:rPr>
              <w:t>1.4</w:t>
            </w:r>
          </w:p>
        </w:tc>
        <w:tc>
          <w:tcPr>
            <w:tcW w:w="920" w:type="dxa"/>
            <w:vAlign w:val="bottom"/>
          </w:tcPr>
          <w:p>
            <w:pPr>
              <w:jc w:val="right"/>
              <w:spacing w:after="0"/>
              <w:rPr>
                <w:sz w:val="20"/>
                <w:szCs w:val="20"/>
                <w:color w:val="auto"/>
              </w:rPr>
            </w:pPr>
            <w:r>
              <w:rPr>
                <w:rFonts w:ascii="Arial" w:cs="Arial" w:eastAsia="Arial" w:hAnsi="Arial"/>
                <w:sz w:val="14"/>
                <w:szCs w:val="14"/>
                <w:color w:val="auto"/>
              </w:rPr>
              <w:t>81,250</w:t>
            </w:r>
          </w:p>
        </w:tc>
        <w:tc>
          <w:tcPr>
            <w:tcW w:w="6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F&amp;C Global Convertible Bond SICAV also beneficially owns $300,000 of our Series A debentures.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Goldman, Sachs &amp; Co. also beneficially owns (i) 408,710 shares of our common stock, (ii) options to purchase 1,482,500 shares of our common stock that are exercisable within 60 days of the date of this prospectus supplement and (iii) $3,780,000 of our Series A debentures.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S.A.C. Capital Associates, LLC also beneficially owns 15,000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2019-12-13T06:37:49Z</dcterms:created>
  <dcterms:modified xsi:type="dcterms:W3CDTF">2019-12-13T06:37:49Z</dcterms:modified>
</cp:coreProperties>
</file>