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UNDER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6" w:lineRule="exact"/>
        <w:rPr>
          <w:sz w:val="24"/>
          <w:szCs w:val="24"/>
          <w:color w:val="auto"/>
        </w:rPr>
      </w:pPr>
    </w:p>
    <w:p>
      <w:pPr>
        <w:ind w:left="1380"/>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For the Quarter ended: March 31, 2005</w:t>
      </w:r>
      <w:r>
        <w:rPr>
          <w:sz w:val="20"/>
          <w:szCs w:val="20"/>
          <w:color w:val="auto"/>
        </w:rPr>
        <w:tab/>
      </w:r>
      <w:r>
        <w:rPr>
          <w:rFonts w:ascii="Times New Roman" w:cs="Times New Roman" w:eastAsia="Times New Roman" w:hAnsi="Times New Roman"/>
          <w:sz w:val="16"/>
          <w:szCs w:val="16"/>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154305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340" w:type="dxa"/>
            <w:vAlign w:val="bottom"/>
          </w:tcPr>
          <w:p>
            <w:pPr>
              <w:jc w:val="center"/>
              <w:ind w:right="2006"/>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3140" w:type="dxa"/>
            <w:vAlign w:val="bottom"/>
          </w:tcPr>
          <w:p>
            <w:pPr>
              <w:jc w:val="center"/>
              <w:ind w:left="1986"/>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49"/>
        </w:trPr>
        <w:tc>
          <w:tcPr>
            <w:tcW w:w="4340" w:type="dxa"/>
            <w:vAlign w:val="bottom"/>
          </w:tcPr>
          <w:p>
            <w:pPr>
              <w:jc w:val="center"/>
              <w:ind w:right="2026"/>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3140" w:type="dxa"/>
            <w:vAlign w:val="bottom"/>
          </w:tcPr>
          <w:p>
            <w:pPr>
              <w:jc w:val="center"/>
              <w:ind w:left="2006"/>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4340" w:type="dxa"/>
            <w:vAlign w:val="bottom"/>
          </w:tcPr>
          <w:p>
            <w:pPr>
              <w:jc w:val="center"/>
              <w:ind w:right="2026"/>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14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bl>
    <w:p>
      <w:pPr>
        <w:spacing w:after="0" w:line="129" w:lineRule="exact"/>
        <w:rPr>
          <w:sz w:val="24"/>
          <w:szCs w:val="24"/>
          <w:color w:val="auto"/>
        </w:rPr>
      </w:pPr>
    </w:p>
    <w:p>
      <w:pPr>
        <w:sectPr>
          <w:pgSz w:w="11900" w:h="16838" w:orient="portrait"/>
          <w:cols w:equalWidth="0" w:num="1">
            <w:col w:w="11420"/>
          </w:cols>
          <w:pgMar w:left="240" w:top="349" w:right="239" w:bottom="1440" w:gutter="0" w:footer="0" w:header="0"/>
        </w:sectPr>
      </w:pPr>
    </w:p>
    <w:p>
      <w:pPr>
        <w:ind w:left="1600"/>
        <w:spacing w:after="0"/>
        <w:rPr>
          <w:sz w:val="20"/>
          <w:szCs w:val="20"/>
          <w:color w:val="auto"/>
        </w:rPr>
      </w:pPr>
      <w:r>
        <w:rPr>
          <w:rFonts w:ascii="Times New Roman" w:cs="Times New Roman" w:eastAsia="Times New Roman" w:hAnsi="Times New Roman"/>
          <w:sz w:val="17"/>
          <w:szCs w:val="17"/>
          <w:b w:val="1"/>
          <w:bCs w:val="1"/>
          <w:color w:val="auto"/>
        </w:rPr>
        <w:t>153 EAST 53 STREET, 57</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ind w:left="1540"/>
        <w:spacing w:after="0"/>
        <w:rPr>
          <w:sz w:val="20"/>
          <w:szCs w:val="20"/>
          <w:color w:val="auto"/>
        </w:rPr>
      </w:pPr>
      <w:r>
        <w:rPr>
          <w:rFonts w:ascii="Times New Roman" w:cs="Times New Roman" w:eastAsia="Times New Roman" w:hAnsi="Times New Roman"/>
          <w:sz w:val="16"/>
          <w:szCs w:val="16"/>
          <w:b w:val="1"/>
          <w:bCs w:val="1"/>
          <w:color w:val="auto"/>
        </w:rPr>
        <w:t>NEW YORK, NEW YORK, U.S.A.</w:t>
      </w:r>
    </w:p>
    <w:p>
      <w:pPr>
        <w:spacing w:after="0" w:line="240"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42 RUE SAINT-DOMINIQUE</w:t>
      </w:r>
    </w:p>
    <w:p>
      <w:pPr>
        <w:spacing w:after="0" w:line="2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PARIS, FRANCE</w:t>
      </w:r>
    </w:p>
    <w:p>
      <w:pPr>
        <w:spacing w:after="0" w:line="224"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PARKSTRAAT 83</w:t>
      </w:r>
    </w:p>
    <w:p>
      <w:pPr>
        <w:spacing w:after="0" w:line="2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THE HAGUE,</w:t>
      </w: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200" w:lineRule="exact"/>
        <w:rPr>
          <w:sz w:val="24"/>
          <w:szCs w:val="24"/>
          <w:color w:val="auto"/>
        </w:rPr>
      </w:pPr>
    </w:p>
    <w:p>
      <w:pPr>
        <w:spacing w:after="0" w:line="25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75007</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2514 JG</w:t>
      </w:r>
    </w:p>
    <w:p>
      <w:pPr>
        <w:spacing w:after="0" w:line="46" w:lineRule="exact"/>
        <w:rPr>
          <w:sz w:val="24"/>
          <w:szCs w:val="24"/>
          <w:color w:val="auto"/>
        </w:rPr>
      </w:pPr>
    </w:p>
    <w:p>
      <w:pPr>
        <w:sectPr>
          <w:pgSz w:w="11900" w:h="16838" w:orient="portrait"/>
          <w:cols w:equalWidth="0" w:num="2">
            <w:col w:w="7660" w:space="720"/>
            <w:col w:w="3040"/>
          </w:cols>
          <w:pgMar w:left="240" w:top="349" w:right="239" w:bottom="1440" w:gutter="0" w:footer="0" w:header="0"/>
          <w:type w:val="continuous"/>
        </w:sectPr>
      </w:pPr>
    </w:p>
    <w:p>
      <w:pPr>
        <w:ind w:left="1700"/>
        <w:spacing w:after="0"/>
        <w:tabs>
          <w:tab w:leader="none" w:pos="8320" w:val="left"/>
        </w:tabs>
        <w:rPr>
          <w:sz w:val="20"/>
          <w:szCs w:val="20"/>
          <w:color w:val="auto"/>
        </w:rPr>
      </w:pPr>
      <w:r>
        <w:rPr>
          <w:rFonts w:ascii="Times New Roman" w:cs="Times New Roman" w:eastAsia="Times New Roman" w:hAnsi="Times New Roman"/>
          <w:sz w:val="14"/>
          <w:szCs w:val="14"/>
          <w:b w:val="1"/>
          <w:bCs w:val="1"/>
          <w:color w:val="auto"/>
        </w:rPr>
        <w:t>(Addresses of principal executive offices)</w:t>
      </w:r>
      <w:r>
        <w:rPr>
          <w:sz w:val="20"/>
          <w:szCs w:val="20"/>
          <w:color w:val="auto"/>
        </w:rPr>
        <w:tab/>
      </w:r>
      <w:r>
        <w:rPr>
          <w:rFonts w:ascii="Times New Roman" w:cs="Times New Roman" w:eastAsia="Times New Roman" w:hAnsi="Times New Roman"/>
          <w:sz w:val="12"/>
          <w:szCs w:val="12"/>
          <w:b w:val="1"/>
          <w:bCs w:val="1"/>
          <w:color w:val="auto"/>
        </w:rPr>
        <w:t>(Zip Codes)</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1760"/>
        <w:spacing w:after="0" w:line="31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4820" w:type="dxa"/>
            <w:vAlign w:val="bottom"/>
            <w:gridSpan w:val="2"/>
          </w:tcPr>
          <w:p>
            <w:pPr>
              <w:jc w:val="center"/>
              <w:ind w:right="44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 at March 31, 2005</w:t>
            </w:r>
          </w:p>
        </w:tc>
        <w:tc>
          <w:tcPr>
            <w:tcW w:w="1580" w:type="dxa"/>
            <w:vAlign w:val="bottom"/>
          </w:tcPr>
          <w:p>
            <w:pPr>
              <w:spacing w:after="0"/>
              <w:rPr>
                <w:sz w:val="15"/>
                <w:szCs w:val="15"/>
                <w:color w:val="auto"/>
              </w:rPr>
            </w:pPr>
          </w:p>
        </w:tc>
      </w:tr>
      <w:tr>
        <w:trPr>
          <w:trHeight w:val="95"/>
        </w:trPr>
        <w:tc>
          <w:tcPr>
            <w:tcW w:w="27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r>
      <w:tr>
        <w:trPr>
          <w:trHeight w:val="316"/>
        </w:trPr>
        <w:tc>
          <w:tcPr>
            <w:tcW w:w="754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color w:val="auto"/>
                <w:w w:val="95"/>
              </w:rPr>
              <w:t>COMMON STOCK, $0.01 PAR VALUE</w:t>
            </w:r>
          </w:p>
        </w:tc>
        <w:tc>
          <w:tcPr>
            <w:tcW w:w="2300" w:type="dxa"/>
            <w:vAlign w:val="bottom"/>
          </w:tcPr>
          <w:p>
            <w:pPr>
              <w:jc w:val="right"/>
              <w:ind w:right="642"/>
              <w:spacing w:after="0"/>
              <w:rPr>
                <w:sz w:val="20"/>
                <w:szCs w:val="20"/>
                <w:color w:val="auto"/>
              </w:rPr>
            </w:pPr>
            <w:r>
              <w:rPr>
                <w:rFonts w:ascii="Times New Roman" w:cs="Times New Roman" w:eastAsia="Times New Roman" w:hAnsi="Times New Roman"/>
                <w:sz w:val="18"/>
                <w:szCs w:val="18"/>
                <w:color w:val="auto"/>
              </w:rPr>
              <w:t>589,174,503</w:t>
            </w:r>
          </w:p>
        </w:tc>
        <w:tc>
          <w:tcPr>
            <w:tcW w:w="1580" w:type="dxa"/>
            <w:vAlign w:val="bottom"/>
          </w:tcPr>
          <w:p>
            <w:pPr>
              <w:spacing w:after="0"/>
              <w:rPr>
                <w:sz w:val="24"/>
                <w:szCs w:val="24"/>
                <w:color w:val="auto"/>
              </w:rPr>
            </w:pPr>
          </w:p>
        </w:tc>
      </w:tr>
      <w:tr>
        <w:trPr>
          <w:trHeight w:val="201"/>
        </w:trPr>
        <w:tc>
          <w:tcPr>
            <w:tcW w:w="2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(Stated in thousands except per share amounts)</w:t>
      </w:r>
    </w:p>
    <w:p>
      <w:pPr>
        <w:spacing w:after="0" w:line="143"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60325</wp:posOffset>
            </wp:positionV>
            <wp:extent cx="1191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3,159,111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2,672,968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&amp; other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188,553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Cost of goods sold &amp; services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2,405,132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2,121,067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 and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679,266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Taxes on income</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137,696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541,570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Minority interest</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(17,133)</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(1,028)</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523,409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589,333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Assuming dilution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613,765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-2299970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-2299970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-2299970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-2299970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-2299970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-2299970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-1442085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-1442085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-1442085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-1442085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-1442085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-1442085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-584835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-584835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-584835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-584835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-584835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-584835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Amounts may not add due to rounding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w:t>
      </w:r>
    </w:p>
    <w:p>
      <w:pPr>
        <w:sectPr>
          <w:pgSz w:w="11900" w:h="16838" w:orient="portrait"/>
          <w:cols w:equalWidth="0" w:num="1">
            <w:col w:w="11420"/>
          </w:cols>
          <w:pgMar w:left="240" w:top="27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(Stated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Mar. 31, 2005</w:t>
            </w:r>
          </w:p>
        </w:tc>
        <w:tc>
          <w:tcPr>
            <w:tcW w:w="10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3"/>
              </w:rPr>
              <w:t>(Unaudited)</w:t>
            </w: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2,817,783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less allowance for doubtful accounts (2005 - $112,817; 2004 - $114,403)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2,979,832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874,765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352,633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7,498,822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228,750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909,707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3,774,730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2,798,186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16,402,810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16,000,777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LIABILITIES &amp; STOCKHOLDERS’ EQUITY</w:t>
            </w:r>
          </w:p>
        </w:tc>
        <w:tc>
          <w:tcPr>
            <w:tcW w:w="5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3,028,360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930,745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 current portion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584,598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4,705,965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3,946,058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3,944,180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691,653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145,580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9,489,256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436,296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2,510,874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6,687,500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(1,723,958)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(1,684,394)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(997,158)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6,477,258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16,402,810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16,000,777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gridSpan w:val="4"/>
          </w:tcPr>
          <w:p>
            <w:pPr>
              <w:ind w:left="562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-4613910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-4613910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-4613910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-4613910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-4613910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-4613910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-557530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-557530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(Stated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Three Months Ended Mar.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524,437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328,465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line="216" w:lineRule="exact"/>
              <w:rPr>
                <w:sz w:val="20"/>
                <w:szCs w:val="20"/>
                <w:color w:val="auto"/>
              </w:rPr>
            </w:pPr>
            <w:r>
              <w:rPr>
                <w:rFonts w:ascii="Times New Roman" w:cs="Times New Roman" w:eastAsia="Times New Roman" w:hAnsi="Times New Roman"/>
                <w:sz w:val="18"/>
                <w:szCs w:val="18"/>
                <w:color w:val="auto"/>
              </w:rPr>
              <w:t xml:space="preserve">Charges and credits, net of tax &amp; minority interest </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(134,381)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Earnings of companies carried at equity, less dividends received</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(23,506)</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deferred taxes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Change in operating assets and liabilities excluding acquisitions/divestitures: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receivables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(331,263)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Increase in inventories</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(55,737)</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(41,526)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(18,820)</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estimated liability for taxes on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74,527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Increase in postretirement benefits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20,883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(1,841)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 of fixed assets</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(315,381)</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(16,071)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Capitalization of intangible assets</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(9,027)</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the sale of fixed assets &amp; other</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(762)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Sale of Atos shares</w:t>
            </w:r>
          </w:p>
        </w:tc>
        <w:tc>
          <w:tcPr>
            <w:tcW w:w="10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business divestitures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Sale of Montrouge facility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229,801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 (purchase) of investments,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(72,133)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PROVIDED BY INVESTING ACTIVITIES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(161,702)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(110,339)</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45,775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(73,007)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892,851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Payments of principal on long-term debt</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(965,135)</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(1,618,497)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increase in short-term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(192,447)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(1,568,427)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before translation</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effect on cash</w:t>
            </w: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223,503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222,241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-172720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-172720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Includes multiclient seismic data costs.</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tab/>
        <w:t xml:space="preserve">See Note 2 –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Continuing Operations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w:t>
      </w:r>
    </w:p>
    <w:p>
      <w:pPr>
        <w:sectPr>
          <w:pgSz w:w="11900" w:h="16838" w:orient="portrait"/>
          <w:cols w:equalWidth="0" w:num="1">
            <w:col w:w="11420"/>
          </w:cols>
          <w:pgMar w:left="240" w:top="272" w:right="239" w:bottom="736"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(Stated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1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gridSpan w:val="1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Accumulated Other Comprehensive Income (Loss)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1"/>
              </w:rPr>
              <w:t>Marked to</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Liability</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$2,454,219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$(1,684,394)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$6,287,905</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52,773</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(758,495)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523,409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523,409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Hanover stock marked to market, net of tax</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 marked to market, net of tax</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(25,459)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pension liability - (US/UK Plans)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on minimum pension liability</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(123,814)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 plan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(73,007)</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Proceeds from shares sold to optionees less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exchanged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24,196</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cost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2005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$2,510,874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$(1,723,958)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$6,687,500</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(248,263)</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(758,271)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30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gridSpan w:val="5"/>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5"/>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5"/>
              </w:rPr>
              <w:t>667,106,015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(78,604,352)</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588,501,663</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plan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607,794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607,794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 plan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(1,012,700)</w:t>
            </w: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1,077,746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1,077,746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gridSpan w:val="5"/>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5"/>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2005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5"/>
              </w:rPr>
              <w:t>667,106,015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(77,931,512)</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589,174,503</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-1821815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-1821815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-1821815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-1821815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-1821815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-1821815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-1821815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-1821815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-1821815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-1821815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-1821815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-1821815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-1821815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-1821815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-1821815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-1821815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-1821815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-1821815</wp:posOffset>
            </wp:positionV>
            <wp:extent cx="78422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w:t>
      </w:r>
    </w:p>
    <w:p>
      <w:pPr>
        <w:sectPr>
          <w:pgSz w:w="11900" w:h="16838" w:orient="portrait"/>
          <w:cols w:equalWidth="0" w:num="1">
            <w:col w:w="11420"/>
          </w:cols>
          <w:pgMar w:left="240" w:top="27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 month period ended March 31, 2005 are not necessarily indicative of the results that may be expected for the full year ending December 31, 2005. The December 31, 2004 balance sheet information has been derived from the audited 2004 financial statements. For further information, refer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notes thereto, included in Schlumberger’s Annual Report on Form 10-K for the fiscal year ended December 31, 2004, filed with the Securities and Exchange Commission on March 4, 2005.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from prior year have been reclassified to conform to the current year presentation.</w:t>
      </w:r>
    </w:p>
    <w:p>
      <w:pPr>
        <w:spacing w:after="0" w:line="156" w:lineRule="exact"/>
        <w:rPr>
          <w:sz w:val="20"/>
          <w:szCs w:val="20"/>
          <w:color w:val="auto"/>
        </w:rPr>
      </w:pPr>
    </w:p>
    <w:p>
      <w:pPr>
        <w:ind w:right="7820" w:firstLine="8"/>
        <w:spacing w:after="0" w:line="330" w:lineRule="auto"/>
        <w:tabs>
          <w:tab w:leader="none" w:pos="17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Charges and Credits– Continuing Operations </w:t>
      </w:r>
      <w:r>
        <w:rPr>
          <w:rFonts w:ascii="Times New Roman" w:cs="Times New Roman" w:eastAsia="Times New Roman" w:hAnsi="Times New Roman"/>
          <w:sz w:val="18"/>
          <w:szCs w:val="18"/>
          <w:b w:val="1"/>
          <w:bCs w:val="1"/>
          <w:color w:val="auto"/>
        </w:rPr>
        <w:t>2005</w:t>
      </w:r>
    </w:p>
    <w:p>
      <w:pPr>
        <w:spacing w:after="0" w:line="258" w:lineRule="auto"/>
        <w:rPr>
          <w:sz w:val="20"/>
          <w:szCs w:val="20"/>
          <w:color w:val="auto"/>
        </w:rPr>
      </w:pPr>
      <w:r>
        <w:rPr>
          <w:rFonts w:ascii="Times New Roman" w:cs="Times New Roman" w:eastAsia="Times New Roman" w:hAnsi="Times New Roman"/>
          <w:sz w:val="18"/>
          <w:szCs w:val="18"/>
          <w:color w:val="auto"/>
        </w:rPr>
        <w:t xml:space="preserve">In March 2005, Schlumberger sold its facility in Montrouge, France to a third party for $230 million resulting in a pretax and after-tax gain of approximately $146 million, which is classified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This transaction included the utilization of a deferred tax asset that was previously offset by a valuation allowance of approximately $51 million. Schlumberger also recorded other real estate related pretax charges of approximately $12 million ($11 million after-tax), which are classified in </w:t>
      </w:r>
      <w:r>
        <w:rPr>
          <w:rFonts w:ascii="Times New Roman" w:cs="Times New Roman" w:eastAsia="Times New Roman" w:hAnsi="Times New Roman"/>
          <w:sz w:val="18"/>
          <w:szCs w:val="18"/>
          <w:i w:val="1"/>
          <w:iCs w:val="1"/>
          <w:color w:val="auto"/>
        </w:rPr>
        <w:t>Cost of goods sold &amp; services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Extinguishment Costs</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 This charge is classified in </w:t>
      </w:r>
      <w:r>
        <w:rPr>
          <w:rFonts w:ascii="Times New Roman" w:cs="Times New Roman" w:eastAsia="Times New Roman" w:hAnsi="Times New Roman"/>
          <w:sz w:val="18"/>
          <w:szCs w:val="18"/>
          <w:i w:val="1"/>
          <w:iCs w:val="1"/>
          <w:color w:val="auto"/>
        </w:rPr>
        <w:t>Debt extinguishment costs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Charges</w:t>
      </w:r>
    </w:p>
    <w:p>
      <w:pPr>
        <w:spacing w:after="0" w:line="77"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w:t>
      </w:r>
      <w:r>
        <w:rPr>
          <w:rFonts w:ascii="Times New Roman" w:cs="Times New Roman" w:eastAsia="Times New Roman" w:hAnsi="Times New Roman"/>
          <w:sz w:val="16"/>
          <w:szCs w:val="16"/>
          <w:i w:val="1"/>
          <w:iCs w:val="1"/>
          <w:color w:val="auto"/>
        </w:rPr>
        <w:t>Other Comprehensive Income.</w:t>
      </w:r>
      <w:r>
        <w:rPr>
          <w:rFonts w:ascii="Times New Roman" w:cs="Times New Roman" w:eastAsia="Times New Roman" w:hAnsi="Times New Roman"/>
          <w:sz w:val="16"/>
          <w:szCs w:val="16"/>
          <w:color w:val="auto"/>
        </w:rPr>
        <w:t xml:space="preserve"> The pretax charge is classified in </w:t>
      </w: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i w:val="1"/>
          <w:iCs w:val="1"/>
          <w:color w:val="auto"/>
        </w:rPr>
        <w:t>Consolidated Statement of Income</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w:t>
      </w:r>
    </w:p>
    <w:p>
      <w:pPr>
        <w:sectPr>
          <w:pgSz w:w="11900" w:h="16838" w:orient="portrait"/>
          <w:cols w:equalWidth="0" w:num="1">
            <w:col w:w="11420"/>
          </w:cols>
          <w:pgMar w:left="240" w:top="272" w:right="239" w:bottom="1440" w:gutter="0" w:footer="0" w:header="0"/>
        </w:sectPr>
      </w:pPr>
    </w:p>
    <w:bookmarkStart w:id="6" w:name="page7"/>
    <w:bookmarkEnd w:id="6"/>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had commenced a restructuring program in order to reduce overhead. Consequently, a pretax charge of $20 million ($14 million after-tax) was taken in the quarter related to a voluntary early retirement program in the United States and is classified in </w:t>
      </w:r>
      <w:r>
        <w:rPr>
          <w:rFonts w:ascii="Times New Roman" w:cs="Times New Roman" w:eastAsia="Times New Roman" w:hAnsi="Times New Roman"/>
          <w:sz w:val="18"/>
          <w:szCs w:val="18"/>
          <w:i w:val="1"/>
          <w:iCs w:val="1"/>
          <w:color w:val="auto"/>
        </w:rPr>
        <w:t>Cost of goods sold &amp; services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of Income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above 2004 charges:</w:t>
      </w:r>
    </w:p>
    <w:p>
      <w:pPr>
        <w:spacing w:after="0" w:line="15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Pretax</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Tax</w:t>
            </w:r>
          </w:p>
        </w:tc>
        <w:tc>
          <w:tcPr>
            <w:tcW w:w="36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&amp; Credits: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Debt extinguishment costs</w:t>
            </w:r>
          </w:p>
        </w:tc>
        <w:tc>
          <w:tcPr>
            <w:tcW w:w="2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Restructuring program charges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Loss on sale of Atos Origin shares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Loss recognized on interest-rate swaps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3558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1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Divestitures – Discontinued Operations</w:t>
      </w:r>
    </w:p>
    <w:p>
      <w:pPr>
        <w:spacing w:after="0" w:line="79"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 xml:space="preserve">During the first quarter of 2005, Schlumberger completed the sales of its Global Tel*Link, Public Phones and Essentis businesses for $18 million in cash. At December 31, 2004, the assets and liabilities of these businesses that were subsequently eliminated from Schlumberger’s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were aggregated and presented as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($65 million) and </w:t>
      </w:r>
      <w:r>
        <w:rPr>
          <w:rFonts w:ascii="Times New Roman" w:cs="Times New Roman" w:eastAsia="Times New Roman" w:hAnsi="Times New Roman"/>
          <w:sz w:val="18"/>
          <w:szCs w:val="18"/>
          <w:i w:val="1"/>
          <w:iCs w:val="1"/>
          <w:color w:val="auto"/>
        </w:rPr>
        <w:t>Liabilities held for sale</w:t>
      </w:r>
      <w:r>
        <w:rPr>
          <w:rFonts w:ascii="Times New Roman" w:cs="Times New Roman" w:eastAsia="Times New Roman" w:hAnsi="Times New Roman"/>
          <w:sz w:val="18"/>
          <w:szCs w:val="18"/>
          <w:color w:val="auto"/>
        </w:rPr>
        <w:t xml:space="preserve"> ($35 million).</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2004, Schlumberger completed the sales of the following businesses: SchlumbergerSema, Telcom Billing Software, Infodata, Business Continuity, Axalto, Electricity Metering North America and Telecom Messaging.</w:t>
      </w:r>
    </w:p>
    <w:p>
      <w:pPr>
        <w:spacing w:after="0" w:line="106"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 xml:space="preserve">During the first quarter of 2004, Schlumberger recognized gains, net of taxes, related to the divestitures of SchlumbergerSema, Telecom Billing Software and Infodata of $26 million, $17 million and $48 million, respectively. The results of all of these divested business are reported as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these discontinued operations during the first quarter of 2005 and 2004:</w:t>
      </w:r>
    </w:p>
    <w:p>
      <w:pPr>
        <w:spacing w:after="0" w:line="15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68"/>
        </w:trPr>
        <w:tc>
          <w:tcPr>
            <w:tcW w:w="3560" w:type="dxa"/>
            <w:vAlign w:val="bottom"/>
            <w:gridSpan w:val="2"/>
            <w:vMerge w:val="continue"/>
          </w:tcPr>
          <w:p>
            <w:pPr>
              <w:spacing w:after="0"/>
              <w:rPr>
                <w:sz w:val="5"/>
                <w:szCs w:val="5"/>
                <w:color w:val="auto"/>
              </w:rPr>
            </w:pPr>
          </w:p>
        </w:tc>
        <w:tc>
          <w:tcPr>
            <w:tcW w:w="3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w:t>
            </w: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Gains on disposal, net of tax</w:t>
            </w: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800" w:type="dxa"/>
            <w:vAlign w:val="bottom"/>
            <w:vMerge w:val="restart"/>
          </w:tcPr>
          <w:p>
            <w:pPr>
              <w:jc w:val="right"/>
              <w:ind w:right="2592"/>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-325755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-325755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earnings per share to diluted earnings per share from continuing operations:</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(Stated in thousands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2"/>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Earnings Per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Income from</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 from</w:t>
            </w:r>
          </w:p>
        </w:tc>
        <w:tc>
          <w:tcPr>
            <w:tcW w:w="3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from</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Continuing</w:t>
            </w:r>
          </w:p>
        </w:tc>
        <w:tc>
          <w:tcPr>
            <w:tcW w:w="32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Continuing</w:t>
            </w:r>
          </w:p>
        </w:tc>
        <w:tc>
          <w:tcPr>
            <w:tcW w:w="0" w:type="dxa"/>
            <w:vAlign w:val="bottom"/>
          </w:tcPr>
          <w:p>
            <w:pPr>
              <w:spacing w:after="0"/>
              <w:rPr>
                <w:sz w:val="1"/>
                <w:szCs w:val="1"/>
                <w:color w:val="auto"/>
              </w:rPr>
            </w:pPr>
          </w:p>
        </w:tc>
      </w:tr>
      <w:tr>
        <w:trPr>
          <w:trHeight w:val="178"/>
        </w:trPr>
        <w:tc>
          <w:tcPr>
            <w:tcW w:w="5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3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3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524,437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589,333</w:t>
            </w:r>
          </w:p>
        </w:tc>
        <w:tc>
          <w:tcPr>
            <w:tcW w:w="49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6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587,738</w:t>
            </w:r>
          </w:p>
        </w:tc>
        <w:tc>
          <w:tcPr>
            <w:tcW w:w="6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0" w:type="dxa"/>
            <w:vAlign w:val="bottom"/>
          </w:tcPr>
          <w:p>
            <w:pPr>
              <w:spacing w:after="0"/>
              <w:rPr>
                <w:sz w:val="9"/>
                <w:szCs w:val="9"/>
                <w:color w:val="auto"/>
              </w:rPr>
            </w:pPr>
          </w:p>
        </w:tc>
        <w:tc>
          <w:tcPr>
            <w:tcW w:w="61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convertible debentures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19,105</w:t>
            </w:r>
          </w:p>
        </w:tc>
        <w:tc>
          <w:tcPr>
            <w:tcW w:w="32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5,327</w:t>
            </w:r>
          </w:p>
        </w:tc>
        <w:tc>
          <w:tcPr>
            <w:tcW w:w="32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61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531,634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613,765</w:t>
            </w:r>
          </w:p>
        </w:tc>
        <w:tc>
          <w:tcPr>
            <w:tcW w:w="49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6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592,755</w:t>
            </w:r>
          </w:p>
        </w:tc>
        <w:tc>
          <w:tcPr>
            <w:tcW w:w="6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-749300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-749300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-749300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-749300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-749300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-749300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48450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48450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March 31, 2005 and 2004, approximately 8.1 million and 12.4 million, respectively, of outstanding options to purchase shares of common stock were not included in the computation of diluted earnings per share because to do so would have had an antidilutive effect. In addition, the computation of diluted earnings per share at March 31, 2004 also excludes the effects of approximately 19.1 million common shares issuable upon conversation of the 1.5% Series A Convertible Debentures and the 2.125% Series B Convertible Debentures as their inclusion would have also had an anti-dilutive effect.</w:t>
      </w:r>
    </w:p>
    <w:p>
      <w:pPr>
        <w:spacing w:after="0" w:line="12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in Affiliated Companies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Schlumberger and Smith International Inc. operate a drilling fluids joint venture of which Schlumberger owns a 40% interest and records income using the equity method of accounting. Schlumberger’s investment on March 31, 2005 was $739 million and on December 31, 2004 was $716 million. Schlumberger’s equity income from this joint venture, which is included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was $19 million in the first quarter of 2005 and $17 million in the first quarter of 2004.</w:t>
      </w:r>
    </w:p>
    <w:p>
      <w:pPr>
        <w:spacing w:after="0" w:line="121"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Securitization</w:t>
      </w:r>
    </w:p>
    <w:p>
      <w:pPr>
        <w:spacing w:after="0" w:line="7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A wholly owned subsidiary of Schlumberger has an agreement to sell, on an ongoing basis, up to $250 million of an undivided interest in its accounts receivable. The amount currently drawn under this agreement totaled $194 million at March 31, 2005. Unless extended by amendment, the agreement expires in September 2005. Schlumberger does not have any retained interest in the accounts receivable sold under this agreement.</w:t>
      </w:r>
    </w:p>
    <w:p>
      <w:pPr>
        <w:spacing w:after="0" w:line="117"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inventory follows:</w:t>
      </w:r>
    </w:p>
    <w:p>
      <w:pPr>
        <w:spacing w:after="0" w:line="15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88"/>
              </w:rPr>
              <w:t>Mar. 31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800" w:type="dxa"/>
            <w:vAlign w:val="bottom"/>
            <w:vMerge w:val="restart"/>
          </w:tcPr>
          <w:p>
            <w:pPr>
              <w:jc w:val="right"/>
              <w:ind w:right="2432"/>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-325755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8" w:name="page9"/>
    <w:bookmarkEnd w:id="8"/>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Fixed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fixed assets follows:</w:t>
      </w:r>
    </w:p>
    <w:p>
      <w:pPr>
        <w:spacing w:after="0" w:line="156"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i w:val="1"/>
          <w:iCs w:val="1"/>
          <w:color w:val="auto"/>
        </w:rPr>
        <w:t>(Stated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36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11,101</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7,326</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$ 3,762</w:t>
            </w:r>
          </w:p>
        </w:tc>
        <w:tc>
          <w:tcPr>
            <w:tcW w:w="0" w:type="dxa"/>
            <w:vAlign w:val="bottom"/>
          </w:tcPr>
          <w:p>
            <w:pPr>
              <w:spacing w:after="0"/>
              <w:rPr>
                <w:sz w:val="1"/>
                <w:szCs w:val="1"/>
                <w:color w:val="auto"/>
              </w:rPr>
            </w:pPr>
          </w:p>
        </w:tc>
      </w:tr>
      <w:tr>
        <w:trPr>
          <w:trHeight w:val="132"/>
        </w:trPr>
        <w:tc>
          <w:tcPr>
            <w:tcW w:w="7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Multiclient Seismic Data</w:t>
            </w:r>
          </w:p>
        </w:tc>
        <w:tc>
          <w:tcPr>
            <w:tcW w:w="1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704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is as follows: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8"/>
                <w:szCs w:val="18"/>
                <w:i w:val="1"/>
                <w:iCs w:val="1"/>
                <w:color w:val="auto"/>
                <w:w w:val="97"/>
              </w:rPr>
              <w:t>(Stated in millions)</w:t>
            </w:r>
          </w:p>
        </w:tc>
        <w:tc>
          <w:tcPr>
            <w:tcW w:w="0" w:type="dxa"/>
            <w:vAlign w:val="bottom"/>
          </w:tcPr>
          <w:p>
            <w:pPr>
              <w:spacing w:after="0"/>
              <w:rPr>
                <w:sz w:val="1"/>
                <w:szCs w:val="1"/>
                <w:color w:val="auto"/>
              </w:rPr>
            </w:pPr>
          </w:p>
        </w:tc>
      </w:tr>
      <w:tr>
        <w:trPr>
          <w:trHeight w:val="110"/>
        </w:trPr>
        <w:tc>
          <w:tcPr>
            <w:tcW w:w="180" w:type="dxa"/>
            <w:vAlign w:val="bottom"/>
            <w:vMerge w:val="restart"/>
          </w:tcPr>
          <w:p>
            <w:pPr>
              <w:spacing w:after="0"/>
              <w:rPr>
                <w:sz w:val="9"/>
                <w:szCs w:val="9"/>
                <w:color w:val="auto"/>
              </w:rPr>
            </w:pPr>
          </w:p>
        </w:tc>
        <w:tc>
          <w:tcPr>
            <w:tcW w:w="98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 period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to cost of goods sold &amp; services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2005</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-1598295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-1598295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-1598295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-1598295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-1598295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-1598295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business segment for the three months ended March 31, 2005 are as follows:</w:t>
      </w:r>
    </w:p>
    <w:p>
      <w:pPr>
        <w:spacing w:after="0" w:line="15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i w:val="1"/>
          <w:iCs w:val="1"/>
          <w:color w:val="auto"/>
        </w:rPr>
        <w:t>(Stated in millions)</w:t>
      </w:r>
    </w:p>
    <w:p>
      <w:pPr>
        <w:spacing w:after="0" w:line="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Oilfield</w:t>
            </w: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w w:val="94"/>
              </w:rPr>
              <w:t>Western</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Geco</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81"/>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244</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Impact of change in exchange rates</w:t>
            </w:r>
          </w:p>
        </w:tc>
        <w:tc>
          <w:tcPr>
            <w:tcW w:w="2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2005</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244</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34734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Intangible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follows:</w:t>
      </w:r>
    </w:p>
    <w:p>
      <w:pPr>
        <w:spacing w:after="0" w:line="156"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i w:val="1"/>
          <w:iCs w:val="1"/>
          <w:color w:val="auto"/>
        </w:rPr>
        <w:t>(Stated in millions)</w:t>
      </w:r>
    </w:p>
    <w:p>
      <w:pPr>
        <w:spacing w:after="0" w:line="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85"/>
              </w:rPr>
              <w:t>2005</w:t>
            </w:r>
          </w:p>
        </w:tc>
        <w:tc>
          <w:tcPr>
            <w:tcW w:w="8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book value</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charged to income was $20 million during the first quarter of 2005 and $21 million for the same period in 2004.</w:t>
      </w:r>
    </w:p>
    <w:p>
      <w:pPr>
        <w:spacing w:after="0" w:line="1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-9-</w:t>
      </w:r>
    </w:p>
    <w:p>
      <w:pPr>
        <w:sectPr>
          <w:pgSz w:w="11900" w:h="16838" w:orient="portrait"/>
          <w:cols w:equalWidth="0" w:num="1">
            <w:col w:w="10280"/>
          </w:cols>
          <w:pgMar w:left="240" w:top="272" w:right="1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March 31, 2005, the gross book value, accumulated amortization and amortization periods of intangible assets were as follows:</w:t>
      </w:r>
    </w:p>
    <w:p>
      <w:pPr>
        <w:spacing w:after="0" w:line="15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40" w:type="dxa"/>
            <w:vAlign w:val="bottom"/>
            <w:gridSpan w:val="3"/>
          </w:tcPr>
          <w:p>
            <w:pPr>
              <w:ind w:left="6180"/>
              <w:spacing w:after="0"/>
              <w:rPr>
                <w:sz w:val="20"/>
                <w:szCs w:val="20"/>
                <w:color w:val="auto"/>
              </w:rPr>
            </w:pPr>
            <w:r>
              <w:rPr>
                <w:rFonts w:ascii="Times New Roman" w:cs="Times New Roman" w:eastAsia="Times New Roman" w:hAnsi="Times New Roman"/>
                <w:sz w:val="14"/>
                <w:szCs w:val="14"/>
                <w:b w:val="1"/>
                <w:bCs w:val="1"/>
                <w:color w:val="auto"/>
                <w:w w:val="91"/>
              </w:rPr>
              <w:t>Book Value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1940" w:type="dxa"/>
            <w:vAlign w:val="bottom"/>
            <w:gridSpan w:val="2"/>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w w:val="96"/>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9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Software</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90" w:type="dxa"/>
            <w:vAlign w:val="bottom"/>
            <w:shd w:val="clear" w:color="auto" w:fill="CCEEFF"/>
          </w:tcPr>
          <w:p>
            <w:pPr>
              <w:spacing w:after="0"/>
              <w:rPr>
                <w:sz w:val="17"/>
                <w:szCs w:val="17"/>
                <w:color w:val="auto"/>
              </w:rPr>
            </w:pPr>
          </w:p>
        </w:tc>
        <w:tc>
          <w:tcPr>
            <w:tcW w:w="59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center"/>
              <w:ind w:left="576"/>
              <w:spacing w:after="0" w:line="201" w:lineRule="exact"/>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shd w:val="clear" w:color="auto" w:fill="CCEEFF"/>
          </w:tcPr>
          <w:p>
            <w:pPr>
              <w:ind w:left="6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9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Technology</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590" w:type="dxa"/>
            <w:vAlign w:val="bottom"/>
          </w:tcPr>
          <w:p>
            <w:pPr>
              <w:spacing w:after="0"/>
              <w:rPr>
                <w:sz w:val="17"/>
                <w:szCs w:val="17"/>
                <w:color w:val="auto"/>
              </w:rPr>
            </w:pPr>
          </w:p>
        </w:tc>
        <w:tc>
          <w:tcPr>
            <w:tcW w:w="1940" w:type="dxa"/>
            <w:vAlign w:val="bottom"/>
            <w:gridSpan w:val="2"/>
          </w:tcPr>
          <w:p>
            <w:pPr>
              <w:jc w:val="center"/>
              <w:ind w:left="576"/>
              <w:spacing w:after="0" w:line="201" w:lineRule="exact"/>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Patents</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90" w:type="dxa"/>
            <w:vAlign w:val="bottom"/>
            <w:shd w:val="clear" w:color="auto" w:fill="CCEEFF"/>
          </w:tcPr>
          <w:p>
            <w:pPr>
              <w:spacing w:after="0"/>
              <w:rPr>
                <w:sz w:val="17"/>
                <w:szCs w:val="17"/>
                <w:color w:val="auto"/>
              </w:rPr>
            </w:pPr>
          </w:p>
        </w:tc>
        <w:tc>
          <w:tcPr>
            <w:tcW w:w="59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center"/>
              <w:ind w:left="576"/>
              <w:spacing w:after="0" w:line="204" w:lineRule="exact"/>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90" w:type="dxa"/>
            <w:vAlign w:val="bottom"/>
            <w:shd w:val="clear" w:color="auto" w:fill="CCEEFF"/>
          </w:tcPr>
          <w:p>
            <w:pPr>
              <w:spacing w:after="0"/>
              <w:rPr>
                <w:sz w:val="20"/>
                <w:szCs w:val="20"/>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 w:type="dxa"/>
            <w:vAlign w:val="bottom"/>
          </w:tcPr>
          <w:p>
            <w:pPr>
              <w:spacing w:after="0"/>
              <w:rPr>
                <w:sz w:val="17"/>
                <w:szCs w:val="17"/>
                <w:color w:val="auto"/>
              </w:rPr>
            </w:pPr>
          </w:p>
        </w:tc>
        <w:tc>
          <w:tcPr>
            <w:tcW w:w="590" w:type="dxa"/>
            <w:vAlign w:val="bottom"/>
          </w:tcPr>
          <w:p>
            <w:pPr>
              <w:spacing w:after="0"/>
              <w:rPr>
                <w:sz w:val="17"/>
                <w:szCs w:val="17"/>
                <w:color w:val="auto"/>
              </w:rPr>
            </w:pPr>
          </w:p>
        </w:tc>
        <w:tc>
          <w:tcPr>
            <w:tcW w:w="1940" w:type="dxa"/>
            <w:vAlign w:val="bottom"/>
            <w:gridSpan w:val="2"/>
          </w:tcPr>
          <w:p>
            <w:pPr>
              <w:jc w:val="center"/>
              <w:ind w:left="576"/>
              <w:spacing w:after="0" w:line="201" w:lineRule="exact"/>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9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ind w:left="6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9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all intangible assets is approximately 6 years.</w:t>
      </w:r>
    </w:p>
    <w:p>
      <w:pPr>
        <w:spacing w:after="0" w:line="156"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Compensation Plans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As of March 31, 2005, Schlumberger had two types of stock-based compensation plans which are described in Schlumberger’s 2004 Annual Report on Form 10-K. Schlumberger recorded stock-based compensation expense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under SFAS 123 commencing in the third quarter of 2003, on a prospective basis for grants after January 1, 2003. The effect of stock based compensation expense on net income in the first quarter of 2005 was $8.8 million in the first quarter of 2005 and $6.5 million in the first quarter of 2004. Schlumberger applied APB 25 for grants prior to January 1, 2003. Had compensation cost for the stock-based Schlumberger plans been determined based on the fair value at the grant dates for awards prior to January 1, 2003, consistent with the method of SFAS 123, Schlumberger net income and earnings per share would have been the pro forma amounts indicated below:</w:t>
      </w:r>
    </w:p>
    <w:p>
      <w:pPr>
        <w:spacing w:after="0" w:line="12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i w:val="1"/>
          <w:iCs w:val="1"/>
          <w:color w:val="auto"/>
        </w:rPr>
        <w:t>(Stated in millions except per share amounts)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Period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2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Proforma adjustments: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Cost of Stock Options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Tax benefit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Proforma</w:t>
            </w:r>
          </w:p>
        </w:tc>
        <w:tc>
          <w:tcPr>
            <w:tcW w:w="2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2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Proforma adjustments: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Cost of Stock Options</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 forma</w:t>
            </w:r>
          </w:p>
        </w:tc>
        <w:tc>
          <w:tcPr>
            <w:tcW w:w="2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2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Proforma adjustments: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Cost of Stock Options</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 forma</w:t>
            </w:r>
          </w:p>
        </w:tc>
        <w:tc>
          <w:tcPr>
            <w:tcW w:w="2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-2018665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-2018665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-2018665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-2018665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-2018665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-2018665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-1024255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-1024255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-1024255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-1024255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-1024255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-1024255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42418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December 2004, the Financial Accounting Standards Board issued SFAS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The standard amends SFAS 123 (</w:t>
      </w:r>
      <w:r>
        <w:rPr>
          <w:rFonts w:ascii="Times New Roman" w:cs="Times New Roman" w:eastAsia="Times New Roman" w:hAnsi="Times New Roman"/>
          <w:sz w:val="18"/>
          <w:szCs w:val="18"/>
          <w:i w:val="1"/>
          <w:iCs w:val="1"/>
          <w:color w:val="auto"/>
        </w:rPr>
        <w:t>Accounting for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Based Compensation</w:t>
      </w:r>
      <w:r>
        <w:rPr>
          <w:rFonts w:ascii="Times New Roman" w:cs="Times New Roman" w:eastAsia="Times New Roman" w:hAnsi="Times New Roman"/>
          <w:sz w:val="18"/>
          <w:szCs w:val="18"/>
          <w:color w:val="auto"/>
        </w:rPr>
        <w:t>) and concludes that services received from employees in exchange for stock-based compensation results in a cost to the employer that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recognized in the financial statements. The cost of such awards should be measured at fair value at the date of grant. SFAS 123R provides public companies with a choice of transition methods to implement the standard. Schlumberger will apply the modified prospective method whereby compensation cost will be recognized for the unamortized portion of vested awards outstanding at January 1, 2006, the effective date of SFAS 123R, and granted after January 1, 1995. Such cost will be recognized in Schlumberger’s financial statements over the remaining vesting period. As described above, in 2003 Schlumberger adopted the fair value recognition provisions of SFAS Nos. 123 and 148 on a prospective basis for grants after January 1, 2003. Therefore, effective January 1, 2006, Schlumberger will have to apply the provisions of SFAS 123R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unvested portion of awards granted during the period of January 1, 1995 to December 31, 2002. The adoption of this standard is currently expected to reduce Schlumberger’s earnings by approximately $23 million in 2006 and $6 million in 2007.</w:t>
      </w:r>
    </w:p>
    <w:p>
      <w:pPr>
        <w:spacing w:after="0" w:line="104"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book income from continuing operations subject to US and non-US income taxes was as follows:</w:t>
      </w:r>
    </w:p>
    <w:p>
      <w:pPr>
        <w:spacing w:after="0" w:line="15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4584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Schlumberger reported charges and credits in continuing operations during the first quarters of 2005 and 2004. These are more fully described in Note 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Charges and credits – Continuing Operations</w:t>
      </w:r>
      <w:r>
        <w:rPr>
          <w:rFonts w:ascii="Times New Roman" w:cs="Times New Roman" w:eastAsia="Times New Roman" w:hAnsi="Times New Roman"/>
          <w:sz w:val="18"/>
          <w:szCs w:val="18"/>
          <w:color w:val="auto"/>
        </w:rPr>
        <w:t>. US pretax results in the first quarter of 2005 included charges of $2 million. Outside the US, the pretax results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2005 included a net credit of approximately $136 million, primarily relating to the sale of a facility. The US pretax results in the first quarter of 2004 included charges of $93 million related to the US Interest Rate Swap and the restructuring program. Outside the US, pretax results included charges of $91 million related to the debt extinguishment costs and the loss on sale of Atos Origin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deferred tax assets were as follows:</w:t>
      </w:r>
    </w:p>
    <w:p>
      <w:pPr>
        <w:spacing w:after="0" w:line="15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2"/>
              </w:rPr>
              <w:t>Mar.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and other long-term benefits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employee benefits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inventory and other</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45021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1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deferred tax assets relating to net operating losses at March 31, 2005 and December 31, 2004 are net of valuation allowances in certain countries of $254 million and $312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consolidated income tax expense from continuing operations were as follows:</w:t>
      </w:r>
    </w:p>
    <w:p>
      <w:pPr>
        <w:spacing w:after="0" w:line="15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 - Federal</w:t>
            </w: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United States - State</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Outside United States</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 - Federal</w:t>
            </w: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United States - State</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Outside United States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Valuation allowance</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taxes on income</w:t>
            </w:r>
          </w:p>
        </w:tc>
        <w:tc>
          <w:tcPr>
            <w:tcW w:w="2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-11-</w:t>
      </w:r>
    </w:p>
    <w:p>
      <w:pPr>
        <w:sectPr>
          <w:pgSz w:w="11900" w:h="16838" w:orient="portrait"/>
          <w:cols w:equalWidth="0" w:num="1">
            <w:col w:w="11380"/>
          </w:cols>
          <w:pgMar w:left="240" w:top="274" w:right="2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reconciliation of the US statutory federal tax rate (35%) to the consolidated effective tax rate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0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US state income taxes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US income taxed at different rates</w:t>
            </w:r>
          </w:p>
        </w:tc>
        <w:tc>
          <w:tcPr>
            <w:tcW w:w="2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equity method investment</w:t>
            </w:r>
          </w:p>
        </w:tc>
        <w:tc>
          <w:tcPr>
            <w:tcW w:w="2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partner’s share of LLC earnings</w:t>
            </w:r>
          </w:p>
        </w:tc>
        <w:tc>
          <w:tcPr>
            <w:tcW w:w="2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(excluding charges and credits)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Charges and credits</w:t>
            </w:r>
          </w:p>
        </w:tc>
        <w:tc>
          <w:tcPr>
            <w:tcW w:w="2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 xml:space="preserve">The charges and credits described in Note 2 </w:t>
      </w:r>
      <w:r>
        <w:rPr>
          <w:rFonts w:ascii="Times New Roman" w:cs="Times New Roman" w:eastAsia="Times New Roman" w:hAnsi="Times New Roman"/>
          <w:sz w:val="18"/>
          <w:szCs w:val="18"/>
          <w:i w:val="1"/>
          <w:iCs w:val="1"/>
          <w:color w:val="auto"/>
        </w:rPr>
        <w:t>Charges – Continuing Operations</w:t>
      </w:r>
      <w:r>
        <w:rPr>
          <w:rFonts w:ascii="Times New Roman" w:cs="Times New Roman" w:eastAsia="Times New Roman" w:hAnsi="Times New Roman"/>
          <w:sz w:val="18"/>
          <w:szCs w:val="18"/>
          <w:color w:val="auto"/>
        </w:rPr>
        <w:t>, including the associated effect of changes in valuation allowance, decreased Schlumberger’s effective tax rate by five percentage points in the first quarter of 2005 and increased Schlumberger’s effective tax rate by six percentage points in the first quarter of 2004.</w:t>
      </w:r>
    </w:p>
    <w:p>
      <w:pPr>
        <w:spacing w:after="0" w:line="114"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26"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includes accruals for estimated future expenditures associated with business divestitures which have been completed. It is possible that the ultimate expenditures may exceed the amounts recorded. In the opinion of management, such additional expenditures are not expected to be material relative to consolidated liquidity, financial position or future results of operations.</w:t>
      </w:r>
    </w:p>
    <w:p>
      <w:pPr>
        <w:spacing w:after="0" w:line="1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December 2004, WesternGeco and Schlumberger received grand jury subpoenas from the US Attorney’s office in the Southern District of Texas seeking documents relating to possible fraud in obtaining visas for non-US citizens working as crewmembers on vessels operating in the Gulf of Mexico. We are in the process of responding to the investigation, including providing information sought by the subpoenas. Schlumberger is unable to determine the outcome of this matter and the related impact it might have on Schlumberger’s financial condition and results of operations.</w:t>
      </w:r>
    </w:p>
    <w:p>
      <w:pPr>
        <w:spacing w:after="0" w:line="123"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color w:val="auto"/>
        </w:rPr>
        <w:t>In addition, 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 range of possible losses that might result from an adverse judgment on settlement in these matters. However, in the opinion of Schlumberger any liability that might ensue would not be material in relation to the consolidated liquidity, financial position or future results of operations.</w:t>
      </w:r>
    </w:p>
    <w:p>
      <w:pPr>
        <w:spacing w:after="0" w:line="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-12-</w:t>
      </w:r>
    </w:p>
    <w:p>
      <w:pPr>
        <w:sectPr>
          <w:pgSz w:w="11900" w:h="16838" w:orient="portrait"/>
          <w:cols w:equalWidth="0" w:num="1">
            <w:col w:w="11360"/>
          </w:cols>
          <w:pgMar w:left="240" w:top="274" w:right="299" w:bottom="1440" w:gutter="0" w:footer="0" w:header="0"/>
        </w:sectPr>
      </w:pPr>
    </w:p>
    <w:bookmarkStart w:id="12" w:name="page13"/>
    <w:bookmarkEnd w:id="12"/>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operates two primary reportable business segments: Oilfield Services and WesternGeco.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periods have been restated so as to be comparable with the current reporting structure.</w:t>
      </w:r>
    </w:p>
    <w:p>
      <w:pPr>
        <w:spacing w:after="0" w:line="21"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FIRST QUARTER 2005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FIRST QUARTER 2004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Minority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Minority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88"/>
              </w:rPr>
              <w:t>&amp; MI</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&amp; MI</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5"/>
                <w:szCs w:val="15"/>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Latin America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Europe/CIS/W. Africa</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Middle East &amp; Asia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Elims/Other</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Elims &amp; 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3,159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2,673</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-1030605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-1030605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-1030605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-1030605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-1030605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-1030605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-1030605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-1030605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-1030605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-1030605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-1030605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-1030605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-1030605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-1030605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-1030605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-1030605</wp:posOffset>
            </wp:positionV>
            <wp:extent cx="34734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-1030605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-1030605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-1030605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-1030605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-1030605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-1030605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-172720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-172720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interest expense included in the Segment results ($2 million in 2005; $1 million in 2004).</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Charges and credits – Continuing Operations.</w:t>
      </w:r>
    </w:p>
    <w:p>
      <w:pPr>
        <w:spacing w:after="0" w:line="143"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in the US for the first quarter of 2005 and 2004 included the following components:</w:t>
      </w:r>
    </w:p>
    <w:p>
      <w:pPr>
        <w:spacing w:after="0" w:line="15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 benefits earned during period</w:t>
            </w:r>
          </w:p>
        </w:tc>
        <w:tc>
          <w:tcPr>
            <w:tcW w:w="2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cost/other</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net loss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cost</w:t>
            </w:r>
          </w:p>
        </w:tc>
        <w:tc>
          <w:tcPr>
            <w:tcW w:w="2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pension cost in the UK plan for the three months ended March 2005 and 2004 included the following components:</w:t>
      </w:r>
    </w:p>
    <w:p>
      <w:pPr>
        <w:spacing w:after="0" w:line="15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 benefits earned during period</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loss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cost</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-13-</w:t>
      </w:r>
    </w:p>
    <w:p>
      <w:pPr>
        <w:sectPr>
          <w:pgSz w:w="11900" w:h="16838" w:orient="portrait"/>
          <w:cols w:equalWidth="0" w:num="1">
            <w:col w:w="11420"/>
          </w:cols>
          <w:pgMar w:left="240" w:top="272"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postretirement benefit cost in the US for the first quarter of 2005 and 2004 included the following components:</w:t>
      </w:r>
    </w:p>
    <w:p>
      <w:pPr>
        <w:spacing w:after="0" w:line="15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i w:val="1"/>
          <w:iCs w:val="1"/>
          <w:color w:val="auto"/>
        </w:rPr>
        <w:t>(Stated in millions)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2005</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 benefits earned during period</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w w:val="97"/>
              </w:rPr>
              <w:t>Interest cost on accumulated postretirement benefit obligation</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unrecognized net loss/other</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postretirement benefit cost</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040" w:type="dxa"/>
            <w:vAlign w:val="bottom"/>
            <w:vMerge w:val="restart"/>
          </w:tcPr>
          <w:p>
            <w:pPr>
              <w:jc w:val="right"/>
              <w:ind w:right="2632"/>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-325755</wp:posOffset>
            </wp:positionV>
            <wp:extent cx="44132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280"/>
          </w:cols>
          <w:pgMar w:left="240" w:top="274" w:right="1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REVIEW</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20" w:type="dxa"/>
            <w:vAlign w:val="bottom"/>
          </w:tcPr>
          <w:p>
            <w:pPr>
              <w:spacing w:after="0"/>
              <w:rPr>
                <w:sz w:val="22"/>
                <w:szCs w:val="22"/>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Oilfield Services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2,779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2,359</w:t>
            </w:r>
          </w:p>
        </w:tc>
        <w:tc>
          <w:tcPr>
            <w:tcW w:w="2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3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WesternGeco</w:t>
            </w: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3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Pretax operating income represents income before taxes and minority interest, excluding interest income, interest expense and amortization of intangibles, a net pretax credit of $134 million in the first quarter of 2005 and a pretax charges of $184 million in the first quarter of 2004 (see pages 6 and 7 for the description of charges and credits).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2005 Compared to First Quarter 2004</w:t>
      </w:r>
    </w:p>
    <w:p>
      <w:pPr>
        <w:spacing w:after="0" w:line="16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Operating revenue for the first quarter of 2005 was $3.16 billion versus $2.67 billion for the same period last year. Income from continuing operations before income taxes and minority interest was $679 million in 2005 compared to $162 million in 2004. The 2005 results include net pretax credits of $134 million. The 2004 results include pretax charges of $184 million. These credits and charges are described in detail on pages 6 and 7.</w:t>
      </w:r>
    </w:p>
    <w:p>
      <w:pPr>
        <w:spacing w:after="0" w:line="119"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Net income for the first quarter of 2005, was $523 million compared to $220 million in the first quarter of last year. Net income includes a loss from discontinued operations of $1 million in the first quarter of 2005 compared to a gain from discontinued operations of $113 million in the first quarter of last year.</w:t>
      </w:r>
    </w:p>
    <w:p>
      <w:pPr>
        <w:spacing w:after="0" w:line="61"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Oilfield Services revenue of $2.78 billion increased 2% sequentially and 18% compared to the same quarter of last year. Pretax business segment operating income of $559 million increased 16% sequentially and 32% year-on-year.</w:t>
      </w:r>
    </w:p>
    <w:p>
      <w:pPr>
        <w:spacing w:after="0" w:line="10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WesternGeco revenue of $378 million increased 14% sequentially and 21% year-on-year. Pretax business segment operating income of $64 million increased 48% sequentially and 89% year-on-year.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OILFIELD SERVICES</w:t>
      </w:r>
    </w:p>
    <w:p>
      <w:pPr>
        <w:spacing w:after="0" w:line="16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First-quarter revenue of $2.78 billion was 2% higher sequentially but increased 18% year-on-year. Pretax operating income of $559 million increased 16% sequentially and grew 32% year-on-year.</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Overall, sequential revenue increases were highest in the Canada, North Sea, Nigeria, West Africa and the Gulf GeoMarkets. Demand was particularly strong for Drilling &amp; Measurements and Well Services technologies.</w:t>
      </w:r>
    </w:p>
    <w:p>
      <w:pPr>
        <w:spacing w:after="0" w:line="10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Robust year-on-year revenue growth was experienced across all regions with the Canada, US Land, Russia, Nigeria, the Gulf and India GeoMarkets posting the highest increases. By technology, all service segments recorded double-digit increases.</w:t>
      </w:r>
    </w:p>
    <w:p>
      <w:pPr>
        <w:spacing w:after="0" w:line="10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Pretax operating income recorded exceptional sequential growth driven by accelerating pricing and asset utilization levels in US Land and Canada; strengthening levels of activity in West Africa; and a more favorable mix of activity in Latin America.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w:t>
      </w:r>
    </w:p>
    <w:p>
      <w:pPr>
        <w:sectPr>
          <w:pgSz w:w="11900" w:h="16838" w:orient="portrait"/>
          <w:cols w:equalWidth="0" w:num="1">
            <w:col w:w="11420"/>
          </w:cols>
          <w:pgMar w:left="240" w:top="27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America</w:t>
      </w:r>
    </w:p>
    <w:p>
      <w:pPr>
        <w:spacing w:after="0" w:line="7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Revenue of $868 million increased 2% sequentially and 20% year-on-year. Pretax operating income of $203 million increased 29% sequentially and 65% year-on-year.</w:t>
      </w:r>
    </w:p>
    <w:p>
      <w:pPr>
        <w:spacing w:after="0" w:line="10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sequential revenue increase was primarily driven by Canada with maximum equipment and personnel utilization, higher pricing levels and increased demand for high-tier services. This revenue growth rate was partially reduced by the absence of any turnkey drilling operations as this activity was exited in the prior quarter.</w:t>
      </w:r>
    </w:p>
    <w:p>
      <w:pPr>
        <w:spacing w:after="0" w:line="11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year-on-year revenue growth was mainly fueled by strong pricing gains in US Land and by Wireline and Well Services technologies with fracturing crews operating at near capacity.</w:t>
      </w:r>
    </w:p>
    <w:p>
      <w:pPr>
        <w:spacing w:after="0" w:line="106"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t>The robust growth in pretax operating income was driven by improvements in pricing, particularly for Well Services and Wireline technologies, and activity ramp-up in US Land and Canada, coupled with much higher margins in the Gulf Coast—a consequence of the absence of turnkey drilling operations in the quarter.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7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Revenue of $469 million declined 4% sequentially but was 19% higher year-on-year. Pretax operating income of $64 million increased 22% sequentially and 5% compared to the same quarter of last year.</w:t>
      </w:r>
    </w:p>
    <w:p>
      <w:pPr>
        <w:spacing w:after="0" w:line="10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Revenue in Mexico, while growing significantly year-on-year, fueled by large integrated projects, declined sequentially as the result of much lower levels of third-party managed services revenue associated with these projects.</w:t>
      </w:r>
    </w:p>
    <w:p>
      <w:pPr>
        <w:spacing w:after="0" w:line="1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Sequentially, lower activity in Western Venezuela was partially offset by increased revenue from PDVSA in other areas. During the quarter, an important milestone was passed in reaching an agreement with PDVSA for moving forward to resolve issues related to the PRISA project. This agreement included a payment of a significant amount of the outstanding receivables, a framework for future activity on the project and for resolution of some past issues, including negotiation of outstanding receivables.</w:t>
      </w:r>
    </w:p>
    <w:p>
      <w:pPr>
        <w:spacing w:after="0" w:line="12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Sequential revenue growth in the Latin America South GeoMarket was due mainly to higher Well Completions &amp; Productivity, Drilling &amp; Measurements and Wireline activity in Brazil and Argentina, where the Repsol D-150 Integrated Project Management (IPM) operation reached the 100-well milestone.</w:t>
      </w:r>
    </w:p>
    <w:p>
      <w:pPr>
        <w:spacing w:after="0" w:line="1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strong sequential pretax operating income improvement was experienced evenly across all the GeoMarkets with an improved drilling environment in the Venezuela/Trinidad/Tobago GeoMarket and a better revenue mix in the Mexico/Central America GeoMarket between Schlumberger technologies and third-party managed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Europe/CIS/West Africa</w:t>
      </w:r>
    </w:p>
    <w:p>
      <w:pPr>
        <w:spacing w:after="0" w:line="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of $751 million increased 7% sequentially and 16% year-on-year. Pretax operating income of $124 million increased 16% both sequentially and year-on-year.</w:t>
      </w:r>
    </w:p>
    <w:p>
      <w:pPr>
        <w:spacing w:after="0" w:line="1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Sequential revenue growth was mainly driven by North Africa, Nigeria and West Africa with increases in Well Completions &amp; Productivity, Wireline and Drilling &amp; Measurements technologies. Activity was robust in the North Sea, particularly due to growth in Schlumberger Information Solutions and Well Completions &amp; Productivity technologies. However, growth was somewhat offset by adverse weather early in the quarter.</w:t>
      </w:r>
    </w:p>
    <w:p>
      <w:pPr>
        <w:spacing w:after="0" w:line="1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the Russia GeoMarket, activity grew significantly, driven by recovery of activity in Yuganskneftegaz that reached pre-September 2004 levels towards the end of the quarter. Increased demand for stimulation and cementing technologies and strengthening IPM operations were experienced across the GeoMarket. The demand for, and speed of, technology uptake remains strong.</w:t>
      </w:r>
    </w:p>
    <w:p>
      <w:pPr>
        <w:spacing w:after="0" w:line="11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Most GeoMarkets recorded double-digit increases year-on-year, led by Nigeria with higher rig count spurring growth in Drilling &amp; Measurements and Wireline technologies; in West Africa mainly from Well Completions &amp; Productivity technologies; and in Continental Europe with stronger activity across all technologies.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w:t>
      </w:r>
    </w:p>
    <w:p>
      <w:pPr>
        <w:sectPr>
          <w:pgSz w:w="11900" w:h="16838" w:orient="portrait"/>
          <w:cols w:equalWidth="0" w:num="1">
            <w:col w:w="11420"/>
          </w:cols>
          <w:pgMar w:left="240" w:top="272" w:right="239" w:bottom="1440" w:gutter="0" w:footer="0" w:header="0"/>
        </w:sectPr>
      </w:pPr>
    </w:p>
    <w:bookmarkStart w:id="16" w:name="page17"/>
    <w:bookmarkEnd w:id="16"/>
    <w:p>
      <w:pPr>
        <w:ind w:right="1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robust sequential growth in operating income was mainly in Western Africa and Nigeria from increasing activity and pricing improvements combined with the resumption of activities for Yuganskneftgaz in Russia following shut-downs in the prior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 East &amp; Asia</w:t>
      </w:r>
    </w:p>
    <w:p>
      <w:pPr>
        <w:spacing w:after="0" w:line="7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Revenue of $668 million was flat sequentially but grew 19% year-on-year. Pretax operating income of $174 million declined 4% sequentially but increased 25% year-on-year.</w:t>
      </w:r>
    </w:p>
    <w:p>
      <w:pPr>
        <w:spacing w:after="0" w:line="10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flat sequential revenues resulted from the revenue growth in the Thailand/Vietnam, East Africa and East Mediterranean, and the Gulf GeoMarkets, were offset by reduced deepwater activity in the Malaysia/Brunei/Philippines and Indonesia GeoMarkets.</w:t>
      </w:r>
    </w:p>
    <w:p>
      <w:pPr>
        <w:spacing w:after="0" w:line="106"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t>Year-on-year revenue growth was led by the Malaysia/Brunei/Philippines GeoMarket with high demand for Well Completions &amp; Productivity, Wireline and Drilling &amp; Measurements technologies. Increased offshore exploration activity in India, start-up of Wireline services for PDO in Oman, and burgeoning gas activity in Qatar also contributed to this growth.</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sequential decline in operating income resulted from seasonal effects and from increased personnel costs associated with the preparation of new contracts and activity. These contracts will only take full effect in the coming quarters.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WESTERNGECO</w:t>
      </w:r>
    </w:p>
    <w:p>
      <w:pPr>
        <w:spacing w:after="0" w:line="16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First-quarter revenue of $378 million was 14% higher sequentially and 21% higher compared to the same period of last year. Pretax operating income of $64 million increased 48% sequentially and 89% year-on-year.</w:t>
      </w:r>
    </w:p>
    <w:p>
      <w:pPr>
        <w:spacing w:after="0" w:line="106" w:lineRule="exact"/>
        <w:rPr>
          <w:sz w:val="20"/>
          <w:szCs w:val="20"/>
          <w:color w:val="auto"/>
        </w:rPr>
      </w:pPr>
    </w:p>
    <w:p>
      <w:pPr>
        <w:ind w:right="680"/>
        <w:spacing w:after="0" w:line="339" w:lineRule="auto"/>
        <w:rPr>
          <w:sz w:val="20"/>
          <w:szCs w:val="20"/>
          <w:color w:val="auto"/>
        </w:rPr>
      </w:pPr>
      <w:r>
        <w:rPr>
          <w:rFonts w:ascii="Times New Roman" w:cs="Times New Roman" w:eastAsia="Times New Roman" w:hAnsi="Times New Roman"/>
          <w:sz w:val="16"/>
          <w:szCs w:val="16"/>
          <w:color w:val="auto"/>
        </w:rPr>
        <w:t>Sequentially, Land revenue increased mainly in the Middle East reflecting higher conventional activity in Saudi Arabia, Chad, Algeria and Pakistan, and increased Q-Land* activity in Kuwait; partially offset by the completion of a project in Mexico and of a 2D-Transitional project in New Zealand.</w:t>
      </w:r>
    </w:p>
    <w:p>
      <w:pPr>
        <w:spacing w:after="0" w:line="5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 xml:space="preserve">Marine revenue increased mainly in Asia with three conventional vessels working at higher prices, full utilization of the Q* vessel </w:t>
      </w:r>
      <w:r>
        <w:rPr>
          <w:rFonts w:ascii="Times New Roman" w:cs="Times New Roman" w:eastAsia="Times New Roman" w:hAnsi="Times New Roman"/>
          <w:sz w:val="18"/>
          <w:szCs w:val="18"/>
          <w:i w:val="1"/>
          <w:iCs w:val="1"/>
          <w:color w:val="auto"/>
        </w:rPr>
        <w:t>Topaz</w:t>
      </w:r>
      <w:r>
        <w:rPr>
          <w:rFonts w:ascii="Times New Roman" w:cs="Times New Roman" w:eastAsia="Times New Roman" w:hAnsi="Times New Roman"/>
          <w:sz w:val="18"/>
          <w:szCs w:val="18"/>
          <w:color w:val="auto"/>
        </w:rPr>
        <w:t xml:space="preserve"> in India and increased activity for the </w:t>
      </w:r>
      <w:r>
        <w:rPr>
          <w:rFonts w:ascii="Times New Roman" w:cs="Times New Roman" w:eastAsia="Times New Roman" w:hAnsi="Times New Roman"/>
          <w:sz w:val="18"/>
          <w:szCs w:val="18"/>
          <w:i w:val="1"/>
          <w:iCs w:val="1"/>
          <w:color w:val="auto"/>
        </w:rPr>
        <w:t>Neptune</w:t>
      </w:r>
      <w:r>
        <w:rPr>
          <w:rFonts w:ascii="Times New Roman" w:cs="Times New Roman" w:eastAsia="Times New Roman" w:hAnsi="Times New Roman"/>
          <w:sz w:val="18"/>
          <w:szCs w:val="18"/>
          <w:color w:val="auto"/>
        </w:rPr>
        <w:t xml:space="preserve"> on the Q Magno survey in Mexico; partially offset by lower activity in Europe.</w:t>
      </w:r>
    </w:p>
    <w:p>
      <w:pPr>
        <w:spacing w:after="0" w:line="10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Multiclient sales increased to $141 million in the first quarter of 2005, mainly in North America following the Central Gulf of Mexico lease sale. Approximately 70% of the surveys sold in the first quarter of 2005 had no net book value due to prior amortization of capitalized costs (compared to 50% in 2004) and only 3% of the surveys sold were impaired in 2003 and 2002. Multiclient sales were $135 million in the first quarter of 2004.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Processing declined slightly mainly due to seasonally lower activity in West Africa, Europe and North America.</w:t>
      </w:r>
    </w:p>
    <w:p>
      <w:pPr>
        <w:spacing w:after="0" w:line="15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Year-on-year revenue growth was driven by Marine, reflecting strong utilization and pricing, and by Land reflecting four additional crews working in the Middle East. Data Processing also contributed to this improvement with stronger Q processing and higher activity in the Middle East and Asia.</w:t>
      </w:r>
    </w:p>
    <w:p>
      <w:pPr>
        <w:spacing w:after="0" w:line="10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Sequential and year-on-year improvements in pretax income were mainly in Marine, resulting from significantly higher utilization for both Q and conventional seismic, improved pricing and increased Multiclient sales. Land also contributed to the improvement mainly in the Middle East and in Algeria due to higher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Q-Marine* utilization remained high during the quarter. The conversion of the previously announced fifth Q vessel will be completed in early summer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WesternGeco backlog at the end of the first quarter was $668 million, flat sequentially but increasing by almost 40% year-on-year.</w:t>
      </w:r>
    </w:p>
    <w:p>
      <w:pPr>
        <w:spacing w:after="0" w:line="1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STATEMENT</w:t>
      </w:r>
    </w:p>
    <w:p>
      <w:pPr>
        <w:spacing w:after="0" w:line="7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Interest income of $19 million increased $5.4 million compared to the same quarter last year. The average return on investment increased from 1.8% to 2.8% year-over-year. The average investment balance of $2.8 billion decreased $321 million as compared to last year. Gross margin increased from 20.6% in 2004 to 23.9% in 2005, due to a combination of record activity levels in Oilfield Services, with operations at capacity in a number of regions, and continued pricing improvements in both Oilfield Services and WesternGeco. As a percentage of revenue, marketing expense was flat compared to last year and research &amp; engineering expense decreased 0.3% from last year. General and administrative expense as a percentage of revenue decreased from 2.9% to 2.7%. Interest expense of $47 million decreased $22.7 million compared to same quarter last year. Excluding the impact of the $73 million charge in 2004 related to the US interest rate swaps described on page 6, average borrowing rates increased from 4.0% to 4.1% compared to the same quarter last year. The average debt balance of $4.6 billion decreased $2.3 billion over the same quarter last year.</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effective tax rate for the first quarter of 2005 was 20.3% compared to 28.4% in the prior year. The rate in 2005 reflects the impact of the $146 million gain on the sale of the Montrouge facility. This transaction allowed for the utilization of a deferred tax asset that was previously offset by a valuation allowance and had the effect of lowering the effective tax rate during the first quarter by 5.5%. The rate in 2004 reflects the impact of the $77 million of costs associated with the repurchase of European bonds, which was not tax effective. Excluding the impact of these transactions, the effective tax rate increased from the first quarter of 2004 to the first quarter of 2005. This increase is primarily attributable to a different geographic mix, with a higher proportion of operating income derived from North America in both Oilfield Services and WesternGeco.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Charges and Credits – Continuing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2005</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March 2005, Schlumberger sold its facility in Montrouge, France to a third party for $230 million resulting in a pretax and after-tax gain, of approximately $146 million, which is classified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This transaction allowed for the utilization of a deferred tax asset that was previously offset by a valuation allowance. Schlumberger also recorded other real estate related pretax charges of approximately $12 million ($11 million after-tax), which are classified in </w:t>
      </w:r>
      <w:r>
        <w:rPr>
          <w:rFonts w:ascii="Times New Roman" w:cs="Times New Roman" w:eastAsia="Times New Roman" w:hAnsi="Times New Roman"/>
          <w:sz w:val="18"/>
          <w:szCs w:val="18"/>
          <w:i w:val="1"/>
          <w:iCs w:val="1"/>
          <w:color w:val="auto"/>
        </w:rPr>
        <w:t>Cost of goods sold and services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Extinguishment Costs</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March 2004, Schlumberger plc (SPLC) accepted tenders for the outstanding £175 million SPLC 6.50% Guaranteed Bonds due 2032. In addition, Schlumberger SA (SSA) bought back €25 million of the outstanding €274 million SSA 5.25% Guaranteed Bonds due 2008 and €7 million of the outstanding €259 million SSA 5.875% Guaranteed Bonds due 2011. As a result, Schlumberger recorded a pretax and after-tax charge of $77 million, which included market and tender premiums, and transaction costs. This charge is classified in </w:t>
      </w:r>
      <w:r>
        <w:rPr>
          <w:rFonts w:ascii="Times New Roman" w:cs="Times New Roman" w:eastAsia="Times New Roman" w:hAnsi="Times New Roman"/>
          <w:sz w:val="18"/>
          <w:szCs w:val="18"/>
          <w:i w:val="1"/>
          <w:iCs w:val="1"/>
          <w:color w:val="auto"/>
        </w:rPr>
        <w:t>Debt extinguishment costs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Charges</w:t>
      </w:r>
    </w:p>
    <w:p>
      <w:pPr>
        <w:spacing w:after="0" w:line="77"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to recognize unrealized losses previously recorded in Other Comprehensive Income. The pretax charge is classified in </w:t>
      </w: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i w:val="1"/>
          <w:iCs w:val="1"/>
          <w:color w:val="auto"/>
        </w:rPr>
        <w:t>Consolidated Statement of Income.</w:t>
      </w:r>
    </w:p>
    <w:p>
      <w:pPr>
        <w:spacing w:after="0" w:line="8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w:t>
      </w:r>
    </w:p>
    <w:p>
      <w:pPr>
        <w:sectPr>
          <w:pgSz w:w="11900" w:h="16838" w:orient="portrait"/>
          <w:cols w:equalWidth="0" w:num="1">
            <w:col w:w="11400"/>
          </w:cols>
          <w:pgMar w:left="240" w:top="272" w:right="259" w:bottom="1440" w:gutter="0" w:footer="0" w:header="0"/>
        </w:sectPr>
      </w:pPr>
    </w:p>
    <w:bookmarkStart w:id="18" w:name="page19"/>
    <w:bookmarkEnd w:id="18"/>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had commenced a restructuring program in order to reduce overhead. Consequently, a pretax charge of $20 million ($14 million after-tax) was taken in the quarter related to a voluntary early retirement program in the United States and is classified in </w:t>
      </w:r>
      <w:r>
        <w:rPr>
          <w:rFonts w:ascii="Times New Roman" w:cs="Times New Roman" w:eastAsia="Times New Roman" w:hAnsi="Times New Roman"/>
          <w:sz w:val="18"/>
          <w:szCs w:val="18"/>
          <w:i w:val="1"/>
          <w:iCs w:val="1"/>
          <w:color w:val="auto"/>
        </w:rPr>
        <w:t>Cost of goods sold&amp; services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of Income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above 2004 charges:</w:t>
      </w:r>
    </w:p>
    <w:p>
      <w:pPr>
        <w:spacing w:after="0" w:line="15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Pretax</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85"/>
              </w:rPr>
              <w:t>Tax</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85"/>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&amp; Credits: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Debt extinguishment costs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Restructuring program charges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Loss on sale of Atos Origin shares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Loss recognized on interest-rate swaps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27876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8702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w:t>
      </w:r>
    </w:p>
    <w:p>
      <w:pPr>
        <w:spacing w:after="0" w:line="79"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 xml:space="preserve">During the first quarter of 2005, Schlumberger completed the sales of its Global Tel*Link, Public Phones and Essentis businesses for $18 million in cash. At December 31, 2004, the assets and liabilities of these businesses that were subsequently eliminated from Schlumberger’s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were aggregated and presented as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($65 million) and </w:t>
      </w:r>
      <w:r>
        <w:rPr>
          <w:rFonts w:ascii="Times New Roman" w:cs="Times New Roman" w:eastAsia="Times New Roman" w:hAnsi="Times New Roman"/>
          <w:sz w:val="18"/>
          <w:szCs w:val="18"/>
          <w:i w:val="1"/>
          <w:iCs w:val="1"/>
          <w:color w:val="auto"/>
        </w:rPr>
        <w:t>Liabilities held for sale</w:t>
      </w:r>
      <w:r>
        <w:rPr>
          <w:rFonts w:ascii="Times New Roman" w:cs="Times New Roman" w:eastAsia="Times New Roman" w:hAnsi="Times New Roman"/>
          <w:sz w:val="18"/>
          <w:szCs w:val="18"/>
          <w:color w:val="auto"/>
        </w:rPr>
        <w:t xml:space="preserve"> ($35 million).</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2004, Schlumberger completed the sales of the following businesses: SchlumbergerSema, Telcom Billing Software, Infodata, Business Continuity, Axalto, Electricity Metering North America and Telecom Messaging.</w:t>
      </w:r>
    </w:p>
    <w:p>
      <w:pPr>
        <w:spacing w:after="0" w:line="106"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 xml:space="preserve">During the first quarter of 2004 Schlumberger recognized gains, net of taxes, related to the divestitures of SchlumbergerSema, Telecom Billing Software and Infodata of $26 million, $17 million and $48 million, respectively. The results of all of these divested business are reported as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these discontinued operations during the first quarter of 2004:</w:t>
      </w:r>
    </w:p>
    <w:p>
      <w:pPr>
        <w:spacing w:after="0" w:line="15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68"/>
        </w:trPr>
        <w:tc>
          <w:tcPr>
            <w:tcW w:w="5580" w:type="dxa"/>
            <w:vAlign w:val="bottom"/>
            <w:gridSpan w:val="2"/>
            <w:vMerge w:val="continue"/>
          </w:tcPr>
          <w:p>
            <w:pPr>
              <w:spacing w:after="0"/>
              <w:rPr>
                <w:sz w:val="5"/>
                <w:szCs w:val="5"/>
                <w:color w:val="auto"/>
              </w:rPr>
            </w:pPr>
          </w:p>
        </w:tc>
        <w:tc>
          <w:tcPr>
            <w:tcW w:w="2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Gains on disposal, net of tax</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first three months of 2005, cash provided by operations was $354 million as net income plus depreciation/amortization and charges/credits, including the gain on the sale of the Montrouge facility, were only partially offset by increases in customer receivables and inventories. Cash used by investing activities was $162 million with proceeds from the sale of the Montrouge facility ($230 million) mainly offset by investments in fixed assets ($315 million). Cash used by financing activities was $192 million as the payment of dividends to shareholders ($110 million), stock repurchase plan ($73 million) and a net reduction in debt of $61 million were only partially offset by the proceeds from employee stock plans ($52 million).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Net Debt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rPr>
              <w:t>(Stated in millions)</w:t>
            </w:r>
          </w:p>
        </w:tc>
        <w:tc>
          <w:tcPr>
            <w:tcW w:w="0" w:type="dxa"/>
            <w:vAlign w:val="bottom"/>
          </w:tcPr>
          <w:p>
            <w:pPr>
              <w:spacing w:after="0"/>
              <w:rPr>
                <w:sz w:val="1"/>
                <w:szCs w:val="1"/>
                <w:color w:val="auto"/>
              </w:rPr>
            </w:pPr>
          </w:p>
        </w:tc>
      </w:tr>
      <w:tr>
        <w:trPr>
          <w:trHeight w:val="272"/>
        </w:trPr>
        <w:tc>
          <w:tcPr>
            <w:tcW w:w="9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beginning of period</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of equity income over dividends received</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Charges and credits, net of tax and minority interest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Increase in working capital requirements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stock plans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Proceeds from business divestitures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the sale of Montrouge facility</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Stock purchase program</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Translation effect on net debt</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end of period</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rPr>
              <w:t>(Stated in millions)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8"/>
        </w:trPr>
        <w:tc>
          <w:tcPr>
            <w:tcW w:w="9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Components of Net Debt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2"/>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$ 3,040</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 and current portion of long-term debt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(622)</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(3,946)</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$(1,300)</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-1701800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-1701800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-1701800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816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first quarter 2005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Operations</w:t>
      </w:r>
    </w:p>
    <w:p>
      <w:pPr>
        <w:spacing w:after="0" w:line="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Schlumberger derives a significant portion of its revenues from non-US operations, which subject Schlumberger to risks which may affect such operations. Schlumberger’s non-US operations accounted for approximately 69% of our consolidated revenues the first quarters of both 2005 and 2004. Risks which may adversely affect our operations in such countries include unsettled political and economic conditions in certain areas, exposure to possible expropriation or other governmental actions, social unrest, acts of terrorism, outbreak of war or other armed conflict, deprivation of contract rights, exchange control and currency fluctuation. In addition, we are subject to risks associated with our operations in countries, including Iran, Syria, Sudan and Libya, which are subject to trade, economic or other restrictions imposed by the US government. Although it is impossible to predict such occurrences or their effects on Schlumberger, management believes these risks are acceptable. Management also believes that the geographical diversification of our activities reduces the risk that loss of operations in any one country would be material to all the operations taken as a whole.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79"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For quantitative and qualitative disclosures about market risk affecting Schlumberger, see Item 7A, “Quantitative Disclosures About Market Risk,” of our Annual Report on Form 10-K for the year ended December 31, 2004. Schlumberger’s exposure to market risk has not changed materially since December 31, 2004.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79"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As of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March 31, 2005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quarter ended March 31, 2005 that has materially affected, or is reasonably likely to materially affect, our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000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Mark of Schlumberger</w:t>
      </w:r>
    </w:p>
    <w:p>
      <w:pPr>
        <w:spacing w:after="0" w:line="15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7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On July 22, 2004, the Board of Directors of Schlumberger approved a share buyback program of up to 15 million shares to be acquired in the open market before December 2006, subject to market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Schlumberger’s common stock repurchase program activity for the quarter ended March 31, 2005.</w:t>
      </w:r>
    </w:p>
    <w:p>
      <w:pPr>
        <w:spacing w:after="0" w:line="15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i w:val="1"/>
          <w:iCs w:val="1"/>
          <w:color w:val="auto"/>
        </w:rPr>
        <w:t>(Stated 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Number</w:t>
            </w: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 Price</w:t>
            </w:r>
          </w:p>
        </w:tc>
        <w:tc>
          <w:tcPr>
            <w:tcW w:w="60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purchased</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6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 per</w:t>
            </w:r>
          </w:p>
        </w:tc>
        <w:tc>
          <w:tcPr>
            <w:tcW w:w="60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 part of publicly</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 purchased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purchased</w:t>
            </w:r>
          </w:p>
        </w:tc>
        <w:tc>
          <w:tcPr>
            <w:tcW w:w="160" w:type="dxa"/>
            <w:vAlign w:val="bottom"/>
          </w:tcPr>
          <w:p>
            <w:pPr>
              <w:spacing w:after="0"/>
              <w:rPr>
                <w:sz w:val="15"/>
                <w:szCs w:val="15"/>
                <w:color w:val="auto"/>
              </w:rPr>
            </w:pPr>
          </w:p>
        </w:tc>
        <w:tc>
          <w:tcPr>
            <w:tcW w:w="6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00" w:type="dxa"/>
            <w:vAlign w:val="bottom"/>
          </w:tcPr>
          <w:p>
            <w:pPr>
              <w:spacing w:after="0"/>
              <w:rPr>
                <w:sz w:val="15"/>
                <w:szCs w:val="15"/>
                <w:color w:val="auto"/>
              </w:rPr>
            </w:pPr>
          </w:p>
        </w:tc>
        <w:tc>
          <w:tcPr>
            <w:tcW w:w="18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announced program</w:t>
            </w: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under the 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through January 31, 2005</w:t>
            </w: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through February 28, 2005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ind w:left="179"/>
              <w:spacing w:after="0"/>
              <w:rPr>
                <w:sz w:val="20"/>
                <w:szCs w:val="20"/>
                <w:color w:val="auto"/>
              </w:rPr>
            </w:pPr>
            <w:r>
              <w:rPr>
                <w:rFonts w:ascii="Times New Roman" w:cs="Times New Roman" w:eastAsia="Times New Roman" w:hAnsi="Times New Roman"/>
                <w:sz w:val="18"/>
                <w:szCs w:val="18"/>
                <w:color w:val="auto"/>
                <w:w w:val="98"/>
              </w:rPr>
              <w:t>68.78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through March 31, 2005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8"/>
                <w:szCs w:val="18"/>
                <w:color w:val="auto"/>
                <w:w w:val="98"/>
              </w:rPr>
              <w:t>73.33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8"/>
                <w:szCs w:val="18"/>
                <w:color w:val="auto"/>
                <w:w w:val="98"/>
              </w:rPr>
              <w:t>72.09</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51879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w:t>
      </w:r>
    </w:p>
    <w:p>
      <w:pPr>
        <w:sectPr>
          <w:pgSz w:w="11900" w:h="16838" w:orient="portrait"/>
          <w:cols w:equalWidth="0" w:num="1">
            <w:col w:w="11420"/>
          </w:cols>
          <w:pgMar w:left="240" w:top="272"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Submission of Matters to a Vote of Security Holders</w:t>
      </w:r>
    </w:p>
    <w:p>
      <w:pPr>
        <w:spacing w:after="0" w:line="79"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General Meeting of Stockholders of the Registrant (“the Meeting”) was held on April 13, 2005.</w:t>
      </w:r>
    </w:p>
    <w:p>
      <w:pPr>
        <w:spacing w:after="0" w:line="76"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the number of Directors was fixed at 12 and the following 12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except Michael E. Marks and Rana Talwar, were directors who were previously elected by the stockholders.</w:t>
      </w:r>
    </w:p>
    <w:p>
      <w:pPr>
        <w:spacing w:after="0" w:line="12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John Deutch</w:t>
      </w:r>
    </w:p>
    <w:p>
      <w:pPr>
        <w:spacing w:after="0" w:line="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Jamie S. Gorelick</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Andrew Gould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Tony Isaac</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Adrian Lajous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André Lévy-Lang</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Michael E. Marks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Didier Primat</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Tore I. Sandvold</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Nicolas Seydoux</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Linda Gillespie Stuntz</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Rana Talwar</w:t>
      </w:r>
    </w:p>
    <w:p>
      <w:pPr>
        <w:spacing w:after="0" w:line="145" w:lineRule="exact"/>
        <w:rPr>
          <w:sz w:val="20"/>
          <w:szCs w:val="20"/>
          <w:color w:val="auto"/>
        </w:rPr>
      </w:pPr>
    </w:p>
    <w:p>
      <w:pPr>
        <w:ind w:left="460" w:right="40" w:hanging="452"/>
        <w:spacing w:after="0" w:line="255" w:lineRule="auto"/>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Meeting also voted (i) to adopt and approve the Company’s Consolidated Balance Sheet as at December 31, 2004, its Consolidated Statement of Income for the year ended December 31, 2004, and the declaration of dividends reflected in the Company’s 2004 Annual Report to Stockholders; (ii) to approve mandatory amendments to the Company’s Articles of Incorporation; (iii) to approve voluntary amendments to the Articles of Incorporation; (iv) to approve and adopt the Schlumberger 2005 Stock Option Plan; (v) to approve and adopt an amendment to the Schlumberger Discounted Stock Purchase Plan and (vi) to approve the appointment of PricewaterhouseCoopers LLP as the independent registered public accounting firm to audit the accounts of the Company for the year 2005.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votes cast were as follows:</w:t>
      </w:r>
    </w:p>
    <w:p>
      <w:pPr>
        <w:spacing w:after="0" w:line="155" w:lineRule="exact"/>
        <w:rPr>
          <w:sz w:val="20"/>
          <w:szCs w:val="20"/>
          <w:color w:val="auto"/>
        </w:rPr>
      </w:pPr>
    </w:p>
    <w:tbl>
      <w:tblPr>
        <w:tblLayout w:type="fixed"/>
        <w:tblInd w:w="2180" w:type="dxa"/>
        <w:tblCellMar>
          <w:top w:w="0" w:type="dxa"/>
          <w:left w:w="0" w:type="dxa"/>
          <w:bottom w:w="0" w:type="dxa"/>
          <w:right w:w="0" w:type="dxa"/>
        </w:tblCellMar>
      </w:tblPr>
      <w:tr>
        <w:trPr>
          <w:trHeight w:val="17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70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Withheld</w:t>
            </w:r>
          </w:p>
        </w:tc>
      </w:tr>
      <w:tr>
        <w:trPr>
          <w:trHeight w:val="95"/>
        </w:trPr>
        <w:tc>
          <w:tcPr>
            <w:tcW w:w="66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303"/>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Deutch</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357,396,755</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136,667,686</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S. Gorelick</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488,854,213</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5,210,228</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Gould</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484,777,456</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9,286,985</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Isaac</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489,369,815</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4,694,626</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Lajous</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489,379,712</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4,684,729</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André Lévy-Lang</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484,402,996</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9,661,445</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Marks</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489,286,937</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4,777,504</w:t>
            </w:r>
          </w:p>
        </w:tc>
      </w:tr>
      <w:tr>
        <w:trPr>
          <w:trHeight w:val="23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Didier Primat</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424,786,130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69,278,311</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Tore I. Sandvold</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489,220,317</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4,844,124</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Nicolas Seydoux</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484,591,042</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9,473,399</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G. Stuntz</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484,692,880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9,371,561</w:t>
            </w:r>
          </w:p>
        </w:tc>
      </w:tr>
      <w:tr>
        <w:trPr>
          <w:trHeight w:val="22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Rana Talwar</w:t>
            </w:r>
          </w:p>
        </w:tc>
        <w:tc>
          <w:tcPr>
            <w:tcW w:w="2160" w:type="dxa"/>
            <w:vAlign w:val="bottom"/>
            <w:gridSpan w:val="2"/>
          </w:tcPr>
          <w:p>
            <w:pPr>
              <w:jc w:val="center"/>
              <w:ind w:left="1192"/>
              <w:spacing w:after="0"/>
              <w:rPr>
                <w:sz w:val="20"/>
                <w:szCs w:val="20"/>
                <w:color w:val="auto"/>
              </w:rPr>
            </w:pPr>
            <w:r>
              <w:rPr>
                <w:rFonts w:ascii="Times New Roman" w:cs="Times New Roman" w:eastAsia="Times New Roman" w:hAnsi="Times New Roman"/>
                <w:sz w:val="18"/>
                <w:szCs w:val="18"/>
                <w:color w:val="auto"/>
                <w:w w:val="97"/>
              </w:rPr>
              <w:t>488,832,584</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5,231,857</w:t>
            </w:r>
          </w:p>
        </w:tc>
      </w:tr>
      <w:tr>
        <w:trPr>
          <w:trHeight w:val="513"/>
        </w:trPr>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6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-22-</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272" w:right="259"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1180" w:type="dxa"/>
            <w:vAlign w:val="bottom"/>
          </w:tcPr>
          <w:p>
            <w:pPr>
              <w:spacing w:after="0"/>
              <w:rPr>
                <w:sz w:val="15"/>
                <w:szCs w:val="15"/>
                <w:color w:val="auto"/>
              </w:rPr>
            </w:pPr>
          </w:p>
        </w:tc>
        <w:tc>
          <w:tcPr>
            <w:tcW w:w="34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6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95"/>
        </w:trPr>
        <w:tc>
          <w:tcPr>
            <w:tcW w:w="1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4640" w:type="dxa"/>
            <w:vAlign w:val="bottom"/>
            <w:gridSpan w:val="5"/>
          </w:tcPr>
          <w:p>
            <w:pPr>
              <w:jc w:val="center"/>
              <w:ind w:right="2000"/>
              <w:spacing w:after="0"/>
              <w:rPr>
                <w:sz w:val="20"/>
                <w:szCs w:val="20"/>
                <w:color w:val="auto"/>
              </w:rPr>
            </w:pPr>
            <w:r>
              <w:rPr>
                <w:rFonts w:ascii="Times New Roman" w:cs="Times New Roman" w:eastAsia="Times New Roman" w:hAnsi="Times New Roman"/>
                <w:sz w:val="18"/>
                <w:szCs w:val="18"/>
                <w:color w:val="auto"/>
                <w:w w:val="97"/>
              </w:rPr>
              <w:t>478,363,520</w:t>
            </w:r>
          </w:p>
        </w:tc>
        <w:tc>
          <w:tcPr>
            <w:tcW w:w="8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5"/>
              </w:rPr>
              <w:t>591,227</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80" w:type="dxa"/>
            <w:vAlign w:val="bottom"/>
            <w:gridSpan w:val="3"/>
          </w:tcPr>
          <w:p>
            <w:pPr>
              <w:jc w:val="center"/>
              <w:ind w:left="1392"/>
              <w:spacing w:after="0"/>
              <w:rPr>
                <w:sz w:val="20"/>
                <w:szCs w:val="20"/>
                <w:color w:val="auto"/>
              </w:rPr>
            </w:pPr>
            <w:r>
              <w:rPr>
                <w:rFonts w:ascii="Times New Roman" w:cs="Times New Roman" w:eastAsia="Times New Roman" w:hAnsi="Times New Roman"/>
                <w:sz w:val="18"/>
                <w:szCs w:val="18"/>
                <w:color w:val="auto"/>
                <w:w w:val="98"/>
              </w:rPr>
              <w:t>15,109,694</w:t>
            </w:r>
          </w:p>
        </w:tc>
      </w:tr>
      <w:tr>
        <w:trPr>
          <w:trHeight w:val="473"/>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Mandatory Amendments to the Articles of Incorporation: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0"/>
        </w:trPr>
        <w:tc>
          <w:tcPr>
            <w:tcW w:w="118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6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95"/>
        </w:trPr>
        <w:tc>
          <w:tcPr>
            <w:tcW w:w="1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4640" w:type="dxa"/>
            <w:vAlign w:val="bottom"/>
            <w:gridSpan w:val="5"/>
          </w:tcPr>
          <w:p>
            <w:pPr>
              <w:jc w:val="center"/>
              <w:ind w:right="2000"/>
              <w:spacing w:after="0"/>
              <w:rPr>
                <w:sz w:val="20"/>
                <w:szCs w:val="20"/>
                <w:color w:val="auto"/>
              </w:rPr>
            </w:pPr>
            <w:r>
              <w:rPr>
                <w:rFonts w:ascii="Times New Roman" w:cs="Times New Roman" w:eastAsia="Times New Roman" w:hAnsi="Times New Roman"/>
                <w:sz w:val="18"/>
                <w:szCs w:val="18"/>
                <w:color w:val="auto"/>
                <w:w w:val="97"/>
              </w:rPr>
              <w:t>413,035,653</w:t>
            </w:r>
          </w:p>
        </w:tc>
        <w:tc>
          <w:tcPr>
            <w:tcW w:w="94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97"/>
              </w:rPr>
              <w:t>7,638,426</w:t>
            </w:r>
          </w:p>
        </w:tc>
        <w:tc>
          <w:tcPr>
            <w:tcW w:w="1560" w:type="dxa"/>
            <w:vAlign w:val="bottom"/>
          </w:tcPr>
          <w:p>
            <w:pPr>
              <w:spacing w:after="0"/>
              <w:rPr>
                <w:sz w:val="24"/>
                <w:szCs w:val="24"/>
                <w:color w:val="auto"/>
              </w:rPr>
            </w:pPr>
          </w:p>
        </w:tc>
        <w:tc>
          <w:tcPr>
            <w:tcW w:w="2280" w:type="dxa"/>
            <w:vAlign w:val="bottom"/>
            <w:gridSpan w:val="3"/>
          </w:tcPr>
          <w:p>
            <w:pPr>
              <w:jc w:val="center"/>
              <w:ind w:left="1372"/>
              <w:spacing w:after="0"/>
              <w:rPr>
                <w:sz w:val="20"/>
                <w:szCs w:val="20"/>
                <w:color w:val="auto"/>
              </w:rPr>
            </w:pPr>
            <w:r>
              <w:rPr>
                <w:rFonts w:ascii="Times New Roman" w:cs="Times New Roman" w:eastAsia="Times New Roman" w:hAnsi="Times New Roman"/>
                <w:sz w:val="18"/>
                <w:szCs w:val="18"/>
                <w:color w:val="auto"/>
                <w:w w:val="97"/>
              </w:rPr>
              <w:t>5,125,597</w:t>
            </w:r>
          </w:p>
        </w:tc>
      </w:tr>
      <w:tr>
        <w:trPr>
          <w:trHeight w:val="581"/>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Voluntary Amendments to the Articles of Incorporation: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6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95"/>
        </w:trPr>
        <w:tc>
          <w:tcPr>
            <w:tcW w:w="1240" w:type="dxa"/>
            <w:vAlign w:val="bottom"/>
            <w:gridSpan w:val="2"/>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31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464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color w:val="auto"/>
                <w:w w:val="97"/>
              </w:rPr>
              <w:t>409,295,837</w:t>
            </w:r>
          </w:p>
        </w:tc>
        <w:tc>
          <w:tcPr>
            <w:tcW w:w="250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w w:val="96"/>
              </w:rPr>
              <w:t>11,178,638</w:t>
            </w:r>
          </w:p>
        </w:tc>
        <w:tc>
          <w:tcPr>
            <w:tcW w:w="2280" w:type="dxa"/>
            <w:vAlign w:val="bottom"/>
            <w:gridSpan w:val="3"/>
          </w:tcPr>
          <w:p>
            <w:pPr>
              <w:jc w:val="center"/>
              <w:ind w:left="1372"/>
              <w:spacing w:after="0"/>
              <w:rPr>
                <w:sz w:val="20"/>
                <w:szCs w:val="20"/>
                <w:color w:val="auto"/>
              </w:rPr>
            </w:pPr>
            <w:r>
              <w:rPr>
                <w:rFonts w:ascii="Times New Roman" w:cs="Times New Roman" w:eastAsia="Times New Roman" w:hAnsi="Times New Roman"/>
                <w:sz w:val="18"/>
                <w:szCs w:val="18"/>
                <w:color w:val="auto"/>
                <w:w w:val="97"/>
              </w:rPr>
              <w:t>5,325,201</w:t>
            </w:r>
          </w:p>
        </w:tc>
      </w:tr>
      <w:tr>
        <w:trPr>
          <w:trHeight w:val="473"/>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Schlumberger 2005 Stock Option Plan: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6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95"/>
        </w:trPr>
        <w:tc>
          <w:tcPr>
            <w:tcW w:w="1240" w:type="dxa"/>
            <w:vAlign w:val="bottom"/>
            <w:gridSpan w:val="2"/>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31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464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color w:val="auto"/>
                <w:w w:val="97"/>
              </w:rPr>
              <w:t>410,619,746</w:t>
            </w:r>
          </w:p>
        </w:tc>
        <w:tc>
          <w:tcPr>
            <w:tcW w:w="250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w w:val="98"/>
              </w:rPr>
              <w:t>10,598,931</w:t>
            </w:r>
          </w:p>
        </w:tc>
        <w:tc>
          <w:tcPr>
            <w:tcW w:w="2280" w:type="dxa"/>
            <w:vAlign w:val="bottom"/>
            <w:gridSpan w:val="3"/>
          </w:tcPr>
          <w:p>
            <w:pPr>
              <w:jc w:val="center"/>
              <w:ind w:left="1372"/>
              <w:spacing w:after="0"/>
              <w:rPr>
                <w:sz w:val="20"/>
                <w:szCs w:val="20"/>
                <w:color w:val="auto"/>
              </w:rPr>
            </w:pPr>
            <w:r>
              <w:rPr>
                <w:rFonts w:ascii="Times New Roman" w:cs="Times New Roman" w:eastAsia="Times New Roman" w:hAnsi="Times New Roman"/>
                <w:sz w:val="18"/>
                <w:szCs w:val="18"/>
                <w:color w:val="auto"/>
                <w:w w:val="97"/>
              </w:rPr>
              <w:t>4,580,999</w:t>
            </w:r>
          </w:p>
        </w:tc>
      </w:tr>
      <w:tr>
        <w:trPr>
          <w:trHeight w:val="473"/>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Amendment to Schlumberger Discounted Stock Purchase Plan: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118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6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95"/>
        </w:trPr>
        <w:tc>
          <w:tcPr>
            <w:tcW w:w="118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31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4640" w:type="dxa"/>
            <w:vAlign w:val="bottom"/>
            <w:gridSpan w:val="5"/>
          </w:tcPr>
          <w:p>
            <w:pPr>
              <w:jc w:val="center"/>
              <w:ind w:right="2000"/>
              <w:spacing w:after="0"/>
              <w:rPr>
                <w:sz w:val="20"/>
                <w:szCs w:val="20"/>
                <w:color w:val="auto"/>
              </w:rPr>
            </w:pPr>
            <w:r>
              <w:rPr>
                <w:rFonts w:ascii="Times New Roman" w:cs="Times New Roman" w:eastAsia="Times New Roman" w:hAnsi="Times New Roman"/>
                <w:sz w:val="18"/>
                <w:szCs w:val="18"/>
                <w:color w:val="auto"/>
                <w:w w:val="97"/>
              </w:rPr>
              <w:t>417,754,868</w:t>
            </w:r>
          </w:p>
        </w:tc>
        <w:tc>
          <w:tcPr>
            <w:tcW w:w="94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97"/>
              </w:rPr>
              <w:t>3,495,272</w:t>
            </w:r>
          </w:p>
        </w:tc>
        <w:tc>
          <w:tcPr>
            <w:tcW w:w="1560" w:type="dxa"/>
            <w:vAlign w:val="bottom"/>
          </w:tcPr>
          <w:p>
            <w:pPr>
              <w:spacing w:after="0"/>
              <w:rPr>
                <w:sz w:val="24"/>
                <w:szCs w:val="24"/>
                <w:color w:val="auto"/>
              </w:rPr>
            </w:pPr>
          </w:p>
        </w:tc>
        <w:tc>
          <w:tcPr>
            <w:tcW w:w="2280" w:type="dxa"/>
            <w:vAlign w:val="bottom"/>
            <w:gridSpan w:val="3"/>
          </w:tcPr>
          <w:p>
            <w:pPr>
              <w:jc w:val="center"/>
              <w:ind w:left="1372"/>
              <w:spacing w:after="0"/>
              <w:rPr>
                <w:sz w:val="20"/>
                <w:szCs w:val="20"/>
                <w:color w:val="auto"/>
              </w:rPr>
            </w:pPr>
            <w:r>
              <w:rPr>
                <w:rFonts w:ascii="Times New Roman" w:cs="Times New Roman" w:eastAsia="Times New Roman" w:hAnsi="Times New Roman"/>
                <w:sz w:val="18"/>
                <w:szCs w:val="18"/>
                <w:color w:val="auto"/>
                <w:w w:val="97"/>
              </w:rPr>
              <w:t>4,549,536</w:t>
            </w:r>
          </w:p>
        </w:tc>
      </w:tr>
      <w:tr>
        <w:trPr>
          <w:trHeight w:val="473"/>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PricewaterhouseCoopers: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6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95"/>
        </w:trPr>
        <w:tc>
          <w:tcPr>
            <w:tcW w:w="1240" w:type="dxa"/>
            <w:vAlign w:val="bottom"/>
            <w:gridSpan w:val="2"/>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31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464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color w:val="auto"/>
                <w:w w:val="97"/>
              </w:rPr>
              <w:t>484,469,619</w:t>
            </w:r>
          </w:p>
        </w:tc>
        <w:tc>
          <w:tcPr>
            <w:tcW w:w="250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w w:val="97"/>
              </w:rPr>
              <w:t>5,678,875</w:t>
            </w:r>
          </w:p>
        </w:tc>
        <w:tc>
          <w:tcPr>
            <w:tcW w:w="2280" w:type="dxa"/>
            <w:vAlign w:val="bottom"/>
            <w:gridSpan w:val="3"/>
          </w:tcPr>
          <w:p>
            <w:pPr>
              <w:jc w:val="center"/>
              <w:ind w:left="1372"/>
              <w:spacing w:after="0"/>
              <w:rPr>
                <w:sz w:val="20"/>
                <w:szCs w:val="20"/>
                <w:color w:val="auto"/>
              </w:rPr>
            </w:pPr>
            <w:r>
              <w:rPr>
                <w:rFonts w:ascii="Times New Roman" w:cs="Times New Roman" w:eastAsia="Times New Roman" w:hAnsi="Times New Roman"/>
                <w:sz w:val="18"/>
                <w:szCs w:val="18"/>
                <w:color w:val="auto"/>
                <w:w w:val="97"/>
              </w:rPr>
              <w:t>3,915,947</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79" w:lineRule="exact"/>
        <w:rPr>
          <w:sz w:val="20"/>
          <w:szCs w:val="20"/>
          <w:color w:val="auto"/>
        </w:rPr>
      </w:pPr>
    </w:p>
    <w:p>
      <w:pPr>
        <w:ind w:left="460" w:right="460"/>
        <w:spacing w:after="0" w:line="325" w:lineRule="auto"/>
        <w:rPr>
          <w:sz w:val="20"/>
          <w:szCs w:val="20"/>
          <w:color w:val="auto"/>
        </w:rPr>
      </w:pPr>
      <w:r>
        <w:rPr>
          <w:rFonts w:ascii="Times New Roman" w:cs="Times New Roman" w:eastAsia="Times New Roman" w:hAnsi="Times New Roman"/>
          <w:sz w:val="16"/>
          <w:szCs w:val="16"/>
          <w:color w:val="auto"/>
        </w:rPr>
        <w:t>Exhibit 3.1 Articles of Incorporation of Schlumberger Limited (Schlumberger N.V.) as last amended and restated on April 13, 2005 (incorporated by reference to Appendix 1 to Schlumberger’s definitive proxy statement for the 2005 Annual General Meeting of Stockholders held on April 13, 2005).</w:t>
      </w:r>
    </w:p>
    <w:p>
      <w:pPr>
        <w:spacing w:after="0" w:line="1" w:lineRule="exact"/>
        <w:rPr>
          <w:sz w:val="20"/>
          <w:szCs w:val="20"/>
          <w:color w:val="auto"/>
        </w:rPr>
      </w:pPr>
    </w:p>
    <w:p>
      <w:pPr>
        <w:ind w:left="460" w:right="380"/>
        <w:spacing w:after="0" w:line="275" w:lineRule="auto"/>
        <w:rPr>
          <w:sz w:val="20"/>
          <w:szCs w:val="20"/>
          <w:color w:val="auto"/>
        </w:rPr>
      </w:pPr>
      <w:r>
        <w:rPr>
          <w:rFonts w:ascii="Times New Roman" w:cs="Times New Roman" w:eastAsia="Times New Roman" w:hAnsi="Times New Roman"/>
          <w:sz w:val="18"/>
          <w:szCs w:val="18"/>
          <w:color w:val="auto"/>
        </w:rPr>
        <w:t>Exhibit 3.2 Amended and Restated Bylaws of Schlumberger Limited (Schlumberger N.V.) (incorporated by reference to Exhibit 3.1 to Schlumberger’s Current Report on Form 8-K filed on April 22, 2005).</w:t>
      </w:r>
    </w:p>
    <w:p>
      <w:pPr>
        <w:spacing w:after="0" w:line="25" w:lineRule="exact"/>
        <w:rPr>
          <w:sz w:val="20"/>
          <w:szCs w:val="20"/>
          <w:color w:val="auto"/>
        </w:rPr>
      </w:pPr>
    </w:p>
    <w:p>
      <w:pPr>
        <w:ind w:left="460" w:right="100"/>
        <w:spacing w:after="0" w:line="275" w:lineRule="auto"/>
        <w:rPr>
          <w:sz w:val="20"/>
          <w:szCs w:val="20"/>
          <w:color w:val="auto"/>
        </w:rPr>
      </w:pPr>
      <w:r>
        <w:rPr>
          <w:rFonts w:ascii="Times New Roman" w:cs="Times New Roman" w:eastAsia="Times New Roman" w:hAnsi="Times New Roman"/>
          <w:sz w:val="18"/>
          <w:szCs w:val="18"/>
          <w:color w:val="auto"/>
        </w:rPr>
        <w:t>Exhibit 10.1 Form of Indemnification Agreement (incorporated by reference to Exhibit 10.1 to Schlumberger’s Current Report on Form 8-K filed on April 22, 2005).</w:t>
      </w:r>
    </w:p>
    <w:p>
      <w:pPr>
        <w:spacing w:after="0" w:line="25" w:lineRule="exact"/>
        <w:rPr>
          <w:sz w:val="20"/>
          <w:szCs w:val="20"/>
          <w:color w:val="auto"/>
        </w:rPr>
      </w:pPr>
    </w:p>
    <w:p>
      <w:pPr>
        <w:ind w:left="460" w:right="40"/>
        <w:spacing w:after="0" w:line="275" w:lineRule="auto"/>
        <w:rPr>
          <w:sz w:val="20"/>
          <w:szCs w:val="20"/>
          <w:color w:val="auto"/>
        </w:rPr>
      </w:pPr>
      <w:r>
        <w:rPr>
          <w:rFonts w:ascii="Times New Roman" w:cs="Times New Roman" w:eastAsia="Times New Roman" w:hAnsi="Times New Roman"/>
          <w:sz w:val="18"/>
          <w:szCs w:val="18"/>
          <w:color w:val="auto"/>
        </w:rPr>
        <w:t>Exhibit 31.1 Certification of Chief Executive Officer pursuant to Form of Rule 13a-14(a) as Adopted Pursuant to Section 302 of the Sarbanes-Oxley Act of 2002.</w:t>
      </w:r>
    </w:p>
    <w:p>
      <w:pPr>
        <w:spacing w:after="0" w:line="25" w:lineRule="exact"/>
        <w:rPr>
          <w:sz w:val="20"/>
          <w:szCs w:val="20"/>
          <w:color w:val="auto"/>
        </w:rPr>
      </w:pPr>
    </w:p>
    <w:p>
      <w:pPr>
        <w:ind w:left="460" w:right="80"/>
        <w:spacing w:after="0" w:line="275" w:lineRule="auto"/>
        <w:rPr>
          <w:sz w:val="20"/>
          <w:szCs w:val="20"/>
          <w:color w:val="auto"/>
        </w:rPr>
      </w:pPr>
      <w:r>
        <w:rPr>
          <w:rFonts w:ascii="Times New Roman" w:cs="Times New Roman" w:eastAsia="Times New Roman" w:hAnsi="Times New Roman"/>
          <w:sz w:val="18"/>
          <w:szCs w:val="18"/>
          <w:color w:val="auto"/>
        </w:rPr>
        <w:t>Exhibit 31.2 Certification of Chief Financial Officer pursuant to Form of Rule 13a-14(a) as Adopted Pursuant to Section 302 of the Sarbanes-Oxley Act of 2002.</w:t>
      </w:r>
    </w:p>
    <w:p>
      <w:pPr>
        <w:spacing w:after="0" w:line="25"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8"/>
          <w:szCs w:val="18"/>
          <w:color w:val="auto"/>
        </w:rPr>
        <w:t>Exhibit 32.1 Certification of Chief Executive Officer pursuant to 18 U.S.C. Section 1350, as Adopted Pursuant to Section 906 of the Sarbanes-Oxley Act of 2002.</w:t>
      </w:r>
    </w:p>
    <w:p>
      <w:pPr>
        <w:spacing w:after="0" w:line="25"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8"/>
          <w:szCs w:val="18"/>
          <w:color w:val="auto"/>
        </w:rPr>
        <w:t>Exhibit 32.2 Certification Chief Financial Officer pursuant to 18 U.S.C. Section 1350, as Adopted Pursuant to Section 906 of the Sarbanes-Oxley Act of 2002.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4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April 28, 2005</w:t>
      </w:r>
      <w:r>
        <w:rPr>
          <w:sz w:val="20"/>
          <w:szCs w:val="20"/>
          <w:color w:val="auto"/>
        </w:rPr>
        <w:tab/>
      </w:r>
      <w:r>
        <w:rPr>
          <w:rFonts w:ascii="Times New Roman" w:cs="Times New Roman" w:eastAsia="Times New Roman" w:hAnsi="Times New Roman"/>
          <w:sz w:val="16"/>
          <w:szCs w:val="16"/>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83820</wp:posOffset>
            </wp:positionV>
            <wp:extent cx="32499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A. Sorgie</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Accounting Officer and Duly Authorized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Signatory</w:t>
      </w:r>
    </w:p>
    <w:p>
      <w:pPr>
        <w:spacing w:after="0" w:line="15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-24-</w:t>
      </w:r>
    </w:p>
    <w:p>
      <w:pPr>
        <w:sectPr>
          <w:pgSz w:w="11900" w:h="16838" w:orient="portrait"/>
          <w:cols w:equalWidth="0" w:num="1">
            <w:col w:w="11000"/>
          </w:cols>
          <w:pgMar w:left="240" w:top="274" w:right="6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Gould, certify that:</w:t>
      </w:r>
    </w:p>
    <w:p>
      <w:pPr>
        <w:spacing w:after="0" w:line="77"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57"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jc w:val="both"/>
        <w:ind w:right="120" w:firstLine="8"/>
        <w:spacing w:after="0" w:line="262" w:lineRule="auto"/>
        <w:tabs>
          <w:tab w:leader="none" w:pos="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7" w:lineRule="exact"/>
        <w:rPr>
          <w:rFonts w:ascii="Times New Roman" w:cs="Times New Roman" w:eastAsia="Times New Roman" w:hAnsi="Times New Roman"/>
          <w:sz w:val="18"/>
          <w:szCs w:val="18"/>
          <w:color w:val="auto"/>
        </w:rPr>
      </w:pPr>
    </w:p>
    <w:p>
      <w:pPr>
        <w:ind w:firstLine="464"/>
        <w:spacing w:after="0" w:line="262" w:lineRule="auto"/>
        <w:tabs>
          <w:tab w:leader="none" w:pos="6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right="120" w:firstLine="464"/>
        <w:spacing w:after="0" w:line="262" w:lineRule="auto"/>
        <w:tabs>
          <w:tab w:leader="none" w:pos="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right="160" w:firstLine="464"/>
        <w:spacing w:after="0" w:line="275" w:lineRule="auto"/>
        <w:tabs>
          <w:tab w:leader="none" w:pos="6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8"/>
          <w:szCs w:val="18"/>
          <w:color w:val="auto"/>
        </w:rPr>
      </w:pPr>
    </w:p>
    <w:p>
      <w:pPr>
        <w:ind w:right="20" w:firstLine="464"/>
        <w:spacing w:after="0" w:line="262" w:lineRule="auto"/>
        <w:tabs>
          <w:tab w:leader="none" w:pos="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80" w:firstLine="8"/>
        <w:spacing w:after="0" w:line="275" w:lineRule="auto"/>
        <w:tabs>
          <w:tab w:leader="none" w:pos="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right="100" w:firstLine="464"/>
        <w:spacing w:after="0" w:line="275" w:lineRule="auto"/>
        <w:tabs>
          <w:tab w:leader="none" w:pos="6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8"/>
          <w:szCs w:val="18"/>
          <w:color w:val="auto"/>
        </w:rPr>
      </w:pPr>
    </w:p>
    <w:p>
      <w:pPr>
        <w:ind w:right="320" w:firstLine="464"/>
        <w:spacing w:after="0" w:line="275" w:lineRule="auto"/>
        <w:tabs>
          <w:tab w:leader="none" w:pos="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 April 28, 2005</w:t>
      </w:r>
      <w:r>
        <w:rPr>
          <w:sz w:val="20"/>
          <w:szCs w:val="20"/>
          <w:color w:val="auto"/>
        </w:rPr>
        <w:tab/>
      </w:r>
      <w:r>
        <w:rPr>
          <w:rFonts w:ascii="Times New Roman" w:cs="Times New Roman" w:eastAsia="Times New Roman" w:hAnsi="Times New Roman"/>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83820</wp:posOffset>
            </wp:positionV>
            <wp:extent cx="35502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Andrew Gould</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3"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Perraud, certify that:</w:t>
      </w:r>
    </w:p>
    <w:p>
      <w:pPr>
        <w:spacing w:after="0" w:line="77"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57"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jc w:val="both"/>
        <w:ind w:right="120" w:firstLine="8"/>
        <w:spacing w:after="0" w:line="262"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7" w:lineRule="exact"/>
        <w:rPr>
          <w:rFonts w:ascii="Times New Roman" w:cs="Times New Roman" w:eastAsia="Times New Roman" w:hAnsi="Times New Roman"/>
          <w:sz w:val="18"/>
          <w:szCs w:val="18"/>
          <w:color w:val="auto"/>
        </w:rPr>
      </w:pPr>
    </w:p>
    <w:p>
      <w:pPr>
        <w:ind w:firstLine="464"/>
        <w:spacing w:after="0" w:line="262" w:lineRule="auto"/>
        <w:tabs>
          <w:tab w:leader="none" w:pos="6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right="120" w:firstLine="464"/>
        <w:spacing w:after="0" w:line="262" w:lineRule="auto"/>
        <w:tabs>
          <w:tab w:leader="none" w:pos="6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right="160" w:firstLine="464"/>
        <w:spacing w:after="0" w:line="275" w:lineRule="auto"/>
        <w:tabs>
          <w:tab w:leader="none" w:pos="6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8"/>
          <w:szCs w:val="18"/>
          <w:color w:val="auto"/>
        </w:rPr>
      </w:pPr>
    </w:p>
    <w:p>
      <w:pPr>
        <w:ind w:right="20" w:firstLine="464"/>
        <w:spacing w:after="0" w:line="262" w:lineRule="auto"/>
        <w:tabs>
          <w:tab w:leader="none" w:pos="6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80" w:firstLine="8"/>
        <w:spacing w:after="0" w:line="275"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right="100" w:firstLine="464"/>
        <w:spacing w:after="0" w:line="275" w:lineRule="auto"/>
        <w:tabs>
          <w:tab w:leader="none" w:pos="6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8"/>
          <w:szCs w:val="18"/>
          <w:color w:val="auto"/>
        </w:rPr>
      </w:pPr>
    </w:p>
    <w:p>
      <w:pPr>
        <w:ind w:right="320" w:firstLine="464"/>
        <w:spacing w:after="0" w:line="275" w:lineRule="auto"/>
        <w:tabs>
          <w:tab w:leader="none" w:pos="6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April 28, 2005</w:t>
      </w:r>
      <w:r>
        <w:rPr>
          <w:sz w:val="20"/>
          <w:szCs w:val="20"/>
          <w:color w:val="auto"/>
        </w:rPr>
        <w:tab/>
      </w:r>
      <w:r>
        <w:rPr>
          <w:rFonts w:ascii="Times New Roman" w:cs="Times New Roman" w:eastAsia="Times New Roman" w:hAnsi="Times New Roman"/>
          <w:sz w:val="16"/>
          <w:szCs w:val="16"/>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83820</wp:posOffset>
            </wp:positionV>
            <wp:extent cx="32499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Jean-Marc Perraud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Schlumberger N.V. (Schlumberger Limited) (the “Company”) on Form 10-Q for the quarterly period March 31, 2005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April 28, 2005</w:t>
      </w:r>
      <w:r>
        <w:rPr>
          <w:sz w:val="20"/>
          <w:szCs w:val="20"/>
          <w:color w:val="auto"/>
        </w:rPr>
        <w:tab/>
      </w:r>
      <w:r>
        <w:rPr>
          <w:rFonts w:ascii="Times New Roman" w:cs="Times New Roman" w:eastAsia="Times New Roman" w:hAnsi="Times New Roman"/>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83820</wp:posOffset>
            </wp:positionV>
            <wp:extent cx="32499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Andrew Gould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4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123"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Schlumberger N.V. (Schlumberger Limited) (the “Company”) on Form 10-Q for the quarterly period March 31, 2005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April 28, 2005</w:t>
      </w:r>
      <w:r>
        <w:rPr>
          <w:sz w:val="20"/>
          <w:szCs w:val="20"/>
          <w:color w:val="auto"/>
        </w:rPr>
        <w:tab/>
      </w:r>
      <w:r>
        <w:rPr>
          <w:rFonts w:ascii="Times New Roman" w:cs="Times New Roman" w:eastAsia="Times New Roman" w:hAnsi="Times New Roman"/>
          <w:sz w:val="16"/>
          <w:szCs w:val="16"/>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83820</wp:posOffset>
            </wp:positionV>
            <wp:extent cx="32499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Jean-Marc Perraud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12"/>
    </w:lvl>
  </w:abstractNum>
  <w:abstractNum w:abstractNumId="10">
    <w:nsid w:val="1BEFD79F"/>
    <w:multiLevelType w:val="hybridMultilevel"/>
    <w:lvl w:ilvl="0">
      <w:lvlJc w:val="left"/>
      <w:lvlText w:val="%1."/>
      <w:numFmt w:val="decimal"/>
      <w:start w:val="13"/>
    </w:lvl>
  </w:abstractNum>
  <w:abstractNum w:abstractNumId="11">
    <w:nsid w:val="41A7C4C9"/>
    <w:multiLevelType w:val="hybridMultilevel"/>
    <w:lvl w:ilvl="0">
      <w:lvlJc w:val="left"/>
      <w:lvlText w:val="%1."/>
      <w:numFmt w:val="decimal"/>
      <w:start w:val="14"/>
    </w:lvl>
  </w:abstractNum>
  <w:abstractNum w:abstractNumId="12">
    <w:nsid w:val="6B68079A"/>
    <w:multiLevelType w:val="hybridMultilevel"/>
    <w:lvl w:ilvl="0">
      <w:lvlJc w:val="left"/>
      <w:lvlText w:val="%1."/>
      <w:numFmt w:val="decimal"/>
      <w:start w:val="15"/>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6"/>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2019-12-13T06:40:54Z</dcterms:created>
  <dcterms:modified xsi:type="dcterms:W3CDTF">2019-12-13T06:40:54Z</dcterms:modified>
</cp:coreProperties>
</file>