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924" w:type="dxa"/>
        <w:tblCellMar>
          <w:top w:w="0" w:type="dxa"/>
          <w:left w:w="0" w:type="dxa"/>
          <w:bottom w:w="0" w:type="dxa"/>
          <w:right w:w="0" w:type="dxa"/>
        </w:tblCellMar>
      </w:tblPr>
      <w:tr>
        <w:trPr>
          <w:trHeight w:val="214"/>
        </w:trPr>
        <w:tc>
          <w:tcPr>
            <w:tcW w:w="3700" w:type="dxa"/>
            <w:vAlign w:val="bottom"/>
          </w:tcPr>
          <w:p>
            <w:pPr>
              <w:jc w:val="center"/>
              <w:ind w:right="1715"/>
              <w:spacing w:after="0"/>
              <w:rPr>
                <w:sz w:val="20"/>
                <w:szCs w:val="20"/>
                <w:color w:val="auto"/>
              </w:rPr>
            </w:pPr>
            <w:r>
              <w:rPr>
                <w:rFonts w:ascii="Times New Roman" w:cs="Times New Roman" w:eastAsia="Times New Roman" w:hAnsi="Times New Roman"/>
                <w:sz w:val="18"/>
                <w:szCs w:val="18"/>
                <w:b w:val="1"/>
                <w:bCs w:val="1"/>
                <w:color w:val="auto"/>
                <w:w w:val="99"/>
              </w:rPr>
              <w:t>Curaçao</w:t>
            </w:r>
          </w:p>
        </w:tc>
        <w:tc>
          <w:tcPr>
            <w:tcW w:w="2360" w:type="dxa"/>
            <w:vAlign w:val="bottom"/>
          </w:tcPr>
          <w:p>
            <w:pPr>
              <w:jc w:val="center"/>
              <w:ind w:right="282"/>
              <w:spacing w:after="0"/>
              <w:rPr>
                <w:sz w:val="20"/>
                <w:szCs w:val="20"/>
                <w:color w:val="auto"/>
              </w:rPr>
            </w:pPr>
            <w:r>
              <w:rPr>
                <w:rFonts w:ascii="Times New Roman" w:cs="Times New Roman" w:eastAsia="Times New Roman" w:hAnsi="Times New Roman"/>
                <w:sz w:val="18"/>
                <w:szCs w:val="18"/>
                <w:b w:val="1"/>
                <w:bCs w:val="1"/>
                <w:color w:val="auto"/>
              </w:rPr>
              <w:t>1-4601</w:t>
            </w:r>
          </w:p>
        </w:tc>
        <w:tc>
          <w:tcPr>
            <w:tcW w:w="2840" w:type="dxa"/>
            <w:vAlign w:val="bottom"/>
          </w:tcPr>
          <w:p>
            <w:pPr>
              <w:jc w:val="center"/>
              <w:ind w:left="1617"/>
              <w:spacing w:after="0"/>
              <w:rPr>
                <w:sz w:val="20"/>
                <w:szCs w:val="20"/>
                <w:color w:val="auto"/>
              </w:rPr>
            </w:pPr>
            <w:r>
              <w:rPr>
                <w:rFonts w:ascii="Times New Roman" w:cs="Times New Roman" w:eastAsia="Times New Roman" w:hAnsi="Times New Roman"/>
                <w:sz w:val="18"/>
                <w:szCs w:val="18"/>
                <w:b w:val="1"/>
                <w:bCs w:val="1"/>
                <w:color w:val="auto"/>
                <w:w w:val="98"/>
              </w:rPr>
              <w:t>52-0684746</w:t>
            </w:r>
          </w:p>
        </w:tc>
      </w:tr>
      <w:tr>
        <w:trPr>
          <w:trHeight w:val="148"/>
        </w:trPr>
        <w:tc>
          <w:tcPr>
            <w:tcW w:w="3700" w:type="dxa"/>
            <w:vAlign w:val="bottom"/>
          </w:tcPr>
          <w:p>
            <w:pPr>
              <w:jc w:val="center"/>
              <w:ind w:right="173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360" w:type="dxa"/>
            <w:vAlign w:val="bottom"/>
          </w:tcPr>
          <w:p>
            <w:pPr>
              <w:jc w:val="center"/>
              <w:ind w:right="282"/>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40" w:type="dxa"/>
            <w:vAlign w:val="bottom"/>
          </w:tcPr>
          <w:p>
            <w:pPr>
              <w:jc w:val="center"/>
              <w:ind w:left="1617"/>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700" w:type="dxa"/>
            <w:vAlign w:val="bottom"/>
          </w:tcPr>
          <w:p>
            <w:pPr>
              <w:jc w:val="center"/>
              <w:ind w:right="173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360" w:type="dxa"/>
            <w:vAlign w:val="bottom"/>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40" w:type="dxa"/>
            <w:vAlign w:val="bottom"/>
          </w:tcPr>
          <w:p>
            <w:pPr>
              <w:jc w:val="center"/>
              <w:ind w:left="1617"/>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 rue Saint-Dominique</w:t>
            </w:r>
          </w:p>
        </w:tc>
        <w:tc>
          <w:tcPr>
            <w:tcW w:w="2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Paris, France</w:t>
            </w:r>
          </w:p>
        </w:tc>
        <w:tc>
          <w:tcPr>
            <w:tcW w:w="2360" w:type="dxa"/>
            <w:vAlign w:val="bottom"/>
          </w:tcPr>
          <w:p>
            <w:pPr>
              <w:spacing w:after="0"/>
              <w:rPr>
                <w:sz w:val="21"/>
                <w:szCs w:val="21"/>
                <w:color w:val="auto"/>
              </w:rPr>
            </w:pPr>
          </w:p>
        </w:tc>
        <w:tc>
          <w:tcPr>
            <w:tcW w:w="284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75007</w:t>
            </w:r>
          </w:p>
        </w:tc>
      </w:tr>
      <w:tr>
        <w:trPr>
          <w:trHeight w:val="30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5599 San Felipe</w:t>
            </w:r>
          </w:p>
        </w:tc>
        <w:tc>
          <w:tcPr>
            <w:tcW w:w="2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Houston, Texas, U.S.A.</w:t>
            </w:r>
          </w:p>
        </w:tc>
        <w:tc>
          <w:tcPr>
            <w:tcW w:w="2360" w:type="dxa"/>
            <w:vAlign w:val="bottom"/>
          </w:tcPr>
          <w:p>
            <w:pPr>
              <w:spacing w:after="0"/>
              <w:rPr>
                <w:sz w:val="21"/>
                <w:szCs w:val="21"/>
                <w:color w:val="auto"/>
              </w:rPr>
            </w:pPr>
          </w:p>
        </w:tc>
        <w:tc>
          <w:tcPr>
            <w:tcW w:w="284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7"/>
              </w:rPr>
              <w:t>77056</w:t>
            </w:r>
          </w:p>
        </w:tc>
      </w:tr>
      <w:tr>
        <w:trPr>
          <w:trHeight w:val="30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62 Buckingham Gate</w:t>
            </w:r>
          </w:p>
        </w:tc>
        <w:tc>
          <w:tcPr>
            <w:tcW w:w="2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5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London, United Kingdom</w:t>
            </w:r>
          </w:p>
        </w:tc>
        <w:tc>
          <w:tcPr>
            <w:tcW w:w="2360" w:type="dxa"/>
            <w:vAlign w:val="bottom"/>
          </w:tcPr>
          <w:p>
            <w:pPr>
              <w:spacing w:after="0"/>
              <w:rPr>
                <w:sz w:val="21"/>
                <w:szCs w:val="21"/>
                <w:color w:val="auto"/>
              </w:rPr>
            </w:pPr>
          </w:p>
        </w:tc>
        <w:tc>
          <w:tcPr>
            <w:tcW w:w="284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w w:val="99"/>
              </w:rPr>
              <w:t>SW1E 6AJ</w:t>
            </w:r>
          </w:p>
        </w:tc>
      </w:tr>
      <w:tr>
        <w:trPr>
          <w:trHeight w:val="302"/>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Parkstraat 83</w:t>
            </w:r>
          </w:p>
        </w:tc>
        <w:tc>
          <w:tcPr>
            <w:tcW w:w="236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27"/>
        </w:trPr>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Hague, The Netherlands</w:t>
            </w:r>
          </w:p>
        </w:tc>
        <w:tc>
          <w:tcPr>
            <w:tcW w:w="2360" w:type="dxa"/>
            <w:vAlign w:val="bottom"/>
          </w:tcPr>
          <w:p>
            <w:pPr>
              <w:spacing w:after="0"/>
              <w:rPr>
                <w:sz w:val="19"/>
                <w:szCs w:val="19"/>
                <w:color w:val="auto"/>
              </w:rPr>
            </w:pPr>
          </w:p>
        </w:tc>
        <w:tc>
          <w:tcPr>
            <w:tcW w:w="2840" w:type="dxa"/>
            <w:vAlign w:val="bottom"/>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2514 JG</w:t>
            </w:r>
          </w:p>
        </w:tc>
      </w:tr>
      <w:tr>
        <w:trPr>
          <w:trHeight w:val="190"/>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w:t>
            </w:r>
          </w:p>
        </w:tc>
        <w:tc>
          <w:tcPr>
            <w:tcW w:w="2360" w:type="dxa"/>
            <w:vAlign w:val="bottom"/>
          </w:tcPr>
          <w:p>
            <w:pPr>
              <w:spacing w:after="0"/>
              <w:rPr>
                <w:sz w:val="16"/>
                <w:szCs w:val="16"/>
                <w:color w:val="auto"/>
              </w:rPr>
            </w:pPr>
          </w:p>
        </w:tc>
        <w:tc>
          <w:tcPr>
            <w:tcW w:w="28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(Zip Codes)</w:t>
            </w:r>
          </w:p>
        </w:tc>
      </w:tr>
    </w:tbl>
    <w:p>
      <w:pPr>
        <w:spacing w:after="0" w:line="1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Dianne B. Ralston</w:t>
      </w:r>
    </w:p>
    <w:p>
      <w:pPr>
        <w:spacing w:after="0" w:line="3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Chief Legal Officer and Secretary</w:t>
      </w:r>
    </w:p>
    <w:p>
      <w:pPr>
        <w:spacing w:after="0" w:line="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(713) 513-2000</w:t>
      </w:r>
    </w:p>
    <w:p>
      <w:pPr>
        <w:spacing w:after="0" w:line="2"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2023 to December 31, 2023.</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163195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76" w:right="7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Items 1.01 and 1.02 Conflict Minerals Disclosure and Report; Exhibit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Schlumberger Limited (“SLB”) is subject to the French Commercial Code (“FCC”). SLB is relying on the alternative reporting provisions of Item</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2.01 and providing its FCC report for the year ended December 31, 2023 to satisfy the requirements of Item 2.01. SLB’s FCC report is available 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SLB’s website at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u w:val="single" w:color="auto"/>
          <w:color w:val="auto"/>
        </w:rPr>
        <w:t>https://www.slb.com/news-and-insights/newsroom/press-release/2024/slb-reports-on-payments-to-governments-for-the-year-ended-31-december-2023</w:t>
      </w:r>
      <w:r>
        <w:rPr>
          <w:rFonts w:ascii="Times New Roman" w:cs="Times New Roman" w:eastAsia="Times New Roman" w:hAnsi="Times New Roman"/>
          <w:sz w:val="17"/>
          <w:szCs w:val="17"/>
          <w:color w:val="auto"/>
        </w:rPr>
        <w:t xml:space="preserve"> .</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payment disclosure required by Form SD is included as Exhibit 2.01 to this Form SD.</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 2.01 – SLB Reports on Payments to Governments for the year ended 31 December 2023.</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224" w:right="220" w:hanging="224"/>
        <w:spacing w:after="0" w:line="282" w:lineRule="auto"/>
        <w:tabs>
          <w:tab w:leader="none" w:pos="2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 to SLB’s website is provided for convenience only, and its contents are not incorporated by reference into this Form SD and Exhibit 2.01, nor deemed filed with the Securities and Exchange Commission.</w:t>
      </w:r>
    </w:p>
    <w:p>
      <w:pPr>
        <w:sectPr>
          <w:pgSz w:w="11900" w:h="16838" w:orient="portrait"/>
          <w:cols w:equalWidth="0" w:num="1">
            <w:col w:w="10964"/>
          </w:cols>
          <w:pgMar w:left="436" w:top="266" w:right="49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Dianne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Dianne Ralston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 and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24, 2024</w:t>
      </w:r>
    </w:p>
    <w:p>
      <w:pPr>
        <w:sectPr>
          <w:pgSz w:w="11900" w:h="16838" w:orient="portrait"/>
          <w:cols w:equalWidth="0" w:num="1">
            <w:col w:w="10640"/>
          </w:cols>
          <w:pgMar w:left="440" w:top="266" w:right="8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09728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28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SLB Reports on Payments to Governments for the year ended 31 December 2023</w:t>
      </w:r>
    </w:p>
    <w:p>
      <w:pPr>
        <w:spacing w:after="0" w:line="221"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PARIS, June 28, 2024 </w:t>
      </w:r>
      <w:r>
        <w:rPr>
          <w:rFonts w:ascii="Times New Roman" w:cs="Times New Roman" w:eastAsia="Times New Roman" w:hAnsi="Times New Roman"/>
          <w:sz w:val="18"/>
          <w:szCs w:val="18"/>
          <w:color w:val="auto"/>
        </w:rPr>
        <w:t>– SLB (NYSE: SLB) is providing the following disclosure pursuant to L. 225-102-3 of the French Commercial Code (“FCC”),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requires disclosures of certain payments made by Schlumberger Limited and its consolidated subsidiaries (together, the “Company”) to governments for the year ended December 31, 2023 relating to “extractive industries” as defined by, and required under, the FCC. The following schedules disclose the payments made by the Company in 2023 to governments in Morocco, the United Kingdom and the United States in connection with the Company’s extractive activities under the FCC, including its operation of barite mines.</w:t>
      </w:r>
    </w:p>
    <w:p>
      <w:pPr>
        <w:spacing w:after="0" w:line="183"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Payments are disclosed in US Dollars. Where a payment or a series of related payments is less than the equivalent of EUR100,000 (USD $108,245.15), such payments have been excluded (in line with the FCC). Payments made in currencies other than US Dollars are converted based on the foreign exchange rate at the relevant annual average rate.</w:t>
      </w:r>
      <w:r>
        <w:rPr>
          <w:rFonts w:ascii="Times New Roman" w:cs="Times New Roman" w:eastAsia="Times New Roman" w:hAnsi="Times New Roman"/>
          <w:sz w:val="26"/>
          <w:szCs w:val="26"/>
          <w:color w:val="auto"/>
          <w:vertAlign w:val="superscript"/>
        </w:rPr>
        <w:t>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 exclude taxes levied on consumption such as value added taxes, personal income taxes or sales taxes.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 ended December 31, 2023 (USD in thousands)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Morocco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Project Report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Royalties</w:t>
            </w:r>
            <w:r>
              <w:rPr>
                <w:rFonts w:ascii="Times New Roman" w:cs="Times New Roman" w:eastAsia="Times New Roman" w:hAnsi="Times New Roman"/>
                <w:sz w:val="10"/>
                <w:szCs w:val="10"/>
                <w:b w:val="1"/>
                <w:bCs w:val="1"/>
                <w:color w:val="auto"/>
                <w:w w:val="99"/>
              </w:rPr>
              <w:t>2</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3"/>
                <w:szCs w:val="13"/>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and Fees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Entitlements</w:t>
            </w:r>
          </w:p>
        </w:tc>
        <w:tc>
          <w:tcPr>
            <w:tcW w:w="800" w:type="dxa"/>
            <w:vAlign w:val="bottom"/>
            <w:gridSpan w:val="2"/>
            <w:vMerge w:val="continue"/>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COMABAR (Barite)</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2,410.8</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w:t>
            </w:r>
          </w:p>
        </w:tc>
        <w:tc>
          <w:tcPr>
            <w:tcW w:w="300" w:type="dxa"/>
            <w:vAlign w:val="bottom"/>
          </w:tcPr>
          <w:p>
            <w:pPr>
              <w:spacing w:after="0"/>
              <w:rPr>
                <w:sz w:val="19"/>
                <w:szCs w:val="19"/>
                <w:color w:val="auto"/>
              </w:rPr>
            </w:pPr>
          </w:p>
        </w:tc>
        <w:tc>
          <w:tcPr>
            <w:tcW w:w="5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7"/>
                <w:szCs w:val="17"/>
                <w:b w:val="1"/>
                <w:bCs w:val="1"/>
                <w:color w:val="auto"/>
                <w:w w:val="70"/>
              </w:rPr>
              <w:t>0</w:t>
            </w:r>
          </w:p>
        </w:tc>
        <w:tc>
          <w:tcPr>
            <w:tcW w:w="300" w:type="dxa"/>
            <w:vAlign w:val="bottom"/>
          </w:tcPr>
          <w:p>
            <w:pPr>
              <w:spacing w:after="0"/>
              <w:rPr>
                <w:sz w:val="19"/>
                <w:szCs w:val="19"/>
                <w:color w:val="auto"/>
              </w:rPr>
            </w:pPr>
          </w:p>
        </w:tc>
        <w:tc>
          <w:tcPr>
            <w:tcW w:w="9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7"/>
                <w:szCs w:val="17"/>
                <w:b w:val="1"/>
                <w:bCs w:val="1"/>
                <w:color w:val="auto"/>
                <w:w w:val="70"/>
              </w:rPr>
              <w:t>0</w:t>
            </w: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2,294.7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8"/>
              </w:rPr>
              <w:t>$</w:t>
            </w:r>
            <w:r>
              <w:rPr>
                <w:rFonts w:ascii="Times New Roman" w:cs="Times New Roman" w:eastAsia="Times New Roman" w:hAnsi="Times New Roman"/>
                <w:sz w:val="18"/>
                <w:szCs w:val="18"/>
                <w:b w:val="1"/>
                <w:bCs w:val="1"/>
                <w:color w:val="auto"/>
                <w:w w:val="98"/>
              </w:rPr>
              <w:t>4,770.2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Government Report</w:t>
            </w: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64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1540" w:type="dxa"/>
            <w:vAlign w:val="bottom"/>
            <w:tcBorders>
              <w:top w:val="single" w:sz="8" w:color="auto"/>
            </w:tcBorders>
          </w:tcPr>
          <w:p>
            <w:pPr>
              <w:spacing w:after="0"/>
              <w:rPr>
                <w:sz w:val="23"/>
                <w:szCs w:val="23"/>
                <w:color w:val="auto"/>
              </w:rPr>
            </w:pPr>
          </w:p>
        </w:tc>
        <w:tc>
          <w:tcPr>
            <w:tcW w:w="2100" w:type="dxa"/>
            <w:vAlign w:val="bottom"/>
          </w:tcPr>
          <w:p>
            <w:pPr>
              <w:spacing w:after="0"/>
              <w:rPr>
                <w:sz w:val="23"/>
                <w:szCs w:val="23"/>
                <w:color w:val="auto"/>
              </w:rPr>
            </w:pPr>
          </w:p>
        </w:tc>
        <w:tc>
          <w:tcPr>
            <w:tcW w:w="9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9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Royalties</w:t>
            </w:r>
            <w:r>
              <w:rPr>
                <w:rFonts w:ascii="Times New Roman" w:cs="Times New Roman" w:eastAsia="Times New Roman" w:hAnsi="Times New Roman"/>
                <w:sz w:val="10"/>
                <w:szCs w:val="10"/>
                <w:b w:val="1"/>
                <w:bCs w:val="1"/>
                <w:color w:val="auto"/>
                <w:w w:val="99"/>
              </w:rPr>
              <w:t>2</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23"/>
                <w:szCs w:val="23"/>
                <w:color w:val="auto"/>
              </w:rPr>
            </w:pP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15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8"/>
              </w:rPr>
              <w:t>and Fees</w:t>
            </w: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Entitlements</w:t>
            </w:r>
          </w:p>
        </w:tc>
        <w:tc>
          <w:tcPr>
            <w:tcW w:w="800" w:type="dxa"/>
            <w:vAlign w:val="bottom"/>
            <w:gridSpan w:val="2"/>
            <w:vMerge w:val="continue"/>
          </w:tcPr>
          <w:p>
            <w:pPr>
              <w:spacing w:after="0"/>
              <w:rPr>
                <w:sz w:val="15"/>
                <w:szCs w:val="15"/>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6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Tax Administration</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3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w w:val="70"/>
              </w:rPr>
              <w:t>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70"/>
              </w:rPr>
              <w:t>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Office National des Hydrocarbures et des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Mines (ONHYM)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2,294.7</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2,294.7</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r>
              <w:rPr>
                <w:rFonts w:ascii="Times New Roman" w:cs="Times New Roman" w:eastAsia="Times New Roman" w:hAnsi="Times New Roman"/>
                <w:sz w:val="18"/>
                <w:szCs w:val="18"/>
                <w:b w:val="1"/>
                <w:bCs w:val="1"/>
                <w:u w:val="single" w:color="auto"/>
                <w:color w:val="auto"/>
              </w:rPr>
              <w:t>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64.7</w:t>
            </w:r>
          </w:p>
        </w:tc>
        <w:tc>
          <w:tcPr>
            <w:tcW w:w="80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0</w:t>
            </w:r>
          </w:p>
        </w:tc>
        <w:tc>
          <w:tcPr>
            <w:tcW w:w="12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b w:val="1"/>
                <w:bCs w:val="1"/>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2,294.7</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4,770.2</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United Kingdom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Project Report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7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Royalties</w:t>
            </w:r>
            <w:r>
              <w:rPr>
                <w:rFonts w:ascii="Times New Roman" w:cs="Times New Roman" w:eastAsia="Times New Roman" w:hAnsi="Times New Roman"/>
                <w:sz w:val="10"/>
                <w:szCs w:val="10"/>
                <w:b w:val="1"/>
                <w:bCs w:val="1"/>
                <w:color w:val="auto"/>
              </w:rPr>
              <w:t>2</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13"/>
                <w:szCs w:val="13"/>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Entitlements</w:t>
            </w:r>
          </w:p>
        </w:tc>
        <w:tc>
          <w:tcPr>
            <w:tcW w:w="820" w:type="dxa"/>
            <w:vAlign w:val="bottom"/>
            <w:gridSpan w:val="2"/>
            <w:vMerge w:val="continue"/>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Foss Mine (Barite)</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Duntanlich (Barite)</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21.6</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16.0</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131.7</w:t>
            </w:r>
          </w:p>
        </w:tc>
        <w:tc>
          <w:tcPr>
            <w:tcW w:w="0" w:type="dxa"/>
            <w:vAlign w:val="bottom"/>
          </w:tcPr>
          <w:p>
            <w:pPr>
              <w:spacing w:after="0"/>
              <w:rPr>
                <w:sz w:val="1"/>
                <w:szCs w:val="1"/>
                <w:color w:val="auto"/>
              </w:rPr>
            </w:pPr>
          </w:p>
        </w:tc>
      </w:tr>
      <w:tr>
        <w:trPr>
          <w:trHeight w:val="27"/>
        </w:trPr>
        <w:tc>
          <w:tcPr>
            <w:tcW w:w="1560" w:type="dxa"/>
            <w:vAlign w:val="bottom"/>
          </w:tcPr>
          <w:p>
            <w:pPr>
              <w:spacing w:after="0"/>
              <w:rPr>
                <w:sz w:val="2"/>
                <w:szCs w:val="2"/>
                <w:color w:val="auto"/>
              </w:rPr>
            </w:pPr>
          </w:p>
        </w:tc>
        <w:tc>
          <w:tcPr>
            <w:tcW w:w="238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90.4</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19.8</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0</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234.7</w:t>
            </w:r>
          </w:p>
        </w:tc>
        <w:tc>
          <w:tcPr>
            <w:tcW w:w="0" w:type="dxa"/>
            <w:vAlign w:val="bottom"/>
          </w:tcPr>
          <w:p>
            <w:pPr>
              <w:spacing w:after="0"/>
              <w:rPr>
                <w:sz w:val="1"/>
                <w:szCs w:val="1"/>
                <w:color w:val="auto"/>
              </w:rPr>
            </w:pPr>
          </w:p>
        </w:tc>
      </w:tr>
      <w:tr>
        <w:trPr>
          <w:trHeight w:val="20"/>
        </w:trPr>
        <w:tc>
          <w:tcPr>
            <w:tcW w:w="3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Government Report</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4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156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720" w:type="dxa"/>
            <w:vAlign w:val="bottom"/>
            <w:gridSpan w:val="4"/>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Royalties</w:t>
            </w:r>
            <w:r>
              <w:rPr>
                <w:rFonts w:ascii="Times New Roman" w:cs="Times New Roman" w:eastAsia="Times New Roman" w:hAnsi="Times New Roman"/>
                <w:sz w:val="10"/>
                <w:szCs w:val="10"/>
                <w:b w:val="1"/>
                <w:bCs w:val="1"/>
                <w:color w:val="auto"/>
              </w:rPr>
              <w:t>2</w:t>
            </w: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40" w:type="dxa"/>
            <w:vAlign w:val="bottom"/>
          </w:tcPr>
          <w:p>
            <w:pPr>
              <w:spacing w:after="0"/>
              <w:rPr>
                <w:sz w:val="24"/>
                <w:szCs w:val="24"/>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15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20" w:type="dxa"/>
            <w:vAlign w:val="bottom"/>
            <w:gridSpan w:val="4"/>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w w:val="99"/>
              </w:rPr>
              <w:t>Entitlements</w:t>
            </w:r>
          </w:p>
        </w:tc>
        <w:tc>
          <w:tcPr>
            <w:tcW w:w="820" w:type="dxa"/>
            <w:vAlign w:val="bottom"/>
            <w:gridSpan w:val="2"/>
            <w:vMerge w:val="continue"/>
          </w:tcPr>
          <w:p>
            <w:pPr>
              <w:spacing w:after="0"/>
              <w:rPr>
                <w:sz w:val="15"/>
                <w:szCs w:val="15"/>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Improvements</w:t>
            </w:r>
          </w:p>
        </w:tc>
        <w:tc>
          <w:tcPr>
            <w:tcW w:w="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Forestry Commission of Scotland</w:t>
            </w:r>
          </w:p>
        </w:tc>
        <w:tc>
          <w:tcPr>
            <w:tcW w:w="4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Scottish Environment Protection Agency (SEPA)</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18.1</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HSE Mines Inspectorate</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Scottish Police Authority</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HM Revenue and Customs</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198"/>
        </w:trPr>
        <w:tc>
          <w:tcPr>
            <w:tcW w:w="3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Revenue Scotland LBTT Refund Regs of Scotland</w:t>
            </w: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Fees &amp; Assignations for leases</w:t>
            </w:r>
          </w:p>
        </w:tc>
        <w:tc>
          <w:tcPr>
            <w:tcW w:w="4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26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Perth &amp; Kinross Council</w:t>
            </w:r>
          </w:p>
        </w:tc>
        <w:tc>
          <w:tcPr>
            <w:tcW w:w="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8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8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124.1</w:t>
            </w:r>
          </w:p>
        </w:tc>
        <w:tc>
          <w:tcPr>
            <w:tcW w:w="0" w:type="dxa"/>
            <w:vAlign w:val="bottom"/>
          </w:tcPr>
          <w:p>
            <w:pPr>
              <w:spacing w:after="0"/>
              <w:rPr>
                <w:sz w:val="1"/>
                <w:szCs w:val="1"/>
                <w:color w:val="auto"/>
              </w:rPr>
            </w:pPr>
          </w:p>
        </w:tc>
      </w:tr>
      <w:tr>
        <w:trPr>
          <w:trHeight w:val="223"/>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90.4</w:t>
            </w:r>
          </w:p>
        </w:tc>
        <w:tc>
          <w:tcPr>
            <w:tcW w:w="3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234.7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6"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Project Report</w:t>
      </w:r>
    </w:p>
    <w:p>
      <w:pPr>
        <w:spacing w:after="0" w:line="39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Big Bird (Barite)</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Royalties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1"/>
        </w:trPr>
        <w:tc>
          <w:tcPr>
            <w:tcW w:w="3480" w:type="dxa"/>
            <w:vAlign w:val="bottom"/>
            <w:gridSpan w:val="2"/>
            <w:vMerge w:val="continue"/>
          </w:tcPr>
          <w:p>
            <w:pPr>
              <w:spacing w:after="0"/>
              <w:rPr>
                <w:sz w:val="16"/>
                <w:szCs w:val="16"/>
                <w:color w:val="auto"/>
              </w:rPr>
            </w:pP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Greystone Mine (Barite)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265.7</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Mountain Springs (Barite)</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348.3</w:t>
            </w:r>
          </w:p>
        </w:tc>
        <w:tc>
          <w:tcPr>
            <w:tcW w:w="3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4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614.0</w:t>
            </w:r>
          </w:p>
        </w:tc>
        <w:tc>
          <w:tcPr>
            <w:tcW w:w="3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Government Report</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48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15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Elko County</w:t>
            </w:r>
          </w:p>
        </w:tc>
        <w:tc>
          <w:tcPr>
            <w:tcW w:w="1940" w:type="dxa"/>
            <w:vAlign w:val="bottom"/>
            <w:vMerge w:val="restart"/>
          </w:tcPr>
          <w:p>
            <w:pPr>
              <w:spacing w:after="0"/>
              <w:rPr>
                <w:sz w:val="24"/>
                <w:szCs w:val="24"/>
                <w:color w:val="auto"/>
              </w:rPr>
            </w:pP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Royalties</w:t>
            </w:r>
            <w:r>
              <w:rPr>
                <w:rFonts w:ascii="Times New Roman" w:cs="Times New Roman" w:eastAsia="Times New Roman" w:hAnsi="Times New Roman"/>
                <w:sz w:val="10"/>
                <w:szCs w:val="10"/>
                <w:b w:val="1"/>
                <w:bCs w:val="1"/>
                <w:color w:val="auto"/>
              </w:rPr>
              <w:t>2</w:t>
            </w:r>
          </w:p>
        </w:tc>
        <w:tc>
          <w:tcPr>
            <w:tcW w:w="0" w:type="dxa"/>
            <w:vAlign w:val="bottom"/>
          </w:tcPr>
          <w:p>
            <w:pPr>
              <w:spacing w:after="0"/>
              <w:rPr>
                <w:sz w:val="1"/>
                <w:szCs w:val="1"/>
                <w:color w:val="auto"/>
              </w:rPr>
            </w:pPr>
          </w:p>
        </w:tc>
      </w:tr>
      <w:tr>
        <w:trPr>
          <w:trHeight w:val="191"/>
        </w:trPr>
        <w:tc>
          <w:tcPr>
            <w:tcW w:w="1540" w:type="dxa"/>
            <w:vAlign w:val="bottom"/>
            <w:tcBorders>
              <w:top w:val="single" w:sz="8" w:color="auto"/>
            </w:tcBorders>
            <w:vMerge w:val="continue"/>
          </w:tcPr>
          <w:p>
            <w:pPr>
              <w:spacing w:after="0"/>
              <w:rPr>
                <w:sz w:val="16"/>
                <w:szCs w:val="16"/>
                <w:color w:val="auto"/>
              </w:rPr>
            </w:pPr>
          </w:p>
        </w:tc>
        <w:tc>
          <w:tcPr>
            <w:tcW w:w="1940" w:type="dxa"/>
            <w:vAlign w:val="bottom"/>
            <w:vMerge w:val="continue"/>
          </w:tcPr>
          <w:p>
            <w:pPr>
              <w:spacing w:after="0"/>
              <w:rPr>
                <w:sz w:val="16"/>
                <w:szCs w:val="16"/>
                <w:color w:val="auto"/>
              </w:rPr>
            </w:pPr>
          </w:p>
        </w:tc>
        <w:tc>
          <w:tcPr>
            <w:tcW w:w="4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tcPr>
          <w:p>
            <w:pPr>
              <w:spacing w:after="0"/>
              <w:rPr>
                <w:sz w:val="16"/>
                <w:szCs w:val="16"/>
                <w:color w:val="auto"/>
              </w:rPr>
            </w:pPr>
          </w:p>
        </w:tc>
        <w:tc>
          <w:tcPr>
            <w:tcW w:w="6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Lander County</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63.2</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of Nevada</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550.8</w:t>
            </w:r>
          </w:p>
        </w:tc>
        <w:tc>
          <w:tcPr>
            <w:tcW w:w="3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BLM</w:t>
            </w:r>
          </w:p>
        </w:tc>
        <w:tc>
          <w:tcPr>
            <w:tcW w:w="8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3"/>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2023 Total</w:t>
            </w: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614.0</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3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80" w:type="dxa"/>
            <w:vAlign w:val="bottom"/>
          </w:tcPr>
          <w:p>
            <w:pPr>
              <w:spacing w:after="0"/>
              <w:rPr>
                <w:sz w:val="13"/>
                <w:szCs w:val="13"/>
                <w:color w:val="auto"/>
              </w:rPr>
            </w:pPr>
          </w:p>
        </w:tc>
        <w:tc>
          <w:tcPr>
            <w:tcW w:w="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0"/>
                <w:szCs w:val="10"/>
                <w:b w:val="1"/>
                <w:bCs w:val="1"/>
                <w:color w:val="auto"/>
              </w:rPr>
              <w:t>3</w:t>
            </w:r>
          </w:p>
        </w:tc>
        <w:tc>
          <w:tcPr>
            <w:tcW w:w="0" w:type="dxa"/>
            <w:vAlign w:val="bottom"/>
          </w:tcPr>
          <w:p>
            <w:pPr>
              <w:spacing w:after="0"/>
              <w:rPr>
                <w:sz w:val="1"/>
                <w:szCs w:val="1"/>
                <w:color w:val="auto"/>
              </w:rPr>
            </w:pPr>
          </w:p>
        </w:tc>
      </w:tr>
      <w:tr>
        <w:trPr>
          <w:trHeight w:val="173"/>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3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Entitlements</w:t>
            </w:r>
            <w:r>
              <w:rPr>
                <w:rFonts w:ascii="Times New Roman" w:cs="Times New Roman" w:eastAsia="Times New Roman" w:hAnsi="Times New Roman"/>
                <w:sz w:val="10"/>
                <w:szCs w:val="10"/>
                <w:b w:val="1"/>
                <w:bCs w:val="1"/>
                <w:color w:val="auto"/>
              </w:rPr>
              <w:t>2</w:t>
            </w:r>
          </w:p>
        </w:tc>
        <w:tc>
          <w:tcPr>
            <w:tcW w:w="880" w:type="dxa"/>
            <w:vAlign w:val="bottom"/>
            <w:gridSpan w:val="2"/>
            <w:vMerge w:val="continue"/>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Improvements</w:t>
            </w: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6"/>
                <w:szCs w:val="16"/>
                <w:color w:val="auto"/>
              </w:rPr>
            </w:pPr>
          </w:p>
        </w:tc>
        <w:tc>
          <w:tcPr>
            <w:tcW w:w="62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7"/>
                <w:szCs w:val="17"/>
                <w:color w:val="auto"/>
                <w:w w:val="70"/>
              </w:rPr>
              <w:t>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273.6</w:t>
            </w:r>
          </w:p>
        </w:tc>
        <w:tc>
          <w:tcPr>
            <w:tcW w:w="0" w:type="dxa"/>
            <w:vAlign w:val="bottom"/>
          </w:tcPr>
          <w:p>
            <w:pPr>
              <w:spacing w:after="0"/>
              <w:rPr>
                <w:sz w:val="1"/>
                <w:szCs w:val="1"/>
                <w:color w:val="auto"/>
              </w:rPr>
            </w:pPr>
          </w:p>
        </w:tc>
      </w:tr>
      <w:tr>
        <w:trPr>
          <w:trHeight w:val="234"/>
        </w:trPr>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359.2</w:t>
            </w:r>
          </w:p>
        </w:tc>
        <w:tc>
          <w:tcPr>
            <w:tcW w:w="0" w:type="dxa"/>
            <w:vAlign w:val="bottom"/>
          </w:tcPr>
          <w:p>
            <w:pPr>
              <w:spacing w:after="0"/>
              <w:rPr>
                <w:sz w:val="1"/>
                <w:szCs w:val="1"/>
                <w:color w:val="auto"/>
              </w:rPr>
            </w:pPr>
          </w:p>
        </w:tc>
      </w:tr>
      <w:tr>
        <w:trPr>
          <w:trHeight w:val="223"/>
        </w:trPr>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38.1</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w w:val="70"/>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-1379220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-599440</wp:posOffset>
            </wp:positionV>
            <wp:extent cx="699516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-316230</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Licenses</w:t>
            </w:r>
          </w:p>
        </w:tc>
        <w:tc>
          <w:tcPr>
            <w:tcW w:w="320" w:type="dxa"/>
            <w:vAlign w:val="bottom"/>
          </w:tcPr>
          <w:p>
            <w:pPr>
              <w:spacing w:after="0"/>
              <w:rPr>
                <w:sz w:val="13"/>
                <w:szCs w:val="13"/>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Production</w:t>
            </w:r>
          </w:p>
        </w:tc>
        <w:tc>
          <w:tcPr>
            <w:tcW w:w="8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Bonuses</w:t>
            </w:r>
          </w:p>
        </w:tc>
        <w:tc>
          <w:tcPr>
            <w:tcW w:w="12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Infrastructure</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w:t>
            </w:r>
          </w:p>
        </w:tc>
        <w:tc>
          <w:tcPr>
            <w:tcW w:w="180" w:type="dxa"/>
            <w:vAlign w:val="bottom"/>
          </w:tcPr>
          <w:p>
            <w:pPr>
              <w:spacing w:after="0"/>
              <w:rPr>
                <w:sz w:val="13"/>
                <w:szCs w:val="13"/>
                <w:color w:val="auto"/>
              </w:rPr>
            </w:pPr>
          </w:p>
        </w:tc>
        <w:tc>
          <w:tcPr>
            <w:tcW w:w="5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and Fees</w:t>
            </w:r>
          </w:p>
        </w:tc>
        <w:tc>
          <w:tcPr>
            <w:tcW w:w="320" w:type="dxa"/>
            <w:vAlign w:val="bottom"/>
          </w:tcPr>
          <w:p>
            <w:pPr>
              <w:spacing w:after="0"/>
              <w:rPr>
                <w:sz w:val="15"/>
                <w:szCs w:val="15"/>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Entitlements</w:t>
            </w:r>
            <w:r>
              <w:rPr>
                <w:rFonts w:ascii="Times New Roman" w:cs="Times New Roman" w:eastAsia="Times New Roman" w:hAnsi="Times New Roman"/>
                <w:sz w:val="10"/>
                <w:szCs w:val="10"/>
                <w:b w:val="1"/>
                <w:bCs w:val="1"/>
                <w:color w:val="auto"/>
              </w:rPr>
              <w:t>2</w:t>
            </w:r>
          </w:p>
        </w:tc>
        <w:tc>
          <w:tcPr>
            <w:tcW w:w="880" w:type="dxa"/>
            <w:vAlign w:val="bottom"/>
            <w:gridSpan w:val="2"/>
            <w:vMerge w:val="continue"/>
          </w:tcPr>
          <w:p>
            <w:pPr>
              <w:spacing w:after="0"/>
              <w:rPr>
                <w:sz w:val="15"/>
                <w:szCs w:val="15"/>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8"/>
              </w:rPr>
              <w:t>Improvements</w:t>
            </w: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6"/>
                <w:szCs w:val="16"/>
                <w:color w:val="auto"/>
              </w:rPr>
            </w:pPr>
          </w:p>
        </w:tc>
        <w:tc>
          <w:tcPr>
            <w:tcW w:w="5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60" w:type="dxa"/>
            <w:vAlign w:val="bottom"/>
          </w:tcPr>
          <w:p>
            <w:pPr>
              <w:spacing w:after="0"/>
              <w:rPr>
                <w:sz w:val="16"/>
                <w:szCs w:val="16"/>
                <w:color w:val="auto"/>
              </w:rPr>
            </w:pPr>
          </w:p>
        </w:tc>
        <w:tc>
          <w:tcPr>
            <w:tcW w:w="9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0</w:t>
            </w:r>
          </w:p>
        </w:tc>
        <w:tc>
          <w:tcPr>
            <w:tcW w:w="340" w:type="dxa"/>
            <w:vAlign w:val="bottom"/>
          </w:tcPr>
          <w:p>
            <w:pPr>
              <w:spacing w:after="0"/>
              <w:rPr>
                <w:sz w:val="16"/>
                <w:szCs w:val="16"/>
                <w:color w:val="auto"/>
              </w:rPr>
            </w:pPr>
          </w:p>
        </w:tc>
        <w:tc>
          <w:tcPr>
            <w:tcW w:w="620" w:type="dxa"/>
            <w:vAlign w:val="bottom"/>
            <w:tcBorders>
              <w:top w:val="single" w:sz="8" w:color="auto"/>
            </w:tcBorders>
          </w:tcPr>
          <w:p>
            <w:pPr>
              <w:ind w:left="540"/>
              <w:spacing w:after="0" w:line="191" w:lineRule="exact"/>
              <w:rPr>
                <w:sz w:val="20"/>
                <w:szCs w:val="20"/>
                <w:color w:val="auto"/>
              </w:rPr>
            </w:pPr>
            <w:r>
              <w:rPr>
                <w:rFonts w:ascii="Times New Roman" w:cs="Times New Roman" w:eastAsia="Times New Roman" w:hAnsi="Times New Roman"/>
                <w:sz w:val="17"/>
                <w:szCs w:val="17"/>
                <w:color w:val="auto"/>
                <w:w w:val="70"/>
              </w:rPr>
              <w:t>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16"/>
        </w:trPr>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550.8</w:t>
            </w:r>
          </w:p>
        </w:tc>
        <w:tc>
          <w:tcPr>
            <w:tcW w:w="0" w:type="dxa"/>
            <w:vAlign w:val="bottom"/>
          </w:tcPr>
          <w:p>
            <w:pPr>
              <w:spacing w:after="0"/>
              <w:rPr>
                <w:sz w:val="1"/>
                <w:szCs w:val="1"/>
                <w:color w:val="auto"/>
              </w:rPr>
            </w:pPr>
          </w:p>
        </w:tc>
      </w:tr>
      <w:tr>
        <w:trPr>
          <w:trHeight w:val="234"/>
        </w:trPr>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0</w:t>
            </w:r>
          </w:p>
        </w:tc>
        <w:tc>
          <w:tcPr>
            <w:tcW w:w="8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0</w:t>
            </w:r>
          </w:p>
        </w:tc>
        <w:tc>
          <w:tcPr>
            <w:tcW w:w="7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35.5</w:t>
            </w:r>
          </w:p>
        </w:tc>
        <w:tc>
          <w:tcPr>
            <w:tcW w:w="0" w:type="dxa"/>
            <w:vAlign w:val="bottom"/>
          </w:tcPr>
          <w:p>
            <w:pPr>
              <w:spacing w:after="0"/>
              <w:rPr>
                <w:sz w:val="1"/>
                <w:szCs w:val="1"/>
                <w:color w:val="auto"/>
              </w:rPr>
            </w:pPr>
          </w:p>
        </w:tc>
      </w:tr>
      <w:tr>
        <w:trPr>
          <w:trHeight w:val="223"/>
        </w:trPr>
        <w:tc>
          <w:tcPr>
            <w:tcW w:w="5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38.1</w:t>
            </w:r>
          </w:p>
        </w:tc>
        <w:tc>
          <w:tcPr>
            <w:tcW w:w="3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6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7"/>
                <w:szCs w:val="17"/>
                <w:b w:val="1"/>
                <w:bCs w:val="1"/>
                <w:color w:val="auto"/>
                <w:w w:val="70"/>
              </w:rPr>
              <w:t>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652.1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-3354705</wp:posOffset>
            </wp:positionH>
            <wp:positionV relativeFrom="paragraph">
              <wp:posOffset>-736600</wp:posOffset>
            </wp:positionV>
            <wp:extent cx="699516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-454025</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-3354705</wp:posOffset>
            </wp:positionH>
            <wp:positionV relativeFrom="paragraph">
              <wp:posOffset>-162560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506" w:lineRule="exact"/>
        <w:rPr>
          <w:sz w:val="20"/>
          <w:szCs w:val="20"/>
          <w:color w:val="auto"/>
        </w:rPr>
      </w:pPr>
    </w:p>
    <w:p>
      <w:pPr>
        <w:sectPr>
          <w:pgSz w:w="11900" w:h="16838" w:orient="portrait"/>
          <w:cols w:equalWidth="0" w:num="2">
            <w:col w:w="4924" w:space="360"/>
            <w:col w:w="5720"/>
          </w:cols>
          <w:pgMar w:left="436" w:top="266" w:right="459" w:bottom="1440" w:gutter="0" w:footer="0" w:header="0"/>
        </w:sectPr>
      </w:pPr>
    </w:p>
    <w:p>
      <w:pPr>
        <w:spacing w:after="0" w:line="56" w:lineRule="exact"/>
        <w:rPr>
          <w:sz w:val="20"/>
          <w:szCs w:val="20"/>
          <w:color w:val="auto"/>
        </w:rPr>
      </w:pPr>
    </w:p>
    <w:p>
      <w:pPr>
        <w:ind w:left="424" w:hanging="424"/>
        <w:spacing w:after="0" w:line="261"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in local currencies are translated at the average exchange rate for the year. Conversion of EUR to USD based on a rate of EUR 1 = $1.0824 and of GBP 1 = $1.2439.</w:t>
      </w:r>
    </w:p>
    <w:p>
      <w:pPr>
        <w:ind w:left="424" w:right="560" w:hanging="424"/>
        <w:spacing w:after="0" w:line="250"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payments and production entitlements are paid in cash, except where noted. The value of production entitlements made in kind are calculated with reference to market rates at the time of payment.</w:t>
      </w: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Totals do not add exactly due to rounding.</w:t>
      </w:r>
    </w:p>
    <w:p>
      <w:pPr>
        <w:sectPr>
          <w:pgSz w:w="11900" w:h="16838" w:orient="portrait"/>
          <w:cols w:equalWidth="0" w:num="1">
            <w:col w:w="11004"/>
          </w:cols>
          <w:pgMar w:left="436" w:top="266" w:right="45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SLB</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SLB (NYSE: SLB) is a global technology company that drives energy innovation for a balanced planet.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R. McDonald—Senior Vice President of Investor Relations and Industry Affairs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 V. Domingo—Director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+1(713)375-3535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investor-relations@slb.com</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Moira Duff—Director of External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+1(713)375-3407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media@slb.com</w:t>
      </w:r>
    </w:p>
    <w:sectPr>
      <w:pgSz w:w="11900" w:h="16838" w:orient="portrait"/>
      <w:cols w:equalWidth="0" w:num="1">
        <w:col w:w="10440"/>
      </w:cols>
      <w:pgMar w:left="440" w:top="270"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2024-07-24T12:19:49Z</dcterms:created>
  <dcterms:modified xsi:type="dcterms:W3CDTF">2024-07-24T12:19:49Z</dcterms:modified>
</cp:coreProperties>
</file>