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7"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
        <w:spacing w:after="0"/>
        <w:rPr>
          <w:sz w:val="20"/>
          <w:szCs w:val="20"/>
          <w:color w:val="auto"/>
        </w:rPr>
      </w:pPr>
      <w:r>
        <w:rPr>
          <w:rFonts w:ascii="Arial" w:cs="Arial" w:eastAsia="Arial" w:hAnsi="Arial"/>
          <w:sz w:val="22"/>
          <w:szCs w:val="22"/>
          <w:b w:val="1"/>
          <w:bCs w:val="1"/>
          <w:color w:val="auto"/>
        </w:rPr>
        <w:t>the Securities Exchange Act of 1934</w:t>
      </w:r>
    </w:p>
    <w:p>
      <w:pPr>
        <w:spacing w:after="0" w:line="10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1900" w:type="dxa"/>
            <w:vAlign w:val="bottom"/>
          </w:tcPr>
          <w:p>
            <w:pPr>
              <w:jc w:val="center"/>
              <w:ind w:right="202"/>
              <w:spacing w:after="0"/>
              <w:rPr>
                <w:sz w:val="20"/>
                <w:szCs w:val="20"/>
                <w:color w:val="auto"/>
              </w:rPr>
            </w:pPr>
            <w:r>
              <w:rPr>
                <w:rFonts w:ascii="Arial" w:cs="Arial" w:eastAsia="Arial" w:hAnsi="Arial"/>
                <w:sz w:val="18"/>
                <w:szCs w:val="18"/>
                <w:b w:val="1"/>
                <w:bCs w:val="1"/>
                <w:color w:val="auto"/>
                <w:w w:val="91"/>
              </w:rPr>
              <w:t>Curaçao</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89"/>
              </w:rPr>
              <w:t>1-4601</w:t>
            </w:r>
          </w:p>
        </w:tc>
        <w:tc>
          <w:tcPr>
            <w:tcW w:w="1580" w:type="dxa"/>
            <w:vAlign w:val="bottom"/>
          </w:tcPr>
          <w:p>
            <w:pPr>
              <w:jc w:val="center"/>
              <w:ind w:left="362"/>
              <w:spacing w:after="0"/>
              <w:rPr>
                <w:sz w:val="20"/>
                <w:szCs w:val="20"/>
                <w:color w:val="auto"/>
              </w:rPr>
            </w:pPr>
            <w:r>
              <w:rPr>
                <w:rFonts w:ascii="Arial" w:cs="Arial" w:eastAsia="Arial" w:hAnsi="Arial"/>
                <w:sz w:val="18"/>
                <w:szCs w:val="18"/>
                <w:b w:val="1"/>
                <w:bCs w:val="1"/>
                <w:color w:val="auto"/>
                <w:w w:val="89"/>
              </w:rPr>
              <w:t>52-0684746</w:t>
            </w:r>
          </w:p>
        </w:tc>
      </w:tr>
      <w:tr>
        <w:trPr>
          <w:trHeight w:val="148"/>
        </w:trPr>
        <w:tc>
          <w:tcPr>
            <w:tcW w:w="190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(Commission</w:t>
            </w:r>
          </w:p>
        </w:tc>
        <w:tc>
          <w:tcPr>
            <w:tcW w:w="1580" w:type="dxa"/>
            <w:vAlign w:val="bottom"/>
          </w:tcPr>
          <w:p>
            <w:pPr>
              <w:jc w:val="center"/>
              <w:ind w:left="36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900" w:type="dxa"/>
            <w:vAlign w:val="bottom"/>
          </w:tcPr>
          <w:p>
            <w:pPr>
              <w:jc w:val="center"/>
              <w:ind w:right="202"/>
              <w:spacing w:after="0"/>
              <w:rPr>
                <w:sz w:val="20"/>
                <w:szCs w:val="20"/>
                <w:color w:val="auto"/>
              </w:rPr>
            </w:pPr>
            <w:r>
              <w:rPr>
                <w:rFonts w:ascii="Arial" w:cs="Arial" w:eastAsia="Arial" w:hAnsi="Arial"/>
                <w:sz w:val="14"/>
                <w:szCs w:val="14"/>
                <w:b w:val="1"/>
                <w:bCs w:val="1"/>
                <w:color w:val="auto"/>
                <w:w w:val="94"/>
              </w:rPr>
              <w:t>of incorporation)</w:t>
            </w:r>
          </w:p>
        </w:tc>
        <w:tc>
          <w:tcPr>
            <w:tcW w:w="53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1580" w:type="dxa"/>
            <w:vAlign w:val="bottom"/>
          </w:tcPr>
          <w:p>
            <w:pPr>
              <w:jc w:val="center"/>
              <w:ind w:left="362"/>
              <w:spacing w:after="0"/>
              <w:rPr>
                <w:sz w:val="20"/>
                <w:szCs w:val="20"/>
                <w:color w:val="auto"/>
              </w:rPr>
            </w:pPr>
            <w:r>
              <w:rPr>
                <w:rFonts w:ascii="Arial" w:cs="Arial" w:eastAsia="Arial" w:hAnsi="Arial"/>
                <w:sz w:val="14"/>
                <w:szCs w:val="14"/>
                <w:b w:val="1"/>
                <w:bCs w:val="1"/>
                <w:color w:val="auto"/>
                <w:w w:val="96"/>
              </w:rPr>
              <w:t>Identification No.)</w:t>
            </w:r>
          </w:p>
        </w:tc>
      </w:tr>
      <w:tr>
        <w:trPr>
          <w:trHeight w:val="331"/>
        </w:trPr>
        <w:tc>
          <w:tcPr>
            <w:tcW w:w="1900" w:type="dxa"/>
            <w:vAlign w:val="bottom"/>
          </w:tcPr>
          <w:p>
            <w:pPr>
              <w:spacing w:after="0"/>
              <w:rPr>
                <w:sz w:val="24"/>
                <w:szCs w:val="24"/>
                <w:color w:val="auto"/>
              </w:rPr>
            </w:pPr>
          </w:p>
        </w:tc>
        <w:tc>
          <w:tcPr>
            <w:tcW w:w="5300" w:type="dxa"/>
            <w:vAlign w:val="bottom"/>
          </w:tcPr>
          <w:p>
            <w:pPr>
              <w:jc w:val="center"/>
              <w:ind w:right="77"/>
              <w:spacing w:after="0"/>
              <w:rPr>
                <w:sz w:val="20"/>
                <w:szCs w:val="20"/>
                <w:color w:val="auto"/>
              </w:rPr>
            </w:pPr>
            <w:r>
              <w:rPr>
                <w:rFonts w:ascii="Arial" w:cs="Arial" w:eastAsia="Arial" w:hAnsi="Arial"/>
                <w:sz w:val="18"/>
                <w:szCs w:val="18"/>
                <w:b w:val="1"/>
                <w:bCs w:val="1"/>
                <w:color w:val="auto"/>
                <w:w w:val="91"/>
              </w:rPr>
              <w:t>42, rue Saint-Dominique, Paris, France 75007</w:t>
            </w:r>
          </w:p>
        </w:tc>
        <w:tc>
          <w:tcPr>
            <w:tcW w:w="1580" w:type="dxa"/>
            <w:vAlign w:val="bottom"/>
          </w:tcPr>
          <w:p>
            <w:pPr>
              <w:spacing w:after="0"/>
              <w:rPr>
                <w:sz w:val="24"/>
                <w:szCs w:val="24"/>
                <w:color w:val="auto"/>
              </w:rPr>
            </w:pPr>
          </w:p>
        </w:tc>
      </w:tr>
      <w:tr>
        <w:trPr>
          <w:trHeight w:val="216"/>
        </w:trPr>
        <w:tc>
          <w:tcPr>
            <w:tcW w:w="1900" w:type="dxa"/>
            <w:vAlign w:val="bottom"/>
          </w:tcPr>
          <w:p>
            <w:pPr>
              <w:spacing w:after="0"/>
              <w:rPr>
                <w:sz w:val="18"/>
                <w:szCs w:val="18"/>
                <w:color w:val="auto"/>
              </w:rPr>
            </w:pPr>
          </w:p>
        </w:tc>
        <w:tc>
          <w:tcPr>
            <w:tcW w:w="5300" w:type="dxa"/>
            <w:vAlign w:val="bottom"/>
          </w:tcPr>
          <w:p>
            <w:pPr>
              <w:jc w:val="center"/>
              <w:ind w:right="77"/>
              <w:spacing w:after="0"/>
              <w:rPr>
                <w:sz w:val="20"/>
                <w:szCs w:val="20"/>
                <w:color w:val="auto"/>
              </w:rPr>
            </w:pPr>
            <w:r>
              <w:rPr>
                <w:rFonts w:ascii="Arial" w:cs="Arial" w:eastAsia="Arial" w:hAnsi="Arial"/>
                <w:sz w:val="18"/>
                <w:szCs w:val="18"/>
                <w:b w:val="1"/>
                <w:bCs w:val="1"/>
                <w:color w:val="auto"/>
                <w:w w:val="89"/>
              </w:rPr>
              <w:t>5599 San Felipe, Houston, Texas U.S.A. 77056</w:t>
            </w:r>
          </w:p>
        </w:tc>
        <w:tc>
          <w:tcPr>
            <w:tcW w:w="15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300" w:type="dxa"/>
            <w:vAlign w:val="bottom"/>
          </w:tcPr>
          <w:p>
            <w:pPr>
              <w:jc w:val="center"/>
              <w:ind w:right="77"/>
              <w:spacing w:after="0"/>
              <w:rPr>
                <w:sz w:val="20"/>
                <w:szCs w:val="20"/>
                <w:color w:val="auto"/>
              </w:rPr>
            </w:pPr>
            <w:r>
              <w:rPr>
                <w:rFonts w:ascii="Arial" w:cs="Arial" w:eastAsia="Arial" w:hAnsi="Arial"/>
                <w:sz w:val="18"/>
                <w:szCs w:val="18"/>
                <w:b w:val="1"/>
                <w:bCs w:val="1"/>
                <w:color w:val="auto"/>
                <w:w w:val="92"/>
              </w:rPr>
              <w:t>62 Buckingham Gate, London, United Kingdom SW1E 6AJ</w:t>
            </w:r>
          </w:p>
        </w:tc>
        <w:tc>
          <w:tcPr>
            <w:tcW w:w="1580" w:type="dxa"/>
            <w:vAlign w:val="bottom"/>
          </w:tcPr>
          <w:p>
            <w:pPr>
              <w:spacing w:after="0"/>
              <w:rPr>
                <w:sz w:val="18"/>
                <w:szCs w:val="18"/>
                <w:color w:val="auto"/>
              </w:rPr>
            </w:pPr>
          </w:p>
        </w:tc>
      </w:tr>
      <w:tr>
        <w:trPr>
          <w:trHeight w:val="212"/>
        </w:trPr>
        <w:tc>
          <w:tcPr>
            <w:tcW w:w="1900" w:type="dxa"/>
            <w:vAlign w:val="bottom"/>
          </w:tcPr>
          <w:p>
            <w:pPr>
              <w:spacing w:after="0"/>
              <w:rPr>
                <w:sz w:val="18"/>
                <w:szCs w:val="18"/>
                <w:color w:val="auto"/>
              </w:rPr>
            </w:pPr>
          </w:p>
        </w:tc>
        <w:tc>
          <w:tcPr>
            <w:tcW w:w="5300" w:type="dxa"/>
            <w:vAlign w:val="bottom"/>
          </w:tcPr>
          <w:p>
            <w:pPr>
              <w:jc w:val="center"/>
              <w:ind w:right="97"/>
              <w:spacing w:after="0"/>
              <w:rPr>
                <w:sz w:val="20"/>
                <w:szCs w:val="20"/>
                <w:color w:val="auto"/>
              </w:rPr>
            </w:pPr>
            <w:r>
              <w:rPr>
                <w:rFonts w:ascii="Arial" w:cs="Arial" w:eastAsia="Arial" w:hAnsi="Arial"/>
                <w:sz w:val="18"/>
                <w:szCs w:val="18"/>
                <w:b w:val="1"/>
                <w:bCs w:val="1"/>
                <w:color w:val="auto"/>
                <w:w w:val="91"/>
              </w:rPr>
              <w:t>Parkstraat 83, The Hague, The Netherlands 2514 JG</w:t>
            </w:r>
          </w:p>
        </w:tc>
        <w:tc>
          <w:tcPr>
            <w:tcW w:w="1580" w:type="dxa"/>
            <w:vAlign w:val="bottom"/>
          </w:tcPr>
          <w:p>
            <w:pPr>
              <w:spacing w:after="0"/>
              <w:rPr>
                <w:sz w:val="18"/>
                <w:szCs w:val="18"/>
                <w:color w:val="auto"/>
              </w:rPr>
            </w:pPr>
          </w:p>
        </w:tc>
      </w:tr>
      <w:tr>
        <w:trPr>
          <w:trHeight w:val="186"/>
        </w:trPr>
        <w:tc>
          <w:tcPr>
            <w:tcW w:w="1900" w:type="dxa"/>
            <w:vAlign w:val="bottom"/>
          </w:tcPr>
          <w:p>
            <w:pPr>
              <w:spacing w:after="0"/>
              <w:rPr>
                <w:sz w:val="16"/>
                <w:szCs w:val="16"/>
                <w:color w:val="auto"/>
              </w:rPr>
            </w:pPr>
          </w:p>
        </w:tc>
        <w:tc>
          <w:tcPr>
            <w:tcW w:w="5300" w:type="dxa"/>
            <w:vAlign w:val="bottom"/>
          </w:tcPr>
          <w:p>
            <w:pPr>
              <w:jc w:val="center"/>
              <w:ind w:right="77"/>
              <w:spacing w:after="0"/>
              <w:rPr>
                <w:sz w:val="20"/>
                <w:szCs w:val="20"/>
                <w:color w:val="auto"/>
              </w:rPr>
            </w:pPr>
            <w:r>
              <w:rPr>
                <w:rFonts w:ascii="Arial" w:cs="Arial" w:eastAsia="Arial" w:hAnsi="Arial"/>
                <w:sz w:val="14"/>
                <w:szCs w:val="14"/>
                <w:b w:val="1"/>
                <w:bCs w:val="1"/>
                <w:color w:val="auto"/>
                <w:w w:val="90"/>
              </w:rPr>
              <w:t>(Addresses of principal executive offices and zip or postal codes)</w:t>
            </w:r>
          </w:p>
        </w:tc>
        <w:tc>
          <w:tcPr>
            <w:tcW w:w="1580" w:type="dxa"/>
            <w:vAlign w:val="bottom"/>
          </w:tcPr>
          <w:p>
            <w:pPr>
              <w:spacing w:after="0"/>
              <w:rPr>
                <w:sz w:val="16"/>
                <w:szCs w:val="16"/>
                <w:color w:val="auto"/>
              </w:rPr>
            </w:pPr>
          </w:p>
        </w:tc>
      </w:tr>
    </w:tbl>
    <w:p>
      <w:pPr>
        <w:spacing w:after="0" w:line="10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180340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 w:right="2560" w:hanging="4"/>
        <w:spacing w:after="0" w:line="409"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3"/>
                <w:szCs w:val="13"/>
                <w:color w:val="auto"/>
              </w:rPr>
            </w:pPr>
          </w:p>
        </w:tc>
        <w:tc>
          <w:tcPr>
            <w:tcW w:w="362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3"/>
                <w:szCs w:val="13"/>
                <w:color w:val="auto"/>
              </w:rPr>
            </w:pP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28"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On March 24, 2020, Olivier Le Peuch, Chief Executive Officer of Schlumberger Limited (“Schlumberger”), presented at the 2020 Scotia Howard Weil Energy Conference held via virtual webcast, where, among other things, he provided an operational update and discussed Schlumberger’s response to the COVID-19 outbreak. Slides in connection with the conference are available on the Schlumberger Investor Relations website at https://investorcenter.slb.com/investor-presentations.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The presentation referred to above contains “forward-looking statements” within the meaning of the federal securities laws — that is, statements about the future, not about past events. Such statements often contain words such as “expect,” “may,” “believe,” “plan,” “estimate,” “intend,” “anticipate,” “should,” “could,” “will,” “see,” “likely,” and other similar words. Forward-looking statements address matters that are, to varying degrees, uncertain, such as statements about our financial and performance targets and other forecasts or expectations regarding, or dependent on, our business outlook; the growth for Schlumberger as a whole and for each of our product lines (and for specified products or geographic areas within each product line); oil and natural gas demand and production growth; oil and natural gas prices; pricing; Schlumberger’s response to, and preparedness for, the COVID-19 outbreak; access to raw materials; improvements in operating procedures and technology; capital expenditures by Schlumberger, as well as by the oil and gas industry; the business strategies of Schlumberger and those of its customers; Schlumberger’s acquisitions, joint ventures and alliances, as well as divestitures;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our inability to achieve our financial and performance targets and other forecasts and expectations; our inability to sufficiently monetize assets; general economic, geopolitical and business conditions in key regions of the world; foreign currency risk; pricing pressure; weather and seasonal factors; unfavorable effects of health pandemics; availability and cost of raw materials; operational modifications, delays or cancellations; challenges in our supply chain;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most recent Forms 10-K, 10-Q, and 8-K filed with or furnished to the SEC.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the presentation, and Schlumberger disclaims any intention or obligation to update publicly or revise such statements, whether as a result of new information, future events or otherwise.</w:t>
      </w:r>
    </w:p>
    <w:p>
      <w:pPr>
        <w:sectPr>
          <w:pgSz w:w="11900" w:h="16838" w:orient="portrait"/>
          <w:cols w:equalWidth="0" w:num="1">
            <w:col w:w="11000"/>
          </w:cols>
          <w:pgMar w:left="440" w:top="297" w:right="4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2020</w:t>
      </w:r>
    </w:p>
    <w:sectPr>
      <w:pgSz w:w="11900" w:h="16838" w:orient="portrait"/>
      <w:cols w:equalWidth="0" w:num="1">
        <w:col w:w="10780"/>
      </w:cols>
      <w:pgMar w:left="440" w:top="29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2020-03-24T08:08:21Z</dcterms:created>
  <dcterms:modified xsi:type="dcterms:W3CDTF">2020-03-24T08:08:21Z</dcterms:modified>
</cp:coreProperties>
</file>