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BORR DRILLING LIMITED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Shares, par value $0.10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G1466R207</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960" w:hanging="532"/>
        <w:spacing w:after="0"/>
        <w:tabs>
          <w:tab w:leader="none" w:pos="9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67" w:hanging="377"/>
        <w:spacing w:after="0"/>
        <w:tabs>
          <w:tab w:leader="none" w:pos="4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36" w:lineRule="exact"/>
        <w:rPr>
          <w:sz w:val="20"/>
          <w:szCs w:val="20"/>
          <w:color w:val="auto"/>
        </w:rPr>
      </w:pPr>
    </w:p>
    <w:p>
      <w:pPr>
        <w:ind w:left="467" w:hanging="377"/>
        <w:spacing w:after="0"/>
        <w:tabs>
          <w:tab w:leader="none" w:pos="46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Curaçao</w:t>
      </w:r>
    </w:p>
    <w:p>
      <w:pPr>
        <w:spacing w:after="0" w:line="36"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7,565,850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7,565,850 Common Shares</w:t>
      </w:r>
    </w:p>
    <w:p>
      <w:pPr>
        <w:spacing w:after="0" w:line="36" w:lineRule="exact"/>
        <w:rPr>
          <w:sz w:val="20"/>
          <w:szCs w:val="20"/>
          <w:color w:val="auto"/>
        </w:rPr>
      </w:pPr>
    </w:p>
    <w:p>
      <w:pPr>
        <w:ind w:left="447" w:hanging="357"/>
        <w:spacing w:after="0"/>
        <w:tabs>
          <w:tab w:leader="none" w:pos="4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7,565,850 Common Shares</w:t>
      </w:r>
    </w:p>
    <w:p>
      <w:pPr>
        <w:spacing w:after="0" w:line="36" w:lineRule="exact"/>
        <w:rPr>
          <w:sz w:val="20"/>
          <w:szCs w:val="20"/>
          <w:color w:val="auto"/>
        </w:rPr>
      </w:pPr>
    </w:p>
    <w:p>
      <w:pPr>
        <w:ind w:left="467" w:hanging="467"/>
        <w:spacing w:after="0"/>
        <w:tabs>
          <w:tab w:leader="none" w:pos="4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467"/>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467" w:hanging="467"/>
        <w:spacing w:after="0"/>
        <w:tabs>
          <w:tab w:leader="none" w:pos="46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36" w:lineRule="exact"/>
        <w:rPr>
          <w:rFonts w:ascii="Times New Roman" w:cs="Times New Roman" w:eastAsia="Times New Roman" w:hAnsi="Times New Roman"/>
          <w:sz w:val="18"/>
          <w:szCs w:val="18"/>
          <w:color w:val="auto"/>
        </w:rPr>
      </w:pPr>
    </w:p>
    <w:p>
      <w:pPr>
        <w:ind w:left="467" w:right="7780" w:hanging="467"/>
        <w:spacing w:after="0" w:line="547" w:lineRule="auto"/>
        <w:tabs>
          <w:tab w:leader="none" w:pos="46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HC</w:t>
      </w:r>
    </w:p>
    <w:p>
      <w:pPr>
        <w:spacing w:after="0" w:line="1" w:lineRule="exact"/>
        <w:rPr>
          <w:rFonts w:ascii="Times New Roman" w:cs="Times New Roman" w:eastAsia="Times New Roman" w:hAnsi="Times New Roman"/>
          <w:sz w:val="18"/>
          <w:szCs w:val="18"/>
          <w:color w:val="auto"/>
        </w:rPr>
      </w:pPr>
    </w:p>
    <w:p>
      <w:pPr>
        <w:ind w:left="67" w:right="2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on 228,858,246 Common Shares outstanding as of September 30, 2022, as reported on the Form 6-K submitted by the Issuer to the Securities and Exchange Commission (the “SEC”) on November 17, 2022.</w:t>
      </w:r>
    </w:p>
    <w:p>
      <w:pPr>
        <w:sectPr>
          <w:pgSz w:w="11900" w:h="16838" w:orient="portrait"/>
          <w:cols w:equalWidth="0" w:num="1">
            <w:col w:w="10747"/>
          </w:cols>
          <w:pgMar w:left="593" w:top="283" w:right="559" w:bottom="1440" w:gutter="0" w:footer="0" w:header="0"/>
        </w:sectPr>
      </w:pPr>
    </w:p>
    <w:bookmarkStart w:id="2" w:name="page3"/>
    <w:bookmarkEnd w:id="2"/>
    <w:p>
      <w:pPr>
        <w:ind w:left="467" w:hanging="377"/>
        <w:spacing w:after="0"/>
        <w:tabs>
          <w:tab w:leader="none" w:pos="4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-127635</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Schlumberger Oilfield Holdings Limited</w:t>
      </w:r>
    </w:p>
    <w:p>
      <w:pPr>
        <w:spacing w:after="0" w:line="36" w:lineRule="exact"/>
        <w:rPr>
          <w:sz w:val="20"/>
          <w:szCs w:val="20"/>
          <w:color w:val="auto"/>
        </w:rPr>
      </w:pPr>
    </w:p>
    <w:p>
      <w:pPr>
        <w:ind w:left="467" w:hanging="377"/>
        <w:spacing w:after="0"/>
        <w:tabs>
          <w:tab w:leader="none" w:pos="4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3" w:lineRule="exact"/>
        <w:rPr>
          <w:sz w:val="20"/>
          <w:szCs w:val="20"/>
          <w:color w:val="auto"/>
        </w:rPr>
      </w:pPr>
    </w:p>
    <w:p>
      <w:pPr>
        <w:ind w:left="467"/>
        <w:spacing w:after="0" w:line="207" w:lineRule="exact"/>
        <w:tabs>
          <w:tab w:leader="none" w:pos="1246"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467" w:hanging="377"/>
        <w:spacing w:after="0"/>
        <w:tabs>
          <w:tab w:leader="none" w:pos="4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68" w:lineRule="exact"/>
        <w:rPr>
          <w:sz w:val="20"/>
          <w:szCs w:val="20"/>
          <w:color w:val="auto"/>
        </w:rPr>
      </w:pPr>
    </w:p>
    <w:p>
      <w:pPr>
        <w:ind w:left="467" w:hanging="377"/>
        <w:spacing w:after="0"/>
        <w:tabs>
          <w:tab w:leader="none" w:pos="4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52"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Virgin Islands</w:t>
      </w:r>
    </w:p>
    <w:p>
      <w:pPr>
        <w:spacing w:after="0" w:line="36" w:lineRule="exact"/>
        <w:rPr>
          <w:rFonts w:ascii="Times New Roman" w:cs="Times New Roman" w:eastAsia="Times New Roman" w:hAnsi="Times New Roman"/>
          <w:sz w:val="18"/>
          <w:szCs w:val="18"/>
          <w:color w:val="auto"/>
        </w:rPr>
      </w:pPr>
    </w:p>
    <w:p>
      <w:pPr>
        <w:ind w:left="1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52" w:lineRule="exact"/>
        <w:rPr>
          <w:sz w:val="20"/>
          <w:szCs w:val="20"/>
          <w:color w:val="auto"/>
        </w:rPr>
      </w:pPr>
    </w:p>
    <w:tbl>
      <w:tblPr>
        <w:tblLayout w:type="fixed"/>
        <w:tblInd w:w="47" w:type="dxa"/>
        <w:tblCellMar>
          <w:top w:w="0" w:type="dxa"/>
          <w:left w:w="0" w:type="dxa"/>
          <w:bottom w:w="0" w:type="dxa"/>
          <w:right w:w="0" w:type="dxa"/>
        </w:tblCellMar>
      </w:tblPr>
      <w:tr>
        <w:trPr>
          <w:trHeight w:val="248"/>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1"/>
                <w:szCs w:val="21"/>
                <w:color w:val="auto"/>
              </w:rPr>
            </w:pPr>
          </w:p>
        </w:tc>
        <w:tc>
          <w:tcPr>
            <w:tcW w:w="9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60" w:type="dxa"/>
            <w:vAlign w:val="bottom"/>
          </w:tcPr>
          <w:p>
            <w:pPr>
              <w:spacing w:after="0"/>
              <w:rPr>
                <w:sz w:val="18"/>
                <w:szCs w:val="18"/>
                <w:color w:val="auto"/>
              </w:rPr>
            </w:pP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7,565,850 Common Shares</w:t>
            </w:r>
          </w:p>
        </w:tc>
        <w:tc>
          <w:tcPr>
            <w:tcW w:w="0" w:type="dxa"/>
            <w:vAlign w:val="bottom"/>
          </w:tcPr>
          <w:p>
            <w:pPr>
              <w:spacing w:after="0"/>
              <w:rPr>
                <w:sz w:val="1"/>
                <w:szCs w:val="1"/>
                <w:color w:val="auto"/>
              </w:rPr>
            </w:pPr>
          </w:p>
        </w:tc>
      </w:tr>
      <w:tr>
        <w:trPr>
          <w:trHeight w:val="2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rPr>
              <w:t>EACH</w:t>
            </w:r>
          </w:p>
        </w:tc>
        <w:tc>
          <w:tcPr>
            <w:tcW w:w="36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3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00" w:type="dxa"/>
            <w:vAlign w:val="bottom"/>
            <w:vMerge w:val="continue"/>
          </w:tcPr>
          <w:p>
            <w:pPr>
              <w:spacing w:after="0"/>
              <w:rPr>
                <w:sz w:val="12"/>
                <w:szCs w:val="12"/>
                <w:color w:val="auto"/>
              </w:rPr>
            </w:pP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0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67"/>
        <w:spacing w:after="0"/>
        <w:rPr>
          <w:sz w:val="20"/>
          <w:szCs w:val="20"/>
          <w:color w:val="auto"/>
        </w:rPr>
      </w:pPr>
      <w:r>
        <w:rPr>
          <w:rFonts w:ascii="Times New Roman" w:cs="Times New Roman" w:eastAsia="Times New Roman" w:hAnsi="Times New Roman"/>
          <w:sz w:val="18"/>
          <w:szCs w:val="18"/>
          <w:color w:val="auto"/>
        </w:rPr>
        <w:t>7,565,850 Common Shares</w:t>
      </w:r>
    </w:p>
    <w:p>
      <w:pPr>
        <w:spacing w:after="0" w:line="36" w:lineRule="exact"/>
        <w:rPr>
          <w:sz w:val="20"/>
          <w:szCs w:val="20"/>
          <w:color w:val="auto"/>
        </w:rPr>
      </w:pPr>
    </w:p>
    <w:p>
      <w:pPr>
        <w:ind w:left="447" w:hanging="357"/>
        <w:spacing w:after="0"/>
        <w:tabs>
          <w:tab w:leader="none" w:pos="4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sz w:val="20"/>
          <w:szCs w:val="20"/>
          <w:color w:val="auto"/>
        </w:rPr>
      </w:pPr>
    </w:p>
    <w:p>
      <w:pPr>
        <w:ind w:left="467"/>
        <w:spacing w:after="0"/>
        <w:rPr>
          <w:sz w:val="20"/>
          <w:szCs w:val="20"/>
          <w:color w:val="auto"/>
        </w:rPr>
      </w:pPr>
      <w:r>
        <w:rPr>
          <w:rFonts w:ascii="Times New Roman" w:cs="Times New Roman" w:eastAsia="Times New Roman" w:hAnsi="Times New Roman"/>
          <w:sz w:val="18"/>
          <w:szCs w:val="18"/>
          <w:color w:val="auto"/>
        </w:rPr>
        <w:t>7,565,850 Common Shares</w:t>
      </w:r>
    </w:p>
    <w:p>
      <w:pPr>
        <w:spacing w:after="0" w:line="36" w:lineRule="exact"/>
        <w:rPr>
          <w:sz w:val="20"/>
          <w:szCs w:val="20"/>
          <w:color w:val="auto"/>
        </w:rPr>
      </w:pPr>
    </w:p>
    <w:p>
      <w:pPr>
        <w:ind w:left="467" w:hanging="467"/>
        <w:spacing w:after="0"/>
        <w:tabs>
          <w:tab w:leader="none" w:pos="4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spacing w:after="0" w:line="223" w:lineRule="exact"/>
        <w:rPr>
          <w:rFonts w:ascii="Times New Roman" w:cs="Times New Roman" w:eastAsia="Times New Roman" w:hAnsi="Times New Roman"/>
          <w:sz w:val="18"/>
          <w:szCs w:val="18"/>
          <w:color w:val="auto"/>
        </w:rPr>
      </w:pPr>
    </w:p>
    <w:p>
      <w:pPr>
        <w:ind w:left="467"/>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467" w:hanging="467"/>
        <w:spacing w:after="0"/>
        <w:tabs>
          <w:tab w:leader="none" w:pos="4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40" w:lineRule="exact"/>
        <w:rPr>
          <w:rFonts w:ascii="Times New Roman" w:cs="Times New Roman" w:eastAsia="Times New Roman" w:hAnsi="Times New Roman"/>
          <w:sz w:val="18"/>
          <w:szCs w:val="18"/>
          <w:color w:val="auto"/>
        </w:rPr>
      </w:pPr>
    </w:p>
    <w:p>
      <w:pPr>
        <w:ind w:left="4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36" w:lineRule="exact"/>
        <w:rPr>
          <w:rFonts w:ascii="Times New Roman" w:cs="Times New Roman" w:eastAsia="Times New Roman" w:hAnsi="Times New Roman"/>
          <w:sz w:val="18"/>
          <w:szCs w:val="18"/>
          <w:color w:val="auto"/>
        </w:rPr>
      </w:pPr>
    </w:p>
    <w:p>
      <w:pPr>
        <w:ind w:left="467" w:right="7780" w:hanging="467"/>
        <w:spacing w:after="0" w:line="547" w:lineRule="auto"/>
        <w:tabs>
          <w:tab w:leader="none" w:pos="46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1" w:lineRule="exact"/>
        <w:rPr>
          <w:rFonts w:ascii="Times New Roman" w:cs="Times New Roman" w:eastAsia="Times New Roman" w:hAnsi="Times New Roman"/>
          <w:sz w:val="18"/>
          <w:szCs w:val="18"/>
          <w:color w:val="auto"/>
        </w:rPr>
      </w:pPr>
    </w:p>
    <w:p>
      <w:pPr>
        <w:ind w:left="67" w:right="180" w:hanging="216"/>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Based on 228,858,246 Common Shares outstanding as of September 30, 2022, as reported on the Form 6-K submitted by the Issuer to the SEC on November 17, 2022.</w:t>
      </w:r>
    </w:p>
    <w:p>
      <w:pPr>
        <w:sectPr>
          <w:pgSz w:w="11900" w:h="16838" w:orient="portrait"/>
          <w:cols w:equalWidth="0" w:num="1">
            <w:col w:w="10747"/>
          </w:cols>
          <w:pgMar w:left="593" w:top="283"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w:t>
      </w:r>
    </w:p>
    <w:p>
      <w:pPr>
        <w:spacing w:after="0" w:line="131" w:lineRule="exact"/>
        <w:rPr>
          <w:sz w:val="20"/>
          <w:szCs w:val="20"/>
          <w:color w:val="auto"/>
        </w:rPr>
      </w:pPr>
    </w:p>
    <w:p>
      <w:pPr>
        <w:ind w:left="980" w:right="8340" w:hanging="552"/>
        <w:spacing w:after="0" w:line="406" w:lineRule="auto"/>
        <w:tabs>
          <w:tab w:leader="none" w:pos="96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Borr Drilling Limited</w:t>
      </w: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E. Pearman Building</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2nd Floor 9 Par-la-Ville Road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Hamilton, HM 11, Bermuda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31" w:lineRule="exact"/>
        <w:rPr>
          <w:sz w:val="20"/>
          <w:szCs w:val="20"/>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 Filing:</w:t>
      </w:r>
    </w:p>
    <w:p>
      <w:pPr>
        <w:spacing w:after="0" w:line="121" w:lineRule="exact"/>
        <w:rPr>
          <w:rFonts w:ascii="Times New Roman" w:cs="Times New Roman" w:eastAsia="Times New Roman" w:hAnsi="Times New Roman"/>
          <w:sz w:val="18"/>
          <w:szCs w:val="18"/>
          <w:color w:val="auto"/>
        </w:rPr>
      </w:pPr>
    </w:p>
    <w:p>
      <w:pPr>
        <w:ind w:left="9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13G/A is being jointly filed on behalf of Schlumberger N.V. (Schlumberger Limited), a corporation formed under the laws of Curaçao (“SLB”), and Schlumberger Oilfield Holdings Limited, a corporation formed under the laws of the British Virgin Islands (“SOHL” and, together with SLB, the “Reporting Persons”). SLB is the sole stockholder of SOHL.</w:t>
      </w:r>
    </w:p>
    <w:p>
      <w:pPr>
        <w:spacing w:after="0" w:line="7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Business Office:</w:t>
      </w:r>
    </w:p>
    <w:p>
      <w:pPr>
        <w:spacing w:after="0" w:line="121" w:lineRule="exact"/>
        <w:rPr>
          <w:rFonts w:ascii="Times New Roman" w:cs="Times New Roman" w:eastAsia="Times New Roman" w:hAnsi="Times New Roman"/>
          <w:sz w:val="18"/>
          <w:szCs w:val="18"/>
          <w:color w:val="auto"/>
        </w:rPr>
      </w:pPr>
    </w:p>
    <w:p>
      <w:pPr>
        <w:ind w:left="980" w:right="2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SLB for purposes of this Schedule 13G/A is 5599 San Felipe, 17th Floor Houston, Texas 77056. The business address of SOHL is Craigmuir Chambers, P.O. Box 71, Road Town, Tortola, British Virgin Islands.</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Citizenship:</w:t>
      </w:r>
    </w:p>
    <w:p>
      <w:pPr>
        <w:spacing w:after="0" w:line="12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SLB is organized under the laws of Curaçao. SOHL is organized under the laws of the British Virgin Islands.</w:t>
      </w:r>
    </w:p>
    <w:p>
      <w:pPr>
        <w:spacing w:after="0" w:line="126" w:lineRule="exact"/>
        <w:rPr>
          <w:rFonts w:ascii="Times New Roman" w:cs="Times New Roman" w:eastAsia="Times New Roman" w:hAnsi="Times New Roman"/>
          <w:sz w:val="18"/>
          <w:szCs w:val="18"/>
          <w:color w:val="auto"/>
        </w:rPr>
      </w:pPr>
    </w:p>
    <w:p>
      <w:pPr>
        <w:ind w:left="980" w:right="7860" w:hanging="552"/>
        <w:spacing w:after="0" w:line="406" w:lineRule="auto"/>
        <w:tabs>
          <w:tab w:leader="none" w:pos="96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Title of Class of Securities: </w:t>
      </w:r>
      <w:r>
        <w:rPr>
          <w:rFonts w:ascii="Times New Roman" w:cs="Times New Roman" w:eastAsia="Times New Roman" w:hAnsi="Times New Roman"/>
          <w:sz w:val="17"/>
          <w:szCs w:val="17"/>
          <w:color w:val="auto"/>
        </w:rPr>
        <w:t>Common Shares</w:t>
      </w:r>
    </w:p>
    <w:p>
      <w:pPr>
        <w:ind w:left="980" w:right="8620" w:hanging="552"/>
        <w:spacing w:after="0" w:line="412" w:lineRule="auto"/>
        <w:tabs>
          <w:tab w:leader="none" w:pos="96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CUSIP Number: </w:t>
      </w:r>
      <w:r>
        <w:rPr>
          <w:rFonts w:ascii="Times New Roman" w:cs="Times New Roman" w:eastAsia="Times New Roman" w:hAnsi="Times New Roman"/>
          <w:sz w:val="18"/>
          <w:szCs w:val="18"/>
          <w:color w:val="auto"/>
        </w:rPr>
        <w:t>G1466R207</w:t>
      </w:r>
    </w:p>
    <w:p>
      <w:pPr>
        <w:spacing w:after="0" w:line="19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1100" w:right="6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pages hereto for each Reporting Person and is incorporated herein by reference for each such Reporting Person.</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1100" w:right="16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1080" w:right="44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440" w:top="266" w:right="57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a Group.</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19"/>
          </w:cols>
          <w:pgMar w:left="440" w:top="266"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26, 2023</w:t>
            </w: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Schlumberger Limited</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36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Schlumberger Oilfield Holdings Limited</w:t>
            </w:r>
          </w:p>
        </w:tc>
      </w:tr>
      <w:tr>
        <w:trPr>
          <w:trHeight w:val="432"/>
        </w:trPr>
        <w:tc>
          <w:tcPr>
            <w:tcW w:w="364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Celia Rodrigues</w:t>
            </w:r>
          </w:p>
        </w:tc>
      </w:tr>
      <w:tr>
        <w:trPr>
          <w:trHeight w:val="205"/>
        </w:trPr>
        <w:tc>
          <w:tcPr>
            <w:tcW w:w="364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Celia Rodrigues</w:t>
            </w:r>
          </w:p>
        </w:tc>
      </w:tr>
      <w:tr>
        <w:trPr>
          <w:trHeight w:val="234"/>
        </w:trPr>
        <w:tc>
          <w:tcPr>
            <w:tcW w:w="3640" w:type="dxa"/>
            <w:vAlign w:val="bottom"/>
          </w:tcPr>
          <w:p>
            <w:pPr>
              <w:spacing w:after="0"/>
              <w:rPr>
                <w:sz w:val="20"/>
                <w:szCs w:val="20"/>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
      <w:numFmt w:val="bullet"/>
      <w:start w:val="1"/>
    </w:lvl>
    <w:lvl w:ilvl="1">
      <w:lvlJc w:val="left"/>
      <w:lvlText w:val="%2"/>
      <w:numFmt w:val="decimal"/>
      <w:start w:val="10"/>
    </w:lvl>
  </w:abstractNum>
  <w:abstractNum w:abstractNumId="8">
    <w:nsid w:val="140E0F76"/>
    <w:multiLevelType w:val="hybridMultilevel"/>
    <w:lvl w:ilvl="0">
      <w:lvlJc w:val="left"/>
      <w:lvlText w:val="1"/>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4"/>
      <w:numFmt w:val="bullet"/>
      <w:start w:val="1"/>
    </w:lvl>
  </w:abstractNum>
  <w:abstractNum w:abstractNumId="12">
    <w:nsid w:val="7FDCC233"/>
    <w:multiLevelType w:val="hybridMultilevel"/>
    <w:lvl w:ilvl="0">
      <w:lvlJc w:val="left"/>
      <w:lvlText w:val="9"/>
      <w:numFmt w:val="bullet"/>
      <w:start w:val="1"/>
    </w:lvl>
  </w:abstractNum>
  <w:abstractNum w:abstractNumId="13">
    <w:nsid w:val="1BEFD79F"/>
    <w:multiLevelType w:val="hybridMultilevel"/>
    <w:lvl w:ilvl="0">
      <w:lvlJc w:val="left"/>
      <w:lvlText w:val="*"/>
      <w:numFmt w:val="bullet"/>
      <w:start w:val="1"/>
    </w:lvl>
    <w:lvl w:ilvl="1">
      <w:lvlJc w:val="left"/>
      <w:lvlText w:val="%2"/>
      <w:numFmt w:val="decimal"/>
      <w:start w:val="10"/>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2023-01-26T09:59:51Z</dcterms:created>
  <dcterms:modified xsi:type="dcterms:W3CDTF">2023-01-26T09:59:51Z</dcterms:modified>
</cp:coreProperties>
</file>