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NAUTICUS ROBOTICS,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63911H 108</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304800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4" w:right="9720" w:hanging="4"/>
        <w:spacing w:after="0" w:line="229" w:lineRule="exact"/>
        <w:tabs>
          <w:tab w:leader="none" w:pos="211"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Rule 13d-1(b)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13d-1(c)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13d-1(d)</w:t>
      </w:r>
    </w:p>
    <w:p>
      <w:pPr>
        <w:spacing w:after="0" w:line="207" w:lineRule="exact"/>
        <w:rPr>
          <w:sz w:val="24"/>
          <w:szCs w:val="24"/>
          <w:color w:val="auto"/>
        </w:rPr>
      </w:pPr>
    </w:p>
    <w:p>
      <w:pPr>
        <w:ind w:left="424"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376" w:right="519" w:bottom="1440" w:gutter="0" w:footer="0" w:header="0"/>
        </w:sectPr>
      </w:pPr>
    </w:p>
    <w:bookmarkStart w:id="1" w:name="page2"/>
    <w:bookmarkEnd w:id="1"/>
    <w:p>
      <w:pPr>
        <w:ind w:left="624" w:hanging="377"/>
        <w:spacing w:after="0"/>
        <w:tabs>
          <w:tab w:leader="none" w:pos="6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Schlumberger N.V. (Schlumberger Limited)</w:t>
      </w:r>
    </w:p>
    <w:p>
      <w:pPr>
        <w:spacing w:after="0" w:line="36" w:lineRule="exact"/>
        <w:rPr>
          <w:sz w:val="20"/>
          <w:szCs w:val="20"/>
          <w:color w:val="auto"/>
        </w:rPr>
      </w:pPr>
    </w:p>
    <w:p>
      <w:pPr>
        <w:ind w:left="624" w:hanging="377"/>
        <w:spacing w:after="0"/>
        <w:tabs>
          <w:tab w:leader="none" w:pos="6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Curaçao</w:t>
      </w:r>
    </w:p>
    <w:p>
      <w:pPr>
        <w:spacing w:after="0" w:line="36" w:lineRule="exact"/>
        <w:rPr>
          <w:rFonts w:ascii="Times New Roman" w:cs="Times New Roman" w:eastAsia="Times New Roman" w:hAnsi="Times New Roman"/>
          <w:sz w:val="18"/>
          <w:szCs w:val="18"/>
          <w:color w:val="auto"/>
        </w:rPr>
      </w:pPr>
    </w:p>
    <w:p>
      <w:pPr>
        <w:ind w:left="1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8,682,920*</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8,682,920*</w:t>
      </w:r>
    </w:p>
    <w:p>
      <w:pPr>
        <w:spacing w:after="0" w:line="36" w:lineRule="exact"/>
        <w:rPr>
          <w:sz w:val="20"/>
          <w:szCs w:val="20"/>
          <w:color w:val="auto"/>
        </w:rPr>
      </w:pPr>
    </w:p>
    <w:p>
      <w:pPr>
        <w:ind w:left="604" w:hanging="357"/>
        <w:spacing w:after="0"/>
        <w:tabs>
          <w:tab w:leader="none" w:pos="60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8,682,920*</w:t>
      </w:r>
    </w:p>
    <w:p>
      <w:pPr>
        <w:spacing w:after="0" w:line="36" w:lineRule="exact"/>
        <w:rPr>
          <w:sz w:val="20"/>
          <w:szCs w:val="20"/>
          <w:color w:val="auto"/>
        </w:rPr>
      </w:pPr>
    </w:p>
    <w:p>
      <w:pPr>
        <w:ind w:left="624" w:hanging="467"/>
        <w:spacing w:after="0"/>
        <w:tabs>
          <w:tab w:leader="none" w:pos="6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04"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18.4%</w:t>
      </w:r>
      <w:r>
        <w:rPr>
          <w:rFonts w:ascii="Times New Roman" w:cs="Times New Roman" w:eastAsia="Times New Roman" w:hAnsi="Times New Roman"/>
          <w:sz w:val="26"/>
          <w:szCs w:val="26"/>
          <w:color w:val="auto"/>
          <w:vertAlign w:val="superscript"/>
        </w:rPr>
        <w:t>+</w:t>
      </w:r>
    </w:p>
    <w:p>
      <w:pPr>
        <w:ind w:left="624" w:right="7880" w:hanging="467"/>
        <w:spacing w:after="0" w:line="536" w:lineRule="auto"/>
        <w:tabs>
          <w:tab w:leader="none" w:pos="62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HC</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Excludes 1,981,164 additional shares of Common Stock that Schlumberger Technology Corporation (“STC”) has the right to receive if, on or</w:t>
      </w:r>
    </w:p>
    <w:p>
      <w:pPr>
        <w:spacing w:after="0" w:line="27" w:lineRule="exact"/>
        <w:rPr>
          <w:sz w:val="20"/>
          <w:szCs w:val="20"/>
          <w:color w:val="auto"/>
        </w:rPr>
      </w:pPr>
    </w:p>
    <w:p>
      <w:pPr>
        <w:ind w:left="424"/>
        <w:spacing w:after="0" w:line="250" w:lineRule="auto"/>
        <w:rPr>
          <w:sz w:val="20"/>
          <w:szCs w:val="20"/>
          <w:color w:val="auto"/>
        </w:rPr>
      </w:pPr>
      <w:r>
        <w:rPr>
          <w:rFonts w:ascii="Times New Roman" w:cs="Times New Roman" w:eastAsia="Times New Roman" w:hAnsi="Times New Roman"/>
          <w:sz w:val="18"/>
          <w:szCs w:val="18"/>
          <w:color w:val="auto"/>
        </w:rPr>
        <w:t>before December 16, 2026, the Common Stock meets or exceeds certain target prices as set forth in the Merger Agreement (“Merger Agreement”), dated as of December 16, 2021, as amended on January 30, 2022 and June 6, 2022, by and among CleanTech Acquisition Corp., CleanTech Merger Sub, Inc., Nauticus Robotics, Inc., and Nicolaus Radford, solely in his capacity as the stockholder representative.</w:t>
      </w:r>
    </w:p>
    <w:p>
      <w:pPr>
        <w:spacing w:after="0" w:line="1" w:lineRule="exact"/>
        <w:rPr>
          <w:sz w:val="20"/>
          <w:szCs w:val="20"/>
          <w:color w:val="auto"/>
        </w:rPr>
      </w:pPr>
    </w:p>
    <w:p>
      <w:pPr>
        <w:ind w:left="424" w:right="40" w:hanging="424"/>
        <w:spacing w:after="0" w:line="200" w:lineRule="auto"/>
        <w:tabs>
          <w:tab w:leader="none" w:pos="424"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Based on 47,250,771 shares of Common Stock outstanding as of November 14, 2022, as reported on the Form 10-Q submitted by the Issuer to the Securities and Exchange Commission (the “SEC”) on November 14, 2022.</w:t>
      </w:r>
    </w:p>
    <w:p>
      <w:pPr>
        <w:sectPr>
          <w:pgSz w:w="11900" w:h="16838" w:orient="portrait"/>
          <w:cols w:equalWidth="0" w:num="1">
            <w:col w:w="11004"/>
          </w:cols>
          <w:pgMar w:left="436" w:top="283" w:right="459" w:bottom="1440" w:gutter="0" w:footer="0" w:header="0"/>
        </w:sectPr>
      </w:pPr>
    </w:p>
    <w:bookmarkStart w:id="2" w:name="page3"/>
    <w:bookmarkEnd w:id="2"/>
    <w:p>
      <w:pPr>
        <w:ind w:left="624" w:hanging="377"/>
        <w:spacing w:after="0"/>
        <w:tabs>
          <w:tab w:leader="none" w:pos="6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Schlumberger B.V.</w:t>
      </w:r>
    </w:p>
    <w:p>
      <w:pPr>
        <w:spacing w:after="0" w:line="36" w:lineRule="exact"/>
        <w:rPr>
          <w:sz w:val="20"/>
          <w:szCs w:val="20"/>
          <w:color w:val="auto"/>
        </w:rPr>
      </w:pPr>
    </w:p>
    <w:p>
      <w:pPr>
        <w:ind w:left="624" w:hanging="377"/>
        <w:spacing w:after="0"/>
        <w:tabs>
          <w:tab w:leader="none" w:pos="6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Netherlands</w:t>
      </w:r>
    </w:p>
    <w:p>
      <w:pPr>
        <w:spacing w:after="0" w:line="36" w:lineRule="exact"/>
        <w:rPr>
          <w:rFonts w:ascii="Times New Roman" w:cs="Times New Roman" w:eastAsia="Times New Roman" w:hAnsi="Times New Roman"/>
          <w:sz w:val="18"/>
          <w:szCs w:val="18"/>
          <w:color w:val="auto"/>
        </w:rPr>
      </w:pPr>
    </w:p>
    <w:p>
      <w:pPr>
        <w:ind w:left="1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8,682,920*</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8,682,920*</w:t>
      </w:r>
    </w:p>
    <w:p>
      <w:pPr>
        <w:spacing w:after="0" w:line="36" w:lineRule="exact"/>
        <w:rPr>
          <w:sz w:val="20"/>
          <w:szCs w:val="20"/>
          <w:color w:val="auto"/>
        </w:rPr>
      </w:pPr>
    </w:p>
    <w:p>
      <w:pPr>
        <w:ind w:left="604" w:hanging="357"/>
        <w:spacing w:after="0"/>
        <w:tabs>
          <w:tab w:leader="none" w:pos="6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8,682,920*</w:t>
      </w:r>
    </w:p>
    <w:p>
      <w:pPr>
        <w:spacing w:after="0" w:line="36" w:lineRule="exact"/>
        <w:rPr>
          <w:sz w:val="20"/>
          <w:szCs w:val="20"/>
          <w:color w:val="auto"/>
        </w:rPr>
      </w:pPr>
    </w:p>
    <w:p>
      <w:pPr>
        <w:ind w:left="624" w:hanging="467"/>
        <w:spacing w:after="0"/>
        <w:tabs>
          <w:tab w:leader="none" w:pos="6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04"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18.4%</w:t>
      </w:r>
      <w:r>
        <w:rPr>
          <w:rFonts w:ascii="Times New Roman" w:cs="Times New Roman" w:eastAsia="Times New Roman" w:hAnsi="Times New Roman"/>
          <w:sz w:val="26"/>
          <w:szCs w:val="26"/>
          <w:color w:val="auto"/>
          <w:vertAlign w:val="superscript"/>
        </w:rPr>
        <w:t>+</w:t>
      </w:r>
    </w:p>
    <w:p>
      <w:pPr>
        <w:ind w:left="624" w:right="7840" w:hanging="467"/>
        <w:spacing w:after="0" w:line="536" w:lineRule="auto"/>
        <w:tabs>
          <w:tab w:leader="none" w:pos="62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HC</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1,981,164 additional shares of Common Stock that STC has the right to receive if, on or before December 16, 2026, the Common Stock</w:t>
      </w:r>
    </w:p>
    <w:p>
      <w:pPr>
        <w:spacing w:after="0" w:line="2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meets or exceeds certain target prices as set forth in the Merger Agreement.</w:t>
      </w:r>
    </w:p>
    <w:p>
      <w:pPr>
        <w:spacing w:after="0" w:line="9" w:lineRule="exact"/>
        <w:rPr>
          <w:sz w:val="20"/>
          <w:szCs w:val="20"/>
          <w:color w:val="auto"/>
        </w:rPr>
      </w:pPr>
    </w:p>
    <w:p>
      <w:pPr>
        <w:ind w:left="424" w:hanging="424"/>
        <w:spacing w:after="0" w:line="200" w:lineRule="auto"/>
        <w:tabs>
          <w:tab w:leader="none" w:pos="424" w:val="left"/>
        </w:tabs>
        <w:numPr>
          <w:ilvl w:val="0"/>
          <w:numId w:val="1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Based on 47,250,771 shares of Common Stock outstanding as of November 14, 2022, as reported on the Form 10-Q submitted by the Issuer to the SEC on November 14, 2022.</w:t>
      </w:r>
    </w:p>
    <w:p>
      <w:pPr>
        <w:sectPr>
          <w:pgSz w:w="11900" w:h="16838" w:orient="portrait"/>
          <w:cols w:equalWidth="0" w:num="1">
            <w:col w:w="10964"/>
          </w:cols>
          <w:pgMar w:left="436" w:top="283" w:right="499" w:bottom="1440" w:gutter="0" w:footer="0" w:header="0"/>
        </w:sectPr>
      </w:pPr>
    </w:p>
    <w:bookmarkStart w:id="3" w:name="page4"/>
    <w:bookmarkEnd w:id="3"/>
    <w:p>
      <w:pPr>
        <w:ind w:left="624" w:hanging="377"/>
        <w:spacing w:after="0"/>
        <w:tabs>
          <w:tab w:leader="none" w:pos="6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5220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Schlumberger Holdings Corporation</w:t>
      </w:r>
    </w:p>
    <w:p>
      <w:pPr>
        <w:spacing w:after="0" w:line="36" w:lineRule="exact"/>
        <w:rPr>
          <w:sz w:val="20"/>
          <w:szCs w:val="20"/>
          <w:color w:val="auto"/>
        </w:rPr>
      </w:pPr>
    </w:p>
    <w:p>
      <w:pPr>
        <w:ind w:left="624" w:hanging="377"/>
        <w:spacing w:after="0"/>
        <w:tabs>
          <w:tab w:leader="none" w:pos="6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United States</w:t>
      </w:r>
    </w:p>
    <w:p>
      <w:pPr>
        <w:spacing w:after="0" w:line="36" w:lineRule="exact"/>
        <w:rPr>
          <w:rFonts w:ascii="Times New Roman" w:cs="Times New Roman" w:eastAsia="Times New Roman" w:hAnsi="Times New Roman"/>
          <w:sz w:val="18"/>
          <w:szCs w:val="18"/>
          <w:color w:val="auto"/>
        </w:rPr>
      </w:pPr>
    </w:p>
    <w:p>
      <w:pPr>
        <w:ind w:left="1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8,682,920*</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8,682,920*</w:t>
      </w:r>
    </w:p>
    <w:p>
      <w:pPr>
        <w:spacing w:after="0" w:line="36" w:lineRule="exact"/>
        <w:rPr>
          <w:sz w:val="20"/>
          <w:szCs w:val="20"/>
          <w:color w:val="auto"/>
        </w:rPr>
      </w:pPr>
    </w:p>
    <w:p>
      <w:pPr>
        <w:ind w:left="604" w:hanging="357"/>
        <w:spacing w:after="0"/>
        <w:tabs>
          <w:tab w:leader="none" w:pos="60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8,682,920*</w:t>
      </w:r>
    </w:p>
    <w:p>
      <w:pPr>
        <w:spacing w:after="0" w:line="36" w:lineRule="exact"/>
        <w:rPr>
          <w:sz w:val="20"/>
          <w:szCs w:val="20"/>
          <w:color w:val="auto"/>
        </w:rPr>
      </w:pPr>
    </w:p>
    <w:p>
      <w:pPr>
        <w:ind w:left="624" w:hanging="467"/>
        <w:spacing w:after="0"/>
        <w:tabs>
          <w:tab w:leader="none" w:pos="62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04"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18.4%</w:t>
      </w:r>
      <w:r>
        <w:rPr>
          <w:rFonts w:ascii="Times New Roman" w:cs="Times New Roman" w:eastAsia="Times New Roman" w:hAnsi="Times New Roman"/>
          <w:sz w:val="26"/>
          <w:szCs w:val="26"/>
          <w:color w:val="auto"/>
          <w:vertAlign w:val="superscript"/>
        </w:rPr>
        <w:t>+</w:t>
      </w:r>
    </w:p>
    <w:p>
      <w:pPr>
        <w:ind w:left="624" w:right="7840" w:hanging="467"/>
        <w:spacing w:after="0" w:line="536" w:lineRule="auto"/>
        <w:tabs>
          <w:tab w:leader="none" w:pos="62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HC</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1,981,164 additional shares of Common Stock that STC has the right to receive if, on or before December 16, 2026, the Common Stock</w:t>
      </w:r>
    </w:p>
    <w:p>
      <w:pPr>
        <w:spacing w:after="0" w:line="2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meets or exceeds certain target prices as set forth in the Merger Agreement.</w:t>
      </w:r>
    </w:p>
    <w:p>
      <w:pPr>
        <w:spacing w:after="0" w:line="9" w:lineRule="exact"/>
        <w:rPr>
          <w:sz w:val="20"/>
          <w:szCs w:val="20"/>
          <w:color w:val="auto"/>
        </w:rPr>
      </w:pPr>
    </w:p>
    <w:p>
      <w:pPr>
        <w:ind w:left="424" w:hanging="424"/>
        <w:spacing w:after="0" w:line="200" w:lineRule="auto"/>
        <w:tabs>
          <w:tab w:leader="none" w:pos="424" w:val="left"/>
        </w:tabs>
        <w:numPr>
          <w:ilvl w:val="0"/>
          <w:numId w:val="2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Based on 47,250,771 shares of Common Stock outstanding as of November 14, 2022, as reported on the Form 10-Q submitted by the Issuer to the SEC on November 14, 2022.</w:t>
      </w:r>
    </w:p>
    <w:p>
      <w:pPr>
        <w:sectPr>
          <w:pgSz w:w="11900" w:h="16838" w:orient="portrait"/>
          <w:cols w:equalWidth="0" w:num="1">
            <w:col w:w="10964"/>
          </w:cols>
          <w:pgMar w:left="436" w:top="283" w:right="499" w:bottom="1440" w:gutter="0" w:footer="0" w:header="0"/>
        </w:sectPr>
      </w:pPr>
    </w:p>
    <w:bookmarkStart w:id="4" w:name="page5"/>
    <w:bookmarkEnd w:id="4"/>
    <w:p>
      <w:pPr>
        <w:ind w:left="624" w:hanging="377"/>
        <w:spacing w:after="0"/>
        <w:tabs>
          <w:tab w:leader="none" w:pos="6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Schlumberger Technology Corporation</w:t>
      </w:r>
    </w:p>
    <w:p>
      <w:pPr>
        <w:spacing w:after="0" w:line="36" w:lineRule="exact"/>
        <w:rPr>
          <w:sz w:val="20"/>
          <w:szCs w:val="20"/>
          <w:color w:val="auto"/>
        </w:rPr>
      </w:pPr>
    </w:p>
    <w:p>
      <w:pPr>
        <w:ind w:left="624" w:hanging="377"/>
        <w:spacing w:after="0"/>
        <w:tabs>
          <w:tab w:leader="none" w:pos="6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0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United States</w:t>
      </w:r>
    </w:p>
    <w:p>
      <w:pPr>
        <w:spacing w:after="0" w:line="36" w:lineRule="exact"/>
        <w:rPr>
          <w:rFonts w:ascii="Times New Roman" w:cs="Times New Roman" w:eastAsia="Times New Roman" w:hAnsi="Times New Roman"/>
          <w:sz w:val="18"/>
          <w:szCs w:val="18"/>
          <w:color w:val="auto"/>
        </w:rPr>
      </w:pPr>
    </w:p>
    <w:p>
      <w:pPr>
        <w:ind w:left="1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8,682,920*</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8,682,920*</w:t>
      </w:r>
    </w:p>
    <w:p>
      <w:pPr>
        <w:spacing w:after="0" w:line="36" w:lineRule="exact"/>
        <w:rPr>
          <w:sz w:val="20"/>
          <w:szCs w:val="20"/>
          <w:color w:val="auto"/>
        </w:rPr>
      </w:pPr>
    </w:p>
    <w:p>
      <w:pPr>
        <w:ind w:left="604" w:hanging="357"/>
        <w:spacing w:after="0"/>
        <w:tabs>
          <w:tab w:leader="none" w:pos="60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8,682,920*</w:t>
      </w:r>
    </w:p>
    <w:p>
      <w:pPr>
        <w:spacing w:after="0" w:line="36" w:lineRule="exact"/>
        <w:rPr>
          <w:sz w:val="20"/>
          <w:szCs w:val="20"/>
          <w:color w:val="auto"/>
        </w:rPr>
      </w:pPr>
    </w:p>
    <w:p>
      <w:pPr>
        <w:ind w:left="624" w:hanging="467"/>
        <w:spacing w:after="0"/>
        <w:tabs>
          <w:tab w:leader="none" w:pos="62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04"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18.4%</w:t>
      </w:r>
      <w:r>
        <w:rPr>
          <w:rFonts w:ascii="Times New Roman" w:cs="Times New Roman" w:eastAsia="Times New Roman" w:hAnsi="Times New Roman"/>
          <w:sz w:val="26"/>
          <w:szCs w:val="26"/>
          <w:color w:val="auto"/>
          <w:vertAlign w:val="superscript"/>
        </w:rPr>
        <w:t>+</w:t>
      </w:r>
    </w:p>
    <w:p>
      <w:pPr>
        <w:ind w:left="624" w:right="7840" w:hanging="467"/>
        <w:spacing w:after="0" w:line="536" w:lineRule="auto"/>
        <w:tabs>
          <w:tab w:leader="none" w:pos="62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CO</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1,981,164 additional shares of Common Stock that STC has the right to receive if, on or before December 16, 2026, the Common Stock</w:t>
      </w:r>
    </w:p>
    <w:p>
      <w:pPr>
        <w:spacing w:after="0" w:line="2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meets or exceeds certain target prices as set forth in the Merger Agreement.</w:t>
      </w:r>
    </w:p>
    <w:p>
      <w:pPr>
        <w:spacing w:after="0" w:line="9" w:lineRule="exact"/>
        <w:rPr>
          <w:sz w:val="20"/>
          <w:szCs w:val="20"/>
          <w:color w:val="auto"/>
        </w:rPr>
      </w:pPr>
    </w:p>
    <w:p>
      <w:pPr>
        <w:ind w:left="424" w:hanging="424"/>
        <w:spacing w:after="0" w:line="200" w:lineRule="auto"/>
        <w:tabs>
          <w:tab w:leader="none" w:pos="424" w:val="left"/>
        </w:tabs>
        <w:numPr>
          <w:ilvl w:val="0"/>
          <w:numId w:val="3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Based on 47,250,771 shares of Common Stock outstanding as of November 14, 2022, as reported on the Form 10-Q submitted by the Issuer to the SEC on November 14, 2022.</w:t>
      </w:r>
    </w:p>
    <w:p>
      <w:pPr>
        <w:sectPr>
          <w:pgSz w:w="11900" w:h="16838" w:orient="portrait"/>
          <w:cols w:equalWidth="0" w:num="1">
            <w:col w:w="10964"/>
          </w:cols>
          <w:pgMar w:left="436" w:top="283"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w:t>
      </w:r>
    </w:p>
    <w:p>
      <w:pPr>
        <w:spacing w:after="0" w:line="131" w:lineRule="exact"/>
        <w:rPr>
          <w:sz w:val="20"/>
          <w:szCs w:val="20"/>
          <w:color w:val="auto"/>
        </w:rPr>
      </w:pPr>
    </w:p>
    <w:p>
      <w:pPr>
        <w:ind w:left="980" w:right="8280" w:hanging="552"/>
        <w:spacing w:after="0" w:line="383" w:lineRule="auto"/>
        <w:tabs>
          <w:tab w:leader="none" w:pos="96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Name of Issuer: </w:t>
      </w:r>
      <w:r>
        <w:rPr>
          <w:rFonts w:ascii="Times New Roman" w:cs="Times New Roman" w:eastAsia="Times New Roman" w:hAnsi="Times New Roman"/>
          <w:sz w:val="18"/>
          <w:szCs w:val="18"/>
          <w:color w:val="auto"/>
        </w:rPr>
        <w:t>Nauticus Robotics, Inc.</w:t>
      </w:r>
    </w:p>
    <w:p>
      <w:pPr>
        <w:ind w:left="960" w:hanging="532"/>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Address of Issuer’s Principal Executive Offices:</w:t>
      </w:r>
    </w:p>
    <w:p>
      <w:pPr>
        <w:spacing w:after="0" w:line="121" w:lineRule="exact"/>
        <w:rPr>
          <w:rFonts w:ascii="Times New Roman" w:cs="Times New Roman" w:eastAsia="Times New Roman" w:hAnsi="Times New Roman"/>
          <w:sz w:val="18"/>
          <w:szCs w:val="18"/>
          <w:color w:val="auto"/>
        </w:rPr>
      </w:pPr>
    </w:p>
    <w:p>
      <w:pPr>
        <w:ind w:left="980" w:right="74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17146 Feathercraft Lane, Suite 450 Webster, TX 77598</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31" w:lineRule="exact"/>
        <w:rPr>
          <w:sz w:val="20"/>
          <w:szCs w:val="20"/>
          <w:color w:val="auto"/>
        </w:rPr>
      </w:pPr>
    </w:p>
    <w:p>
      <w:pPr>
        <w:ind w:left="960" w:hanging="532"/>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Name of Person Filing:</w:t>
      </w:r>
    </w:p>
    <w:p>
      <w:pPr>
        <w:spacing w:after="0" w:line="12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13G/A is being jointly filed on behalf of the following persons (collectively, the “Reporting Persons”):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N.V. (Schlumberger Limited), a corporation formed under the laws of Curaçao (“SLB”);</w:t>
      </w:r>
    </w:p>
    <w:p>
      <w:pPr>
        <w:spacing w:after="0" w:line="2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B.V., a corporation formed under the laws of the Netherlands (“SBV”);</w:t>
      </w:r>
    </w:p>
    <w:p>
      <w:pPr>
        <w:spacing w:after="0" w:line="9"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Holdings Corporation, a corporation formed under the laws of Delaware, United States (“SHC”); and</w:t>
      </w:r>
    </w:p>
    <w:p>
      <w:pPr>
        <w:spacing w:after="0" w:line="9"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Technology Corporation, a corporation formed under the laws of Texas, United States (“STC”).</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SLB is the sole stockholder of SBV. SBV is the sole stockholder of SHC. SHC is the sole stockholder of STC.</w:t>
      </w:r>
    </w:p>
    <w:p>
      <w:pPr>
        <w:spacing w:after="0" w:line="127" w:lineRule="exact"/>
        <w:rPr>
          <w:sz w:val="20"/>
          <w:szCs w:val="20"/>
          <w:color w:val="auto"/>
        </w:rPr>
      </w:pPr>
    </w:p>
    <w:p>
      <w:pPr>
        <w:ind w:left="960" w:hanging="532"/>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Address of Principal Business Office:</w:t>
      </w:r>
    </w:p>
    <w:p>
      <w:pPr>
        <w:spacing w:after="0" w:line="121" w:lineRule="exact"/>
        <w:rPr>
          <w:rFonts w:ascii="Times New Roman" w:cs="Times New Roman" w:eastAsia="Times New Roman" w:hAnsi="Times New Roman"/>
          <w:sz w:val="18"/>
          <w:szCs w:val="18"/>
          <w:color w:val="auto"/>
        </w:rPr>
      </w:pPr>
    </w:p>
    <w:p>
      <w:pPr>
        <w:jc w:val="both"/>
        <w:ind w:left="980" w:right="2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SLB for purposes of this Schedule 13G/A is 5599 San Felipe, 17th Floor, Houston, Texas 77056. The business address of SBV is Parkstraat 83, 2514 JG The Hague, Netherlands. The business address of each of SHC and STC is 300 Schlumberger Drive, Sugar Land, Texas 77478.</w:t>
      </w:r>
    </w:p>
    <w:p>
      <w:pPr>
        <w:spacing w:after="0" w:line="7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Citizenship:</w:t>
      </w:r>
    </w:p>
    <w:p>
      <w:pPr>
        <w:spacing w:after="0" w:line="121"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by Item 3(c) is set forth in Row 4 of the cover pages hereto for each Reporting Person and is incorporated herein by reference for each such Reporting Person.</w:t>
      </w:r>
    </w:p>
    <w:p>
      <w:pPr>
        <w:spacing w:after="0" w:line="63" w:lineRule="exact"/>
        <w:rPr>
          <w:rFonts w:ascii="Times New Roman" w:cs="Times New Roman" w:eastAsia="Times New Roman" w:hAnsi="Times New Roman"/>
          <w:sz w:val="18"/>
          <w:szCs w:val="18"/>
          <w:color w:val="auto"/>
        </w:rPr>
      </w:pPr>
    </w:p>
    <w:p>
      <w:pPr>
        <w:ind w:left="980" w:right="7940" w:hanging="552"/>
        <w:spacing w:after="0" w:line="383" w:lineRule="auto"/>
        <w:tabs>
          <w:tab w:leader="none" w:pos="96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Title of Class of Securities: </w:t>
      </w:r>
      <w:r>
        <w:rPr>
          <w:rFonts w:ascii="Times New Roman" w:cs="Times New Roman" w:eastAsia="Times New Roman" w:hAnsi="Times New Roman"/>
          <w:sz w:val="18"/>
          <w:szCs w:val="18"/>
          <w:color w:val="auto"/>
        </w:rPr>
        <w:t>Common Stock</w:t>
      </w:r>
    </w:p>
    <w:p>
      <w:pPr>
        <w:ind w:left="980" w:right="8700" w:hanging="552"/>
        <w:spacing w:after="0" w:line="412" w:lineRule="auto"/>
        <w:tabs>
          <w:tab w:leader="none" w:pos="96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CUSIP Number: </w:t>
      </w:r>
      <w:r>
        <w:rPr>
          <w:rFonts w:ascii="Times New Roman" w:cs="Times New Roman" w:eastAsia="Times New Roman" w:hAnsi="Times New Roman"/>
          <w:sz w:val="18"/>
          <w:szCs w:val="18"/>
          <w:color w:val="auto"/>
        </w:rPr>
        <w:t>63911H 108</w:t>
      </w:r>
    </w:p>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1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960"/>
          </w:cols>
          <w:pgMar w:left="440" w:top="266" w:right="499" w:bottom="1440" w:gutter="0" w:footer="0" w:header="0"/>
        </w:sectPr>
      </w:pPr>
    </w:p>
    <w:bookmarkStart w:id="6" w:name="page7"/>
    <w:bookmarkEnd w:id="6"/>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ind w:left="980" w:right="20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Items 4(a)-(c) is set forth in Rows 5-11 of the cover pages hereto for each Reporting Person and is incorporated herein by reference for each such Reporting Person.</w:t>
      </w:r>
    </w:p>
    <w:p>
      <w:pPr>
        <w:spacing w:after="0" w:line="3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980" w:hanging="984"/>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5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a Group.</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340"/>
          </w:cols>
          <w:pgMar w:left="440" w:top="266" w:right="11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10, 2023</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Samantha Blons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Samantha Blons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Assistant Secretary</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Schlumberger B.V.</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Eileen Hardell</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Eileen Hardell</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19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Schlumberger Holdings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Jeanne Morrissette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Jeanne Morrissette</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Treasurer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Schlumberger Technology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Arindam Bhattacharya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Arindam Bhattacharya</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Vice President</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bullet"/>
      <w:start w:val="1"/>
    </w:lvl>
  </w:abstractNum>
  <w:abstractNum w:abstractNumId="3">
    <w:nsid w:val="3F2DBA31"/>
    <w:multiLevelType w:val="hybridMultilevel"/>
    <w:lvl w:ilvl="0">
      <w:lvlJc w:val="left"/>
      <w:lvlText w:val="2"/>
      <w:numFmt w:val="bullet"/>
      <w:start w:val="1"/>
    </w:lvl>
  </w:abstractNum>
  <w:abstractNum w:abstractNumId="4">
    <w:nsid w:val="7C83E458"/>
    <w:multiLevelType w:val="hybridMultilevel"/>
    <w:lvl w:ilvl="0">
      <w:lvlJc w:val="left"/>
      <w:lvlText w:val="3"/>
      <w:numFmt w:val="bullet"/>
      <w:start w:val="1"/>
    </w:lvl>
  </w:abstractNum>
  <w:abstractNum w:abstractNumId="5">
    <w:nsid w:val="257130A3"/>
    <w:multiLevelType w:val="hybridMultilevel"/>
    <w:lvl w:ilvl="0">
      <w:lvlJc w:val="left"/>
      <w:lvlText w:val="4"/>
      <w:numFmt w:val="bullet"/>
      <w:start w:val="1"/>
    </w:lvl>
  </w:abstractNum>
  <w:abstractNum w:abstractNumId="6">
    <w:nsid w:val="62BBD95A"/>
    <w:multiLevelType w:val="hybridMultilevel"/>
    <w:lvl w:ilvl="0">
      <w:lvlJc w:val="left"/>
      <w:lvlText w:val="9"/>
      <w:numFmt w:val="bullet"/>
      <w:start w:val="1"/>
    </w:lvl>
  </w:abstractNum>
  <w:abstractNum w:abstractNumId="7">
    <w:nsid w:val="436C6125"/>
    <w:multiLevelType w:val="hybridMultilevel"/>
    <w:lvl w:ilvl="0">
      <w:lvlJc w:val="left"/>
      <w:lvlText w:val="*"/>
      <w:numFmt w:val="bullet"/>
      <w:start w:val="1"/>
    </w:lvl>
    <w:lvl w:ilvl="1">
      <w:lvlJc w:val="left"/>
      <w:lvlText w:val="%2"/>
      <w:numFmt w:val="decimal"/>
      <w:start w:val="10"/>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bullet"/>
      <w:start w:val="1"/>
    </w:lvl>
  </w:abstractNum>
  <w:abstractNum w:abstractNumId="10">
    <w:nsid w:val="721DA317"/>
    <w:multiLevelType w:val="hybridMultilevel"/>
    <w:lvl w:ilvl="0">
      <w:lvlJc w:val="left"/>
      <w:lvlText w:val="2"/>
      <w:numFmt w:val="bullet"/>
      <w:start w:val="1"/>
    </w:lvl>
  </w:abstractNum>
  <w:abstractNum w:abstractNumId="11">
    <w:nsid w:val="2443A858"/>
    <w:multiLevelType w:val="hybridMultilevel"/>
    <w:lvl w:ilvl="0">
      <w:lvlJc w:val="left"/>
      <w:lvlText w:val="3"/>
      <w:numFmt w:val="bullet"/>
      <w:start w:val="1"/>
    </w:lvl>
  </w:abstractNum>
  <w:abstractNum w:abstractNumId="12">
    <w:nsid w:val="2D1D5AE9"/>
    <w:multiLevelType w:val="hybridMultilevel"/>
    <w:lvl w:ilvl="0">
      <w:lvlJc w:val="left"/>
      <w:lvlText w:val="4"/>
      <w:numFmt w:val="bullet"/>
      <w:start w:val="1"/>
    </w:lvl>
  </w:abstractNum>
  <w:abstractNum w:abstractNumId="13">
    <w:nsid w:val="6763845E"/>
    <w:multiLevelType w:val="hybridMultilevel"/>
    <w:lvl w:ilvl="0">
      <w:lvlJc w:val="left"/>
      <w:lvlText w:val="9"/>
      <w:numFmt w:val="bullet"/>
      <w:start w:val="1"/>
    </w:lvl>
  </w:abstractNum>
  <w:abstractNum w:abstractNumId="14">
    <w:nsid w:val="75A2A8D4"/>
    <w:multiLevelType w:val="hybridMultilevel"/>
    <w:lvl w:ilvl="0">
      <w:lvlJc w:val="left"/>
      <w:lvlText w:val="*"/>
      <w:numFmt w:val="bullet"/>
      <w:start w:val="1"/>
    </w:lvl>
    <w:lvl w:ilvl="1">
      <w:lvlJc w:val="left"/>
      <w:lvlText w:val="%2"/>
      <w:numFmt w:val="decimal"/>
      <w:start w:val="10"/>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bullet"/>
      <w:start w:val="1"/>
    </w:lvl>
  </w:abstractNum>
  <w:abstractNum w:abstractNumId="17">
    <w:nsid w:val="4353D0CD"/>
    <w:multiLevelType w:val="hybridMultilevel"/>
    <w:lvl w:ilvl="0">
      <w:lvlJc w:val="left"/>
      <w:lvlText w:val="2"/>
      <w:numFmt w:val="bullet"/>
      <w:start w:val="1"/>
    </w:lvl>
  </w:abstractNum>
  <w:abstractNum w:abstractNumId="18">
    <w:nsid w:val="B03E0C6"/>
    <w:multiLevelType w:val="hybridMultilevel"/>
    <w:lvl w:ilvl="0">
      <w:lvlJc w:val="left"/>
      <w:lvlText w:val="3"/>
      <w:numFmt w:val="bullet"/>
      <w:start w:val="1"/>
    </w:lvl>
  </w:abstractNum>
  <w:abstractNum w:abstractNumId="19">
    <w:nsid w:val="189A769B"/>
    <w:multiLevelType w:val="hybridMultilevel"/>
    <w:lvl w:ilvl="0">
      <w:lvlJc w:val="left"/>
      <w:lvlText w:val="4"/>
      <w:numFmt w:val="bullet"/>
      <w:start w:val="1"/>
    </w:lvl>
  </w:abstractNum>
  <w:abstractNum w:abstractNumId="20">
    <w:nsid w:val="54E49EB4"/>
    <w:multiLevelType w:val="hybridMultilevel"/>
    <w:lvl w:ilvl="0">
      <w:lvlJc w:val="left"/>
      <w:lvlText w:val="9"/>
      <w:numFmt w:val="bullet"/>
      <w:start w:val="1"/>
    </w:lvl>
  </w:abstractNum>
  <w:abstractNum w:abstractNumId="21">
    <w:nsid w:val="71F32454"/>
    <w:multiLevelType w:val="hybridMultilevel"/>
    <w:lvl w:ilvl="0">
      <w:lvlJc w:val="left"/>
      <w:lvlText w:val="*"/>
      <w:numFmt w:val="bullet"/>
      <w:start w:val="1"/>
    </w:lvl>
    <w:lvl w:ilvl="1">
      <w:lvlJc w:val="left"/>
      <w:lvlText w:val="%2"/>
      <w:numFmt w:val="decimal"/>
      <w:start w:val="10"/>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bullet"/>
      <w:start w:val="1"/>
    </w:lvl>
  </w:abstractNum>
  <w:abstractNum w:abstractNumId="24">
    <w:nsid w:val="2901D82"/>
    <w:multiLevelType w:val="hybridMultilevel"/>
    <w:lvl w:ilvl="0">
      <w:lvlJc w:val="left"/>
      <w:lvlText w:val="2"/>
      <w:numFmt w:val="bullet"/>
      <w:start w:val="1"/>
    </w:lvl>
  </w:abstractNum>
  <w:abstractNum w:abstractNumId="25">
    <w:nsid w:val="3A95F874"/>
    <w:multiLevelType w:val="hybridMultilevel"/>
    <w:lvl w:ilvl="0">
      <w:lvlJc w:val="left"/>
      <w:lvlText w:val="3"/>
      <w:numFmt w:val="bullet"/>
      <w:start w:val="1"/>
    </w:lvl>
  </w:abstractNum>
  <w:abstractNum w:abstractNumId="26">
    <w:nsid w:val="8138641"/>
    <w:multiLevelType w:val="hybridMultilevel"/>
    <w:lvl w:ilvl="0">
      <w:lvlJc w:val="left"/>
      <w:lvlText w:val="4"/>
      <w:numFmt w:val="bullet"/>
      <w:start w:val="1"/>
    </w:lvl>
  </w:abstractNum>
  <w:abstractNum w:abstractNumId="27">
    <w:nsid w:val="1E7FF521"/>
    <w:multiLevelType w:val="hybridMultilevel"/>
    <w:lvl w:ilvl="0">
      <w:lvlJc w:val="left"/>
      <w:lvlText w:val="9"/>
      <w:numFmt w:val="bullet"/>
      <w:start w:val="1"/>
    </w:lvl>
  </w:abstractNum>
  <w:abstractNum w:abstractNumId="28">
    <w:nsid w:val="7C3DBD3D"/>
    <w:multiLevelType w:val="hybridMultilevel"/>
    <w:lvl w:ilvl="0">
      <w:lvlJc w:val="left"/>
      <w:lvlText w:val="*"/>
      <w:numFmt w:val="bullet"/>
      <w:start w:val="1"/>
    </w:lvl>
    <w:lvl w:ilvl="1">
      <w:lvlJc w:val="left"/>
      <w:lvlText w:val="%2"/>
      <w:numFmt w:val="decimal"/>
      <w:start w:val="10"/>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lowerLetter"/>
      <w:start w:val="1"/>
    </w:lvl>
    <w:lvl w:ilvl="1">
      <w:lvlJc w:val="left"/>
      <w:lvlText w:val="(%2)"/>
      <w:numFmt w:val="lowerRoman"/>
      <w:start w:val="1"/>
    </w:lvl>
  </w:abstractNum>
  <w:abstractNum w:abstractNumId="32">
    <w:nsid w:val="4516DDE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2023-02-10T10:05:33Z</dcterms:created>
  <dcterms:modified xsi:type="dcterms:W3CDTF">2023-02-10T10:05:33Z</dcterms:modified>
</cp:coreProperties>
</file>