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700" w:hanging="341"/>
        <w:spacing w:after="0" w:line="277" w:lineRule="auto"/>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500" w:hanging="352"/>
        <w:spacing w:after="0" w:line="308" w:lineRule="auto"/>
        <w:tabs>
          <w:tab w:leader="none" w:pos="3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-3234690</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-2900045</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-2428875</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-2094230</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-1759585</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-807720</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-473075</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-139065</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194945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205740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9, 2014</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12, 2014</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2014 Annual General Meeting of Stockholders of Schlumberger Limited (Schlumberger N.V.) will be held at the Avila Beach Hotel, Penstraat 130,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on Wednesday, April 9, 2014 at 10:00 a.m., Curaçao time, for the following purposes:</w:t>
      </w:r>
    </w:p>
    <w:p>
      <w:pPr>
        <w:spacing w:after="0" w:line="1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11 directors named in this proxy statement.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Company’s executive compensation.</w:t>
      </w:r>
    </w:p>
    <w:p>
      <w:pPr>
        <w:spacing w:after="0" w:line="130" w:lineRule="exact"/>
        <w:rPr>
          <w:rFonts w:ascii="Arial" w:cs="Arial" w:eastAsia="Arial" w:hAnsi="Arial"/>
          <w:sz w:val="18"/>
          <w:szCs w:val="18"/>
          <w:color w:val="auto"/>
        </w:rPr>
      </w:pPr>
    </w:p>
    <w:p>
      <w:pPr>
        <w:ind w:left="460" w:right="3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2013, and to approve the Company’s Consolidated Balance Sheet as at December 31, 2013, its Consolidated Statement of Income for the year ended December 31, 2013, and the declarations of dividends by the Board of Directors in 2013, as reflected in the Company’s 2013 Annual Report to Stockholders.</w:t>
      </w:r>
    </w:p>
    <w:p>
      <w:pPr>
        <w:spacing w:after="0" w:line="86" w:lineRule="exact"/>
        <w:rPr>
          <w:rFonts w:ascii="Arial" w:cs="Arial" w:eastAsia="Arial" w:hAnsi="Arial"/>
          <w:sz w:val="18"/>
          <w:szCs w:val="18"/>
          <w:color w:val="auto"/>
        </w:rPr>
      </w:pPr>
    </w:p>
    <w:p>
      <w:pPr>
        <w:ind w:left="460" w:right="7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2014.</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Action will also be taken on such other matters as may properly be brought before the meeting.</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close of business on February 19, 2014 has been fixed as the record date for the meeting. All holders of common stock of record at the close of business on that date are entitled to vote at the meeting.</w:t>
      </w:r>
    </w:p>
    <w:p>
      <w:pPr>
        <w:spacing w:after="0" w:line="17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92075</wp:posOffset>
            </wp:positionV>
            <wp:extent cx="109791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LEXANDER</w:t>
      </w:r>
      <w:r>
        <w:rPr>
          <w:rFonts w:ascii="Arial" w:cs="Arial" w:eastAsia="Arial" w:hAnsi="Arial"/>
          <w:sz w:val="18"/>
          <w:szCs w:val="18"/>
          <w:color w:val="auto"/>
        </w:rPr>
        <w:t xml:space="preserve"> C. J</w:t>
      </w:r>
      <w:r>
        <w:rPr>
          <w:rFonts w:ascii="Arial" w:cs="Arial" w:eastAsia="Arial" w:hAnsi="Arial"/>
          <w:sz w:val="15"/>
          <w:szCs w:val="15"/>
          <w:color w:val="auto"/>
        </w:rPr>
        <w:t>UDEN</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or 2 without your instructions.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General Meeting of Stockholders to Be Held on April 9, 2014:</w:t>
      </w:r>
    </w:p>
    <w:p>
      <w:pPr>
        <w:spacing w:after="0" w:line="237"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This proxy statement, along with the Company’s Annual Report on Form 10-K for the fiscal year ended December 31, 2013 and the Company’s 2013 Annual Report to Stockholders, are available free of charge on the Company’s website at http://investorcenter.slb.com.</w:t>
      </w:r>
    </w:p>
    <w:p>
      <w:pPr>
        <w:sectPr>
          <w:pgSz w:w="11900" w:h="16838" w:orient="portrait"/>
          <w:cols w:equalWidth="0" w:num="1">
            <w:col w:w="11420"/>
          </w:cols>
          <w:pgMar w:left="240" w:top="4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940" w:type="dxa"/>
            <w:vAlign w:val="bottom"/>
            <w:gridSpan w:val="4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5"/>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gridSpan w:val="10"/>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PROXY STATEMENT</w:t>
              </w:r>
            </w:hyperlink>
          </w:p>
        </w:tc>
        <w:tc>
          <w:tcPr>
            <w:tcW w:w="9240" w:type="dxa"/>
            <w:vAlign w:val="bottom"/>
            <w:gridSpan w:val="34"/>
            <w:vMerge w:val="restart"/>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1700" w:type="dxa"/>
            <w:vAlign w:val="bottom"/>
            <w:tcBorders>
              <w:bottom w:val="single" w:sz="8" w:color="0000EE"/>
            </w:tcBorders>
            <w:gridSpan w:val="10"/>
            <w:vMerge w:val="continue"/>
          </w:tcPr>
          <w:p>
            <w:pPr>
              <w:spacing w:after="0"/>
              <w:rPr>
                <w:sz w:val="13"/>
                <w:szCs w:val="13"/>
                <w:color w:val="auto"/>
              </w:rPr>
            </w:pPr>
          </w:p>
        </w:tc>
        <w:tc>
          <w:tcPr>
            <w:tcW w:w="9240" w:type="dxa"/>
            <w:vAlign w:val="bottom"/>
            <w:gridSpan w:val="3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10180" w:type="dxa"/>
            <w:vAlign w:val="bottom"/>
            <w:gridSpan w:val="4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Items to be Voted on at the Annual Meeting</w:t>
              </w:r>
            </w:hyperlink>
          </w:p>
        </w:tc>
        <w:tc>
          <w:tcPr>
            <w:tcW w:w="760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Record Date; Proxies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220" w:type="dxa"/>
            <w:vAlign w:val="bottom"/>
            <w:gridSpan w:val="3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Votes Required to Adopt Proposals</w:t>
              </w:r>
            </w:hyperlink>
          </w:p>
        </w:tc>
        <w:tc>
          <w:tcPr>
            <w:tcW w:w="8220" w:type="dxa"/>
            <w:vAlign w:val="bottom"/>
            <w:gridSpan w:val="2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Effect of Abstentions and Broker Non-Votes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Voting Procedures</w:t>
              </w:r>
            </w:hyperlink>
          </w:p>
        </w:tc>
        <w:tc>
          <w:tcPr>
            <w:tcW w:w="756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 ELECTION OF 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808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Governance Framework—Highlights</w:t>
              </w:r>
            </w:hyperlink>
          </w:p>
        </w:tc>
        <w:tc>
          <w:tcPr>
            <w:tcW w:w="806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Corporate Governance Guidelines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Board Independence</w:t>
              </w:r>
            </w:hyperlink>
          </w:p>
        </w:tc>
        <w:tc>
          <w:tcPr>
            <w:tcW w:w="960" w:type="dxa"/>
            <w:vAlign w:val="bottom"/>
            <w:tcBorders>
              <w:top w:val="single" w:sz="8" w:color="0000EE"/>
            </w:tcBorders>
            <w:gridSpan w:val="8"/>
          </w:tcPr>
          <w:p>
            <w:pPr>
              <w:spacing w:after="0"/>
              <w:rPr>
                <w:sz w:val="17"/>
                <w:szCs w:val="17"/>
                <w:color w:val="auto"/>
              </w:rPr>
            </w:pPr>
          </w:p>
        </w:tc>
        <w:tc>
          <w:tcPr>
            <w:tcW w:w="8300" w:type="dxa"/>
            <w:vAlign w:val="bottom"/>
            <w:gridSpan w:val="2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Leadership Structure</w:t>
              </w:r>
            </w:hyperlink>
          </w:p>
        </w:tc>
        <w:tc>
          <w:tcPr>
            <w:tcW w:w="8760" w:type="dxa"/>
            <w:vAlign w:val="bottom"/>
            <w:gridSpan w:val="3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Board’s Role in Risk Oversight</w:t>
              </w:r>
            </w:hyperlink>
          </w:p>
        </w:tc>
        <w:tc>
          <w:tcPr>
            <w:tcW w:w="816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Meetings of the Board of Directors and its Committees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Committees</w:t>
              </w:r>
            </w:hyperlink>
          </w:p>
        </w:tc>
        <w:tc>
          <w:tcPr>
            <w:tcW w:w="680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Communication with the Board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Attendance at Annual General Meeting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Policies and Procedures for Approval of Related Person Transactions</w:t>
              </w:r>
            </w:hyperlink>
          </w:p>
        </w:tc>
        <w:tc>
          <w:tcPr>
            <w:tcW w:w="57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Guidelines and Code of Conduct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ADVISORY RESOLUTION TO APPROVE EXECUTIVE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COMPENSATION DISCUSSION AND ANALYSIS</w:t>
              </w:r>
            </w:hyperlink>
          </w:p>
        </w:tc>
        <w:tc>
          <w:tcPr>
            <w:tcW w:w="2540" w:type="dxa"/>
            <w:vAlign w:val="bottom"/>
            <w:tcBorders>
              <w:top w:val="single" w:sz="8" w:color="0000EE"/>
            </w:tcBorders>
            <w:gridSpan w:val="9"/>
          </w:tcPr>
          <w:p>
            <w:pPr>
              <w:spacing w:after="0"/>
              <w:rPr>
                <w:sz w:val="17"/>
                <w:szCs w:val="17"/>
                <w:color w:val="auto"/>
              </w:rPr>
            </w:pPr>
          </w:p>
        </w:tc>
        <w:tc>
          <w:tcPr>
            <w:tcW w:w="45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COMPENSATION COMMITTEE REPORT</w:t>
              </w:r>
            </w:hyperlink>
          </w:p>
        </w:tc>
        <w:tc>
          <w:tcPr>
            <w:tcW w:w="770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 TABLES AND ACCOMPANYING NARRATIVE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DIRECTOR COMPENSATION IN FISCAL YEAR 2013</w:t>
              </w:r>
            </w:hyperlink>
          </w:p>
        </w:tc>
        <w:tc>
          <w:tcPr>
            <w:tcW w:w="1940" w:type="dxa"/>
            <w:vAlign w:val="bottom"/>
            <w:tcBorders>
              <w:top w:val="single" w:sz="8" w:color="0000EE"/>
            </w:tcBorders>
            <w:gridSpan w:val="5"/>
          </w:tcPr>
          <w:p>
            <w:pPr>
              <w:spacing w:after="0"/>
              <w:rPr>
                <w:sz w:val="17"/>
                <w:szCs w:val="17"/>
                <w:color w:val="auto"/>
              </w:rPr>
            </w:pPr>
          </w:p>
        </w:tc>
        <w:tc>
          <w:tcPr>
            <w:tcW w:w="47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Director Stock Ownership Guidelines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EQUITY COMPENSATION PLAN INFORMATION</w:t>
              </w:r>
            </w:hyperlink>
          </w:p>
        </w:tc>
        <w:tc>
          <w:tcPr>
            <w:tcW w:w="70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3.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4. APPOINTMENT OF INDEPENDENT REGISTERED PUBLIC ACCOUNTING FIRM</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Fees Paid to PricewaterhouseCoopers LLP</w:t>
              </w:r>
            </w:hyperlink>
          </w:p>
        </w:tc>
        <w:tc>
          <w:tcPr>
            <w:tcW w:w="38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60" w:type="dxa"/>
            <w:vAlign w:val="bottom"/>
            <w:gridSpan w:val="4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Audit Committee’s Pre-Approval Policy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4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AUDIT COMMITTEE REPORT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STOCK OWNERSHIP INFORMATION</w:t>
              </w:r>
            </w:hyperlink>
          </w:p>
        </w:tc>
        <w:tc>
          <w:tcPr>
            <w:tcW w:w="796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Security Ownership by Certain Beneficial Owners</w:t>
              </w:r>
            </w:hyperlink>
          </w:p>
        </w:tc>
        <w:tc>
          <w:tcPr>
            <w:tcW w:w="71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Security Ownership by Management</w:t>
              </w:r>
            </w:hyperlink>
          </w:p>
        </w:tc>
        <w:tc>
          <w:tcPr>
            <w:tcW w:w="810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8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Section 16(a) Beneficial Ownership Reporting Compliance</w:t>
              </w:r>
            </w:hyperlink>
          </w:p>
        </w:tc>
        <w:tc>
          <w:tcPr>
            <w:tcW w:w="6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OTHER INFORMATION</w:t>
              </w:r>
            </w:hyperlink>
          </w:p>
        </w:tc>
        <w:tc>
          <w:tcPr>
            <w:tcW w:w="9040" w:type="dxa"/>
            <w:vAlign w:val="bottom"/>
            <w:gridSpan w:val="3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2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Stockholder Proposals for 2015 Annual General Meeting</w:t>
              </w:r>
            </w:hyperlink>
          </w:p>
        </w:tc>
        <w:tc>
          <w:tcPr>
            <w:tcW w:w="66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Other Matters</w:t>
              </w:r>
            </w:hyperlink>
          </w:p>
        </w:tc>
        <w:tc>
          <w:tcPr>
            <w:tcW w:w="9740" w:type="dxa"/>
            <w:vAlign w:val="bottom"/>
            <w:gridSpan w:val="4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Schlumberger Limited (Schlumberger N.V.) (“Schlumberger” or the “Company”) of proxies to be voted at its 2014 annual general meeting of stockholders, which will be held at the Avila Beach Hotel, Penstraat 130, Willemstad, Curaçao, on Wednesday, April 9, 2014 beginning at 10:00 a.m., Curaçao time. To gain admittance to the meeting, stockholders of record and beneficial owners as of February 19, 2014 must present a passport or other government-issued identification bearing a photograph and, for beneficial owners, proof of ownership, such as the top half of the proxy card or voting instruction card that was sent to you with this proxy statement.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approximate mailing date of this proxy statement is February 20, 2014.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 The Schlumberger 2013 Annual Report to Stockholders is provided concurrently with this proxy statement, and stockholders should refer to its contents in considering agenda Item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2014 annual general meeting includes the following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Agenda Item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1</w:t>
            </w:r>
            <w:r>
              <w:rPr>
                <w:rFonts w:ascii="Arial" w:cs="Arial" w:eastAsia="Arial" w:hAnsi="Arial"/>
                <w:sz w:val="18"/>
                <w:szCs w:val="18"/>
                <w:color w:val="auto"/>
              </w:rPr>
              <w:t>:</w:t>
            </w:r>
          </w:p>
        </w:tc>
        <w:tc>
          <w:tcPr>
            <w:tcW w:w="8560" w:type="dxa"/>
            <w:vAlign w:val="bottom"/>
          </w:tcPr>
          <w:p>
            <w:pPr>
              <w:spacing w:after="0"/>
              <w:rPr>
                <w:sz w:val="20"/>
                <w:szCs w:val="20"/>
                <w:color w:val="auto"/>
              </w:rPr>
            </w:pPr>
            <w:r>
              <w:rPr>
                <w:rFonts w:ascii="Arial" w:cs="Arial" w:eastAsia="Arial" w:hAnsi="Arial"/>
                <w:sz w:val="18"/>
                <w:szCs w:val="18"/>
                <w:color w:val="auto"/>
              </w:rPr>
              <w:t>Election of 11 directors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306"/>
        </w:trPr>
        <w:tc>
          <w:tcPr>
            <w:tcW w:w="5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2</w:t>
            </w:r>
            <w:r>
              <w:rPr>
                <w:rFonts w:ascii="Arial" w:cs="Arial" w:eastAsia="Arial" w:hAnsi="Arial"/>
                <w:sz w:val="18"/>
                <w:szCs w:val="18"/>
                <w:color w:val="auto"/>
              </w:rPr>
              <w:t>: Advisory resolution to approve executive compensation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i w:val="1"/>
                <w:iCs w:val="1"/>
                <w:color w:val="auto"/>
                <w:w w:val="96"/>
              </w:rPr>
              <w:t>Item 3</w:t>
            </w:r>
            <w:r>
              <w:rPr>
                <w:rFonts w:ascii="Arial" w:cs="Arial" w:eastAsia="Arial" w:hAnsi="Arial"/>
                <w:sz w:val="18"/>
                <w:szCs w:val="18"/>
                <w:color w:val="auto"/>
                <w:w w:val="96"/>
              </w:rPr>
              <w:t>: Approval of the Company’s Consolidated Balance Sheet as at December 31, 2013, its Consolidated Statement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9360" w:type="dxa"/>
            <w:vAlign w:val="bottom"/>
            <w:gridSpan w:val="2"/>
          </w:tcPr>
          <w:p>
            <w:pPr>
              <w:ind w:left="180"/>
              <w:spacing w:after="0"/>
              <w:rPr>
                <w:sz w:val="20"/>
                <w:szCs w:val="20"/>
                <w:color w:val="auto"/>
              </w:rPr>
            </w:pPr>
            <w:r>
              <w:rPr>
                <w:rFonts w:ascii="Arial" w:cs="Arial" w:eastAsia="Arial" w:hAnsi="Arial"/>
                <w:sz w:val="18"/>
                <w:szCs w:val="18"/>
                <w:color w:val="auto"/>
              </w:rPr>
              <w:t>Income for the year ended December 31, 2013, and the declarations of dividends by the Board of Directors in 2013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4</w:t>
            </w:r>
            <w:r>
              <w:rPr>
                <w:rFonts w:ascii="Arial" w:cs="Arial" w:eastAsia="Arial" w:hAnsi="Arial"/>
                <w:sz w:val="18"/>
                <w:szCs w:val="18"/>
                <w:color w:val="auto"/>
              </w:rPr>
              <w:t>: Appointment of PricewaterhouseCoopers LLP as the Company’s independent auditor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Record Date; Proxies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Each stockholder of record at the close of business on the record date, February 19, 2014,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approximately 1,306,440,330 shares of Schlumberger common stock outstanding and entitled to vote.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to Adopt Proposals</w:t>
      </w:r>
    </w:p>
    <w:p>
      <w:pPr>
        <w:spacing w:after="0" w:line="22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Abstentions and proxies submitted by brokers that do not indicate a vote because they do not have discretionary voting authority and have not received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Brokers holding shares must vote according to specific instructions they receive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as follows: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Discretionary Items</w:t>
      </w:r>
      <w:r>
        <w:rPr>
          <w:rFonts w:ascii="Arial" w:cs="Arial" w:eastAsia="Arial" w:hAnsi="Arial"/>
          <w:sz w:val="18"/>
          <w:szCs w:val="18"/>
          <w:color w:val="auto"/>
        </w:rPr>
        <w:t>. Under NYSE rules, brokers will have discretion to vote on Items 3 (financial statements) and 4 (appointment of auditors)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Nondiscretionary Items</w:t>
      </w:r>
      <w:r>
        <w:rPr>
          <w:rFonts w:ascii="Arial" w:cs="Arial" w:eastAsia="Arial" w:hAnsi="Arial"/>
          <w:sz w:val="17"/>
          <w:szCs w:val="17"/>
          <w:color w:val="auto"/>
        </w:rPr>
        <w:t>. Brokers cannot vote on Items 1 (election of directors) or 2 (advisory vote to approve executive compensation)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instructions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Therefore, if your shares are held in “street name” by a broker and you do not instruct your broker how to vote on the election of directors or the advisory vote to approve executive compensation, your broker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able to vote for you on those matters.</w:t>
      </w:r>
    </w:p>
    <w:p>
      <w:pPr>
        <w:spacing w:after="0" w:line="166"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Abstentions and broker non-votes will not be tabulated in determining the outcome of the vote on the election of directors or on any of the other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19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Tuesday, April 8, 2014. The internet and telephone voting procedures have been designed to authenticate stockholders and to allow you to vote your shares and to confirm that your instructions have been properly recorded.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ELECTION OF DIRECTORS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All of our directors are elected annually at our annual general meeting of stockholders. Our stockholders are requested to elect a Board of Directors of 11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2013 annual general meeting, except for Ms. Kempston Darkes, who is not currently a director.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Corporate Governance Guidelines provide that non-executive directors are eligible to be nominated for re-election up to their 70th birthday, and executive directors are eligible to be nominated for re-election up to their 65th birthday. However, on the recommendation of the Nominating and Governance Committee, the Board may make case-by-case exceptions if it deems such exception to be in the best interests of the Company. In July 2013, the Board of Directors, on the recommendation of the Nominating and Governance Committee, agreed to nominate Tony Isaac, 72, our current non-executive Chairman of the Board, for re-election to the Board.</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Having reached the normal retirement age of 70 under our Corporate Governance Guidelines, Adrian Lajous will not be standing for re-election at our annual meeting. Our Board extends gratitude to Mr. Lajous for 12 years of service. As a result of Mr. Lajous’ retirement, and assuming the election of all director nominees, the size of the Board will remain at 11.</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Shares represented by properly executed proxies will be voted, if authority to do so is not withheld, for the election of each of the 11 nominees named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Each director nominee must receive a majority of the votes cast to be elected. </w:t>
      </w:r>
      <w:r>
        <w:rPr>
          <w:rFonts w:ascii="Arial" w:cs="Arial" w:eastAsia="Arial" w:hAnsi="Arial"/>
          <w:sz w:val="18"/>
          <w:szCs w:val="18"/>
          <w:i w:val="1"/>
          <w:iCs w:val="1"/>
          <w:color w:val="auto"/>
        </w:rPr>
        <w:t>If you hold your shares in “street name,” please be aware that brokers do</w:t>
      </w:r>
      <w:r>
        <w:rPr>
          <w:rFonts w:ascii="Arial" w:cs="Arial" w:eastAsia="Arial" w:hAnsi="Arial"/>
          <w:sz w:val="18"/>
          <w:szCs w:val="18"/>
          <w:color w:val="auto"/>
        </w:rPr>
        <w:t xml:space="preserve"> </w:t>
      </w:r>
      <w:r>
        <w:rPr>
          <w:rFonts w:ascii="Arial" w:cs="Arial" w:eastAsia="Arial" w:hAnsi="Arial"/>
          <w:sz w:val="18"/>
          <w:szCs w:val="18"/>
          <w:i w:val="1"/>
          <w:iCs w:val="1"/>
          <w:color w:val="auto"/>
        </w:rPr>
        <w:t>not have discretion to vote on this proposal without your instruction. If you do not instruct your broker how to vote on this proposal, your broker will deliver a non-vote on this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Director Nominee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MAUREEN KEMPSTON DARKES, 64, retired, was Group Vice President and President Latin America, Africa and Middle East, of General Motors Corporation, an automotive manufacturer, from January 2002 until her retirement in December 2009, and was a member of the General Motors Automotive Strategy Board from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January 2002 to December 2009.</w:t>
      </w:r>
      <w:r>
        <w:rPr>
          <w:rFonts w:ascii="Arial" w:cs="Arial" w:eastAsia="Arial" w:hAnsi="Arial"/>
          <w:sz w:val="14"/>
          <w:szCs w:val="14"/>
          <w:color w:val="auto"/>
        </w:rPr>
        <w:t>1</w:t>
      </w:r>
      <w:r>
        <w:rPr>
          <w:rFonts w:ascii="Arial" w:cs="Arial" w:eastAsia="Arial" w:hAnsi="Arial"/>
          <w:sz w:val="17"/>
          <w:szCs w:val="17"/>
          <w:color w:val="auto"/>
        </w:rPr>
        <w:t xml:space="preserve"> Ms. Kempston Darkes has been a director of Enbridge Inc., a leading energy transportation and distribution company, since November 2010, and is a member of its corporate social responsibility and its human resources and compensation committees. She also is a member of the board of directors of Brookfield Asset Management Inc., a global asset management company (since April 2008), where she chairs the risk management committee and is a member of its resources and compensation committee; Balfour Beatty plc, an infrastructure services company (since July 2012), where she chairs the business practices committee and is a member of the nomination committee; and Canadian National Railway Company (since 1995), where she chairs the environment, safety and security committee, and is a member of the audit, human resources/compensation and strategic planning committees. The Board believes that it will benefit greatly from Ms. Kempston Darkes’ extensive automotive industry experience, as the Company continues to focus on product reliability and execution. The Board further believes that she will bring proven leadership abilities and experience in Latin America, Africa and the Middle East, enabling her to make valuable contributions to the Board. The Board also believes that it will benefit greatly from Ms. Kempston Darkes’ audit committee experience and financial expertise.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Directors</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PETER L.S. CURRIE, 57, has been a director of the Company since 2010. Since April 2004, Mr. Currie has been President of Currie Capital LLC, a private investment firm. Mr. Currie is the Lead Independent Director at Twitter, Inc., where he chairs both the audit committee and the nominating and governance committee, having served on its board since November 2010. From 2006 to 2010, he was a director of Sun Microsystems, a network computing infrastructure product and service company, and a member of its audit committee. Mr. Currie also was a director of Clearwire Corporation, a wireless internet service provider, from 2005 to June 2011. Mr. Currie also is a director at several private companies. Mr. Currie brings to the Board strong financial and operational expertise as a result of his extensive board and committee experience at both public and private companies; experience as Chief Financial Officer of two public companies (McCaw Cellular Communications Inc. and Netscape Communications Corp.); and experience in senior operating positions in investment banking, venture capital and private equity.</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TONY ISAAC, 72, retired, has been a director of the Company since 2003, and is the non-executive Chairman of the Board. He was the former Chief Executive of The BOC Group plc, an international group with three business segments consisting of Gases and Related Products, Vacuum Technology and Supply Chain Solutions, from September 1999 to October 2006, when he retired. Since 2006, Mr. Isaac has been the senior non-executive director of the Hogg Robinson Group, a corporate travel services company, where he serves on its remuneration and nomination committees, and is chairman of its audit committee. From October 2000 to July 2013, he served on the board of GDF SUEZ Energy International (formerly known as International Power plc), an independent power producer, and was chairman of its audit committee from February 2011 to August 2012. Mr. Isaac brings to the Board extensive experience serving on boards of large, multinational companies. As a former chief executive, Mr. Isaac also has valuable experience in the operation of a worldwide business faced with a myriad of international business and political issues. The Board believes that Mr. Isaac’s experience as senior non-executive director of all boards on which he has served makes him a highly effective non-executive Chairman of the Board, and for these reasons the Board decided to nominate Mr. Isaac for an additional term as a member of the Schlumberger Board.</w:t>
      </w:r>
    </w:p>
    <w:p>
      <w:pPr>
        <w:spacing w:after="0" w:line="16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K. VAMAN KAMATH, 66, has been a director of the Company since 2010. He has been the non-executive Chairman of the Board of ICICI Bank Limited, a banking institution, since May 2009, and was Managing Director and Chief Executive Officer of ICICI Bank Limited from 2002 to May 2009. He chairs its board governance, remuneration and nomination committee, as well as its credit, risk and customer service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6" w:lineRule="exact"/>
        <w:rPr>
          <w:sz w:val="20"/>
          <w:szCs w:val="20"/>
          <w:color w:val="auto"/>
        </w:rPr>
      </w:pPr>
    </w:p>
    <w:p>
      <w:pPr>
        <w:ind w:left="340" w:right="260" w:hanging="332"/>
        <w:spacing w:after="0" w:line="212"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6"/>
          <w:szCs w:val="16"/>
          <w:color w:val="auto"/>
        </w:rPr>
        <w:t>General Motors Corporation (“GM”) filed for bankruptcy protection under Chapter 11 of the U.S. Bankruptcy Code on June 1, 2009. None of the operations for which Ms. Kempston Darkes was directly responsible in Latin America, Africa and the Middle East were included in the bankruptcy filing. GM emerged from bankruptcy protection on July 10, 2009.</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is a member of its fraud monitoring, information technology strategy committee. Mr. Kamath was the non-executive Chairman of the Board at Infosys Limited, an information technology services company, from August 2011 to May 2013, and has been its Lead Independent Director since then, having served on Infosys’ board of directors since May 2009. Mr. Kamath also serves on Infosys’ audit committee and its management development and compensation committee. Mr. Kamath brings to the Board a deep understanding of India (a large and critical market for Schlumberger) and of Asia generally, both of which are of immense value to the Board. As a banker with more than 40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PAAL KIBSGAARD, 46,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brings to the Board a thorough knowledge of the Company’s operational activities worldwide as a result of his service in various global leadership positions in the Company. Mr. Kibsgaard has been with the Company since 1997, and began his career as a reservoir engineer. He has held numerous operational and administrative management positions within the Company in the Middle East, Europe and the U.S., and brings a valuable operational perspective to the Board. The Board believes that Mr. Kibsgaard’s service as Chief Executive Officer is an important link between management and the Board, enabling the Board to perform its oversight function with the benefit of his perspectives on the Company’s business.</w:t>
      </w:r>
    </w:p>
    <w:p>
      <w:pPr>
        <w:spacing w:after="0" w:line="18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NIKOLAY KUDRYAVTSEV, 63, has been a director of the Company since 2007. Since June 1997, he has been the Rector of the Moscow Institute of Physics and Technology. In 2012, Mr. Kudryavtsev was elected chairman of the Board of Rectors of the City of Moscow and Moscow Region.</w:t>
      </w:r>
    </w:p>
    <w:p>
      <w:pPr>
        <w:ind w:right="160"/>
        <w:spacing w:after="0" w:line="253" w:lineRule="auto"/>
        <w:rPr>
          <w:sz w:val="20"/>
          <w:szCs w:val="20"/>
          <w:color w:val="auto"/>
        </w:rPr>
      </w:pPr>
      <w:r>
        <w:rPr>
          <w:rFonts w:ascii="Arial" w:cs="Arial" w:eastAsia="Arial" w:hAnsi="Arial"/>
          <w:sz w:val="18"/>
          <w:szCs w:val="18"/>
          <w:color w:val="auto"/>
        </w:rPr>
        <w:t>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19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MICHAEL E. MARKS, 63, has been a director of the Company since 2005. He has been a Managing Partner of Riverwood Capital, LLC (formerly Bigwood Capital, LLC), a private equity firm, since March 2007. From 1994 to 2006, Mr. Marks served as the Chief Executive Officer of Flextronics, Inc., a leading producer of advanced electronic manufacturing services, and was a member of its board of directors from 1991 to 2008. He was appointed Chairman of the Board of Flextronics effective upon his retirement as Chief Executive Officer in 2006 and served in that role until 2008. Mr. Marks has been a director of SanDisk, a memory products company, since 2003 and became Chairman of its board in January 2011. He is also a member of its compensation committee and is chairman of its nominating and governance committee. From 2007 to 2010, he was a director at Sun Microsystems, a network computing infrastructure product and service company, and was a member of its audit committee. Until December 2010, Mr. Marks was a director of Calix (since 2009), a provider of broadband communications access systems and software. Mr. Marks brings to the Board his familiarity with world-class manufacturing from the field level to the boardroom based on his experience at Flextronics, a diversified global corporation with many of the same issues that Schlumberger faces. As a former chief executive and public company director at various other companies, Mr. Marks has been involved in succession planning, compensation, employee management and the evaluation of acquisition opportunities. Mr. Marks’ significant experience as a director at technology companies, as well as his mergers and acquisitions experience, are especially relevant to Schlumberger’s technology-oriented business and growth strategy.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LUBNA S. OLAYAN, 58, has been a director of the Company since 2011. Since 1986, she has been the deputy chairperson and Chief Executive Officer of Riyadh-based Olayan Financing Company, the holding entity for The Olayan Group’s operations in the Kingdom of Saudi Arabia and the Middle East. Ms. Olayan is a Principal of The Olayan Group (since 2001), a private multinational enterprise engaged in manufacturing, distribution and services. She is a member of the Board of Directors of Olayan Investments Company Establishment, the parent company of The Olayan Group. Since December 2004, she has been a director of Saudi Hollandi Bank, becoming the first woman to join the board of a Saudi publicly-listed company, and is a member of its executive committee and its nomination and remuneration committee. Ms. Olayan serves as a non-executive director and member of various corporate and advisory boards, such as Rolls Royce Group plc (since 2006), Akbank (since 2008) and the National Bank of Kuwait (since 2010). Ms. Olayan also serves on the boards of various non-governmental organizations, as well as of various educational institutions, including Cornell University and King Abdullah University of Science and Technology. Ms. Olayan served as a non-executive director of WPP plc, one of the largest communication services businesses in the world, from March 2005 to June 2012, and was a member of its nomination committee. Ms. Olayan brings to the Board proven leadership abilities and experience in Saudi Arabia and the Middle East, which enable her to make valuable contributions to the Board. Ms. Olayan also has extensive business experience in Saudi Arabia and the Middle East and a deep understanding of those areas, which are critical to the Company. The Board benefits from her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experience in university relations, are also of great value to Schlumberger and its efforts in technology leadership and employee recruiting and retention.</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LEO RAFAEL REIF, 63, has been a director of the Company since 2007. Since July 2012, Mr. Reif has been President of the Massachusetts Institute of Technology (“MIT”), having been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19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TORE I. SANDVOLD, 66, has been a director of the Company since 2004. He has been executive Chairman of Sandvold Energy AS, an advisory company in the energy industry, since September 2002. Mr. Sandvold is a director of Rowan Companies plc (since 2013), a provider of international and domestic contract drilling services, where he serves on its audit committee and its health, safety and environment committee. He has also been a member of the board of directors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Mr. Sandvold brings to the Board experience working in the area of energy policy for approximately 40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HENRI SEYDOUX, 53, has been a director of the Company since 2009. Since 1994, he has been Chairman and Chief Executive Officer of Parrot S.A., a global wireless products manufacturer. Mr. Seydoux is an entrepreneur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Framework—Highlights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252" w:lineRule="exact"/>
        <w:rPr>
          <w:sz w:val="20"/>
          <w:szCs w:val="20"/>
          <w:color w:val="auto"/>
        </w:rPr>
      </w:pPr>
    </w:p>
    <w:p>
      <w:pPr>
        <w:ind w:left="900" w:right="4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Isaac, an independent member of the Board, serves as Chairman of the Board.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Only independent directors serve on our Audit, Compensation, Finance, Nominating and Governance and Science and Technology Committees.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2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staggered board.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Stock Ownership Guidelines</w:t>
      </w:r>
    </w:p>
    <w:p>
      <w:pPr>
        <w:spacing w:after="0" w:line="252" w:lineRule="exact"/>
        <w:rPr>
          <w:sz w:val="20"/>
          <w:szCs w:val="20"/>
          <w:color w:val="auto"/>
        </w:rPr>
      </w:pPr>
    </w:p>
    <w:p>
      <w:pPr>
        <w:ind w:left="900" w:right="16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25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finance-related violations.</w:t>
      </w:r>
    </w:p>
    <w:p>
      <w:pPr>
        <w:spacing w:after="0" w:line="197"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banking relationships and currency exposures.</w:t>
      </w:r>
    </w:p>
    <w:p>
      <w:pPr>
        <w:spacing w:after="0" w:line="197"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173"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Nominating and Governance Committee oversees compliance-related risk and the Company’s Ethics and Compliance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Policies</w:t>
      </w:r>
    </w:p>
    <w:p>
      <w:pPr>
        <w:spacing w:after="0" w:line="252" w:lineRule="exact"/>
        <w:rPr>
          <w:sz w:val="20"/>
          <w:szCs w:val="20"/>
          <w:color w:val="auto"/>
        </w:rPr>
      </w:pPr>
    </w:p>
    <w:p>
      <w:pPr>
        <w:ind w:left="900" w:right="6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Furthermore, our directors and executive officers are prohibited from pledging their Schlumberger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Contributions</w:t>
      </w:r>
    </w:p>
    <w:p>
      <w:pPr>
        <w:spacing w:after="0" w:line="252" w:lineRule="exact"/>
        <w:rPr>
          <w:sz w:val="20"/>
          <w:szCs w:val="20"/>
          <w:color w:val="auto"/>
        </w:rPr>
      </w:pPr>
    </w:p>
    <w:p>
      <w:pPr>
        <w:ind w:left="9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are consistent with Schlumberger’s values, and that promote the effective functioning of the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http://www.slb.com/about/guiding_principles/corpgovernance/corpgov_guidelines.aspx.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of Directors has determined that each current director and director nominee listed above under “Election of Directors” is “independent” under the listing standards of the NYSE and our director independence standards, except Mr. Kibsgaard, who is our CEO and therefore does not qualify as independent. The Board also previously determined that Elizabeth Moler, who served as director until the 2013 annual general meeting and did not stand for re-election, was independent.</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Board-level standards for director independence, each member of the Audit Committee meets the heightened independence standards required for audit committee members under the NYSE’s listing standards, and each member of the Compensation Committee meets the heightened independence standards for compensation committee members under NYSE listing standards adopted last year, which Schlumberger implemented in advance of the required compliance date.</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Transactions Considered in Independence Determinations</w:t>
      </w:r>
      <w:r>
        <w:rPr>
          <w:rFonts w:ascii="Arial" w:cs="Arial" w:eastAsia="Arial" w:hAnsi="Arial"/>
          <w:sz w:val="16"/>
          <w:szCs w:val="16"/>
          <w:color w:val="auto"/>
        </w:rPr>
        <w:t>. The Board’s independence determinations included a review of transactions that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beginning of 2011 with entities associated with the independent directors or members of their immediate family. In making its independence determinations, the Board considered that Ms. Darkes, Mr. Isaac, Mr. Kamath, Mr. Kudryavtsev, Mr. Lajous, Ms. Olayan and Mr. Sandvold each have served as directors, trustees, outside consultants or advisory board members at companies and universities that have had commercial business relationships with the Company, all of which were ordinary course commercial transactions involving significantly less than 1% of either entity’s annual revenues. The Board also considered that the Company made charitable contributions in 2013 to The Massachusetts Institute of Technology, of which Mr. Reif is the President, of approximately $60,000 for thesis sponsorships and other educational grants, and training fees, for which Mr. Reif received no personal benefit. This amount was significantly less than the greater of $1 million or 2% of the university’s consolidated gross revenues for any of the past three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Nominating and Governance Committee believes that nominees should, in the judgment of the Board, be persons of integrity and honesty, be able to exercise sound, mature and independent business judgment in the best interests of our stockholders as a whole, be recognized leaders in business or professional activity, have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8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123,000 employees worldwide, representing more than 140 nationalities, and values gender, cultural and geographical diversity in its directors as well. Two of the Company’s director nominees are women. Of the 11 director nominees, three are citizens of the United States of America; two are citizens of Norway; and one director nominee is a citizen of each of Canada, France, Great Britain, Russia, India and Saudi Arabia.</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Applying the criteria above, 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From time to time, the Committee retains executive search and board advisory consulting firms to assist in identifying and evaluating potential nominees. During 2013, the committee retained London-based MWM Consulting, a third-party executive search firm, for this purpose. Consideration of new Board candidates typically involves a series of internal discussions, review of information concerning candidates, and interviews with selected candidates. Board members typically suggest candidates for nomination to the Board. MWM Consulting recommended Ms. Kempston Darkes as a prospective Board candidate.</w:t>
      </w:r>
    </w:p>
    <w:p>
      <w:pPr>
        <w:spacing w:after="0" w:line="19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Nominating and Governance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2011, the independent members of the Board determined that the appointment of an independent, non-executive Chairman of the Board was an appropriate board leadership structure at that time, and have determined that this leadership structure continues to be appropriate at this time, because it allows our CEO to focus on leading the Company’s complex international business operations while providing the Board experienced and independent leadership. The independent members of the Board appointed Tony Isaac as the independent, non-executive Chairman of the Board in April 2012. Mr. Isaac, who previously served as the Board’s lead independent director, continues to fulfill the responsibilities he performed as lead independent director, including setting the agendas for, and presiding over executive sessions of non-management directors, as well as serving as Chairman. In light of Mr. Isaac’s appointment as the independent, non-executive Chairman of the Board, the Board does not currently have a designated lead independent director. The Board may modify this structure from time to time to best address the Company’s unique circumstances, to advance the best interests of all stockholders, as and when appropriate. In the event that the Company modifies this leadership structure in the future and appoints a lead independent director, that director’s responsibilities would, as previously, be expected to include setting the agenda for all Board meetings (together with the Chairman), setting the agenda for and leading all executive meetings of the independent directors, and providing consolidated feedback, as appropriate, from those meetings to the Chairman and CEO. The lead independent director would also have authority to call meetings of the Board of Directors in executive session; facilitate discussions, outside of scheduled Board meetings, among the independent directors on key issues as appropriate; and serve as a non-exclusive liaison with the Chairman and CEO, in consultation with the other independent directors.</w:t>
      </w:r>
    </w:p>
    <w:p>
      <w:pPr>
        <w:spacing w:after="0" w:line="17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Schlumberger’s current governance practices provide for strong independent leadership, active participation by independent directors and 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addition, each of our Board committees considers the risks within its areas of responsibility. For example, the Finance Committee considers finance-related risks on a quarterly basis and recommends guidelines to control 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governance- and compliance-related risks and reviews and discusses the Company’s Ethics and Compliance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Conduct and related corporate policies are reported to the Nominating and Governance Committee and (if finance-related) to the Audit Committee, and, when appropriate, are reported to the full Board. Once a year, the Deputy General Counsel, Compliance delivers to the full Board a comprehensive Annual Compliance Report. The risks identified within the Ethics and Compliance Program are incorporated into the ERC’s enterprise risk management program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During 2013, the Board of Directors held six meetings. Schlumberger has an Audit, a Compensation, a Nominating and Governance, a Finance, and a Science and Technology Committee. During 2013, the Audit Committee met five times; the Compensation Committee met four times; the Finance Committee met four times; the Nominating and Governance Committee met four times; and the Science and Technology Committee met two times.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of our current directors attended at least 85% of the meetings of the Board and the committees on which he or she served in 2013 (held during the period he or she served), except for Mr. Marks, who attended 71% of such meetings.</w:t>
      </w:r>
    </w:p>
    <w:p>
      <w:pPr>
        <w:spacing w:after="0" w:line="170"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352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360" w:type="dxa"/>
            <w:vAlign w:val="bottom"/>
            <w:tcBorders>
              <w:top w:val="single" w:sz="8" w:color="auto"/>
              <w:right w:val="single" w:sz="8" w:color="auto"/>
            </w:tcBorders>
            <w:shd w:val="clear" w:color="auto" w:fill="D8D8D8"/>
          </w:tcPr>
          <w:p>
            <w:pPr>
              <w:spacing w:after="0"/>
              <w:rPr>
                <w:sz w:val="12"/>
                <w:szCs w:val="12"/>
                <w:color w:val="auto"/>
              </w:rPr>
            </w:pPr>
          </w:p>
        </w:tc>
        <w:tc>
          <w:tcPr>
            <w:tcW w:w="1800" w:type="dxa"/>
            <w:vAlign w:val="bottom"/>
            <w:tcBorders>
              <w:top w:val="single" w:sz="8" w:color="auto"/>
              <w:right w:val="single" w:sz="8" w:color="auto"/>
            </w:tcBorders>
            <w:shd w:val="clear" w:color="auto" w:fill="D8D8D8"/>
          </w:tcPr>
          <w:p>
            <w:pPr>
              <w:spacing w:after="0"/>
              <w:rPr>
                <w:sz w:val="12"/>
                <w:szCs w:val="12"/>
                <w:color w:val="auto"/>
              </w:rPr>
            </w:pPr>
          </w:p>
        </w:tc>
        <w:tc>
          <w:tcPr>
            <w:tcW w:w="1680" w:type="dxa"/>
            <w:vAlign w:val="bottom"/>
            <w:tcBorders>
              <w:top w:val="single" w:sz="8" w:color="auto"/>
              <w:right w:val="single" w:sz="8" w:color="auto"/>
            </w:tcBorders>
            <w:shd w:val="clear" w:color="auto" w:fill="D8D8D8"/>
          </w:tcPr>
          <w:p>
            <w:pPr>
              <w:jc w:val="center"/>
              <w:ind w:left="298"/>
              <w:spacing w:after="0" w:line="139" w:lineRule="exact"/>
              <w:rPr>
                <w:sz w:val="20"/>
                <w:szCs w:val="20"/>
                <w:color w:val="auto"/>
              </w:rPr>
            </w:pPr>
            <w:r>
              <w:rPr>
                <w:rFonts w:ascii="Arial" w:cs="Arial" w:eastAsia="Arial" w:hAnsi="Arial"/>
                <w:sz w:val="14"/>
                <w:szCs w:val="14"/>
                <w:b w:val="1"/>
                <w:bCs w:val="1"/>
                <w:color w:val="auto"/>
                <w:w w:val="96"/>
              </w:rPr>
              <w:t>Nominating</w:t>
            </w:r>
          </w:p>
        </w:tc>
        <w:tc>
          <w:tcPr>
            <w:tcW w:w="1540" w:type="dxa"/>
            <w:vAlign w:val="bottom"/>
            <w:tcBorders>
              <w:top w:val="single" w:sz="8" w:color="auto"/>
              <w:right w:val="single" w:sz="8" w:color="auto"/>
            </w:tcBorders>
            <w:shd w:val="clear" w:color="auto" w:fill="D8D8D8"/>
          </w:tcPr>
          <w:p>
            <w:pPr>
              <w:spacing w:after="0"/>
              <w:rPr>
                <w:sz w:val="12"/>
                <w:szCs w:val="12"/>
                <w:color w:val="auto"/>
              </w:rPr>
            </w:pPr>
          </w:p>
        </w:tc>
        <w:tc>
          <w:tcPr>
            <w:tcW w:w="1540" w:type="dxa"/>
            <w:vAlign w:val="bottom"/>
            <w:tcBorders>
              <w:top w:val="single" w:sz="8" w:color="auto"/>
              <w:right w:val="single" w:sz="8" w:color="auto"/>
            </w:tcBorders>
            <w:vMerge w:val="restart"/>
            <w:shd w:val="clear" w:color="auto" w:fill="D8D8D8"/>
          </w:tcPr>
          <w:p>
            <w:pPr>
              <w:jc w:val="center"/>
              <w:ind w:left="139"/>
              <w:spacing w:after="0"/>
              <w:rPr>
                <w:sz w:val="20"/>
                <w:szCs w:val="20"/>
                <w:color w:val="auto"/>
              </w:rPr>
            </w:pPr>
            <w:r>
              <w:rPr>
                <w:rFonts w:ascii="Arial" w:cs="Arial" w:eastAsia="Arial" w:hAnsi="Arial"/>
                <w:sz w:val="14"/>
                <w:szCs w:val="14"/>
                <w:b w:val="1"/>
                <w:bCs w:val="1"/>
                <w:color w:val="auto"/>
                <w:w w:val="88"/>
              </w:rPr>
              <w:t>Science and</w:t>
            </w: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right w:val="single" w:sz="8" w:color="auto"/>
            </w:tcBorders>
            <w:shd w:val="clear" w:color="auto" w:fill="D8D8D8"/>
          </w:tcPr>
          <w:p>
            <w:pPr>
              <w:spacing w:after="0"/>
              <w:rPr>
                <w:sz w:val="12"/>
                <w:szCs w:val="12"/>
                <w:color w:val="auto"/>
              </w:rPr>
            </w:pPr>
          </w:p>
        </w:tc>
        <w:tc>
          <w:tcPr>
            <w:tcW w:w="1360" w:type="dxa"/>
            <w:vAlign w:val="bottom"/>
            <w:tcBorders>
              <w:right w:val="single" w:sz="8" w:color="auto"/>
            </w:tcBorders>
            <w:vMerge w:val="restart"/>
            <w:shd w:val="clear" w:color="auto" w:fill="D8D8D8"/>
          </w:tcPr>
          <w:p>
            <w:pPr>
              <w:jc w:val="center"/>
              <w:ind w:left="116"/>
              <w:spacing w:after="0"/>
              <w:rPr>
                <w:sz w:val="20"/>
                <w:szCs w:val="20"/>
                <w:color w:val="auto"/>
              </w:rPr>
            </w:pPr>
            <w:r>
              <w:rPr>
                <w:rFonts w:ascii="Arial" w:cs="Arial" w:eastAsia="Arial" w:hAnsi="Arial"/>
                <w:sz w:val="14"/>
                <w:szCs w:val="14"/>
                <w:b w:val="1"/>
                <w:bCs w:val="1"/>
                <w:color w:val="auto"/>
              </w:rPr>
              <w:t>Audit</w:t>
            </w:r>
          </w:p>
        </w:tc>
        <w:tc>
          <w:tcPr>
            <w:tcW w:w="1800" w:type="dxa"/>
            <w:vAlign w:val="bottom"/>
            <w:tcBorders>
              <w:right w:val="single" w:sz="8" w:color="auto"/>
            </w:tcBorders>
            <w:vMerge w:val="restart"/>
            <w:shd w:val="clear" w:color="auto" w:fill="D8D8D8"/>
          </w:tcPr>
          <w:p>
            <w:pPr>
              <w:jc w:val="center"/>
              <w:ind w:left="276"/>
              <w:spacing w:after="0"/>
              <w:rPr>
                <w:sz w:val="20"/>
                <w:szCs w:val="20"/>
                <w:color w:val="auto"/>
              </w:rPr>
            </w:pPr>
            <w:r>
              <w:rPr>
                <w:rFonts w:ascii="Arial" w:cs="Arial" w:eastAsia="Arial" w:hAnsi="Arial"/>
                <w:sz w:val="14"/>
                <w:szCs w:val="14"/>
                <w:b w:val="1"/>
                <w:bCs w:val="1"/>
                <w:color w:val="auto"/>
                <w:w w:val="90"/>
              </w:rPr>
              <w:t>Compensation</w:t>
            </w:r>
          </w:p>
        </w:tc>
        <w:tc>
          <w:tcPr>
            <w:tcW w:w="1680" w:type="dxa"/>
            <w:vAlign w:val="bottom"/>
            <w:tcBorders>
              <w:right w:val="single" w:sz="8" w:color="auto"/>
            </w:tcBorders>
            <w:shd w:val="clear" w:color="auto" w:fill="D8D8D8"/>
          </w:tcPr>
          <w:p>
            <w:pPr>
              <w:jc w:val="center"/>
              <w:ind w:left="298"/>
              <w:spacing w:after="0" w:line="149" w:lineRule="exact"/>
              <w:rPr>
                <w:sz w:val="20"/>
                <w:szCs w:val="20"/>
                <w:color w:val="auto"/>
              </w:rPr>
            </w:pPr>
            <w:r>
              <w:rPr>
                <w:rFonts w:ascii="Arial" w:cs="Arial" w:eastAsia="Arial" w:hAnsi="Arial"/>
                <w:sz w:val="14"/>
                <w:szCs w:val="14"/>
                <w:b w:val="1"/>
                <w:bCs w:val="1"/>
                <w:color w:val="auto"/>
                <w:w w:val="88"/>
              </w:rPr>
              <w:t>and</w:t>
            </w:r>
          </w:p>
        </w:tc>
        <w:tc>
          <w:tcPr>
            <w:tcW w:w="1540" w:type="dxa"/>
            <w:vAlign w:val="bottom"/>
            <w:tcBorders>
              <w:right w:val="single" w:sz="8" w:color="auto"/>
            </w:tcBorders>
            <w:vMerge w:val="restart"/>
            <w:shd w:val="clear" w:color="auto" w:fill="D8D8D8"/>
          </w:tcPr>
          <w:p>
            <w:pPr>
              <w:jc w:val="center"/>
              <w:ind w:left="296"/>
              <w:spacing w:after="0"/>
              <w:rPr>
                <w:sz w:val="20"/>
                <w:szCs w:val="20"/>
                <w:color w:val="auto"/>
              </w:rPr>
            </w:pPr>
            <w:r>
              <w:rPr>
                <w:rFonts w:ascii="Arial" w:cs="Arial" w:eastAsia="Arial" w:hAnsi="Arial"/>
                <w:sz w:val="14"/>
                <w:szCs w:val="14"/>
                <w:b w:val="1"/>
                <w:bCs w:val="1"/>
                <w:color w:val="auto"/>
                <w:w w:val="90"/>
              </w:rPr>
              <w:t>Finance</w:t>
            </w:r>
          </w:p>
        </w:tc>
        <w:tc>
          <w:tcPr>
            <w:tcW w:w="1540" w:type="dxa"/>
            <w:vAlign w:val="bottom"/>
            <w:tcBorders>
              <w:right w:val="single" w:sz="8" w:color="auto"/>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right w:val="single" w:sz="8" w:color="auto"/>
            </w:tcBorders>
            <w:shd w:val="clear" w:color="auto" w:fill="D8D8D8"/>
          </w:tcPr>
          <w:p>
            <w:pPr>
              <w:spacing w:after="0"/>
              <w:rPr>
                <w:sz w:val="12"/>
                <w:szCs w:val="12"/>
                <w:color w:val="auto"/>
              </w:rPr>
            </w:pPr>
          </w:p>
        </w:tc>
        <w:tc>
          <w:tcPr>
            <w:tcW w:w="1360" w:type="dxa"/>
            <w:vAlign w:val="bottom"/>
            <w:tcBorders>
              <w:right w:val="single" w:sz="8" w:color="auto"/>
            </w:tcBorders>
            <w:vMerge w:val="continue"/>
            <w:shd w:val="clear" w:color="auto" w:fill="D8D8D8"/>
          </w:tcPr>
          <w:p>
            <w:pPr>
              <w:spacing w:after="0"/>
              <w:rPr>
                <w:sz w:val="12"/>
                <w:szCs w:val="12"/>
                <w:color w:val="auto"/>
              </w:rPr>
            </w:pPr>
          </w:p>
        </w:tc>
        <w:tc>
          <w:tcPr>
            <w:tcW w:w="1800" w:type="dxa"/>
            <w:vAlign w:val="bottom"/>
            <w:tcBorders>
              <w:right w:val="single" w:sz="8" w:color="auto"/>
            </w:tcBorders>
            <w:vMerge w:val="continue"/>
            <w:shd w:val="clear" w:color="auto" w:fill="D8D8D8"/>
          </w:tcPr>
          <w:p>
            <w:pPr>
              <w:spacing w:after="0"/>
              <w:rPr>
                <w:sz w:val="12"/>
                <w:szCs w:val="12"/>
                <w:color w:val="auto"/>
              </w:rPr>
            </w:pPr>
          </w:p>
        </w:tc>
        <w:tc>
          <w:tcPr>
            <w:tcW w:w="1680" w:type="dxa"/>
            <w:vAlign w:val="bottom"/>
            <w:tcBorders>
              <w:right w:val="single" w:sz="8" w:color="auto"/>
            </w:tcBorders>
            <w:shd w:val="clear" w:color="auto" w:fill="D8D8D8"/>
          </w:tcPr>
          <w:p>
            <w:pPr>
              <w:jc w:val="center"/>
              <w:ind w:left="298"/>
              <w:spacing w:after="0" w:line="149" w:lineRule="exact"/>
              <w:rPr>
                <w:sz w:val="20"/>
                <w:szCs w:val="20"/>
                <w:color w:val="auto"/>
              </w:rPr>
            </w:pPr>
            <w:r>
              <w:rPr>
                <w:rFonts w:ascii="Arial" w:cs="Arial" w:eastAsia="Arial" w:hAnsi="Arial"/>
                <w:sz w:val="14"/>
                <w:szCs w:val="14"/>
                <w:b w:val="1"/>
                <w:bCs w:val="1"/>
                <w:color w:val="auto"/>
                <w:w w:val="91"/>
              </w:rPr>
              <w:t>Governance</w:t>
            </w:r>
          </w:p>
        </w:tc>
        <w:tc>
          <w:tcPr>
            <w:tcW w:w="1540" w:type="dxa"/>
            <w:vAlign w:val="bottom"/>
            <w:tcBorders>
              <w:right w:val="single" w:sz="8" w:color="auto"/>
            </w:tcBorders>
            <w:vMerge w:val="continue"/>
            <w:shd w:val="clear" w:color="auto" w:fill="D8D8D8"/>
          </w:tcPr>
          <w:p>
            <w:pPr>
              <w:spacing w:after="0"/>
              <w:rPr>
                <w:sz w:val="12"/>
                <w:szCs w:val="12"/>
                <w:color w:val="auto"/>
              </w:rPr>
            </w:pPr>
          </w:p>
        </w:tc>
        <w:tc>
          <w:tcPr>
            <w:tcW w:w="1540" w:type="dxa"/>
            <w:vAlign w:val="bottom"/>
            <w:tcBorders>
              <w:right w:val="single" w:sz="8" w:color="auto"/>
            </w:tcBorders>
            <w:shd w:val="clear" w:color="auto" w:fill="D8D8D8"/>
          </w:tcPr>
          <w:p>
            <w:pPr>
              <w:jc w:val="center"/>
              <w:ind w:left="159"/>
              <w:spacing w:after="0" w:line="149" w:lineRule="exact"/>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85"/>
        </w:trPr>
        <w:tc>
          <w:tcPr>
            <w:tcW w:w="3520" w:type="dxa"/>
            <w:vAlign w:val="bottom"/>
            <w:tcBorders>
              <w:left w:val="single" w:sz="8" w:color="auto"/>
              <w:bottom w:val="single" w:sz="8" w:color="auto"/>
              <w:right w:val="single" w:sz="8" w:color="auto"/>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Name of Director</w:t>
            </w:r>
          </w:p>
        </w:tc>
        <w:tc>
          <w:tcPr>
            <w:tcW w:w="1360" w:type="dxa"/>
            <w:vAlign w:val="bottom"/>
            <w:tcBorders>
              <w:bottom w:val="single" w:sz="8" w:color="auto"/>
              <w:right w:val="single" w:sz="8" w:color="auto"/>
            </w:tcBorders>
            <w:shd w:val="clear" w:color="auto" w:fill="D8D8D8"/>
          </w:tcPr>
          <w:p>
            <w:pPr>
              <w:jc w:val="center"/>
              <w:ind w:left="116"/>
              <w:spacing w:after="0"/>
              <w:rPr>
                <w:sz w:val="20"/>
                <w:szCs w:val="20"/>
                <w:color w:val="auto"/>
              </w:rPr>
            </w:pPr>
            <w:r>
              <w:rPr>
                <w:rFonts w:ascii="Arial" w:cs="Arial" w:eastAsia="Arial" w:hAnsi="Arial"/>
                <w:sz w:val="14"/>
                <w:szCs w:val="14"/>
                <w:b w:val="1"/>
                <w:bCs w:val="1"/>
                <w:color w:val="auto"/>
                <w:w w:val="93"/>
              </w:rPr>
              <w:t>Committee</w:t>
            </w:r>
          </w:p>
        </w:tc>
        <w:tc>
          <w:tcPr>
            <w:tcW w:w="1800" w:type="dxa"/>
            <w:vAlign w:val="bottom"/>
            <w:tcBorders>
              <w:bottom w:val="single" w:sz="8" w:color="auto"/>
              <w:right w:val="single" w:sz="8" w:color="auto"/>
            </w:tcBorders>
            <w:shd w:val="clear" w:color="auto" w:fill="D8D8D8"/>
          </w:tcPr>
          <w:p>
            <w:pPr>
              <w:jc w:val="center"/>
              <w:ind w:left="276"/>
              <w:spacing w:after="0"/>
              <w:rPr>
                <w:sz w:val="20"/>
                <w:szCs w:val="20"/>
                <w:color w:val="auto"/>
              </w:rPr>
            </w:pPr>
            <w:r>
              <w:rPr>
                <w:rFonts w:ascii="Arial" w:cs="Arial" w:eastAsia="Arial" w:hAnsi="Arial"/>
                <w:sz w:val="14"/>
                <w:szCs w:val="14"/>
                <w:b w:val="1"/>
                <w:bCs w:val="1"/>
                <w:color w:val="auto"/>
                <w:w w:val="93"/>
              </w:rPr>
              <w:t>Committee</w:t>
            </w:r>
          </w:p>
        </w:tc>
        <w:tc>
          <w:tcPr>
            <w:tcW w:w="1680" w:type="dxa"/>
            <w:vAlign w:val="bottom"/>
            <w:tcBorders>
              <w:bottom w:val="single" w:sz="8" w:color="auto"/>
              <w:right w:val="single" w:sz="8" w:color="auto"/>
            </w:tcBorders>
            <w:shd w:val="clear" w:color="auto" w:fill="D8D8D8"/>
          </w:tcPr>
          <w:p>
            <w:pPr>
              <w:jc w:val="center"/>
              <w:ind w:left="278"/>
              <w:spacing w:after="0"/>
              <w:rPr>
                <w:sz w:val="20"/>
                <w:szCs w:val="20"/>
                <w:color w:val="auto"/>
              </w:rPr>
            </w:pPr>
            <w:r>
              <w:rPr>
                <w:rFonts w:ascii="Arial" w:cs="Arial" w:eastAsia="Arial" w:hAnsi="Arial"/>
                <w:sz w:val="14"/>
                <w:szCs w:val="14"/>
                <w:b w:val="1"/>
                <w:bCs w:val="1"/>
                <w:color w:val="auto"/>
                <w:w w:val="93"/>
              </w:rPr>
              <w:t>Committee</w:t>
            </w:r>
          </w:p>
        </w:tc>
        <w:tc>
          <w:tcPr>
            <w:tcW w:w="1540" w:type="dxa"/>
            <w:vAlign w:val="bottom"/>
            <w:tcBorders>
              <w:bottom w:val="single" w:sz="8" w:color="auto"/>
              <w:right w:val="single" w:sz="8" w:color="auto"/>
            </w:tcBorders>
            <w:shd w:val="clear" w:color="auto" w:fill="D8D8D8"/>
          </w:tcPr>
          <w:p>
            <w:pPr>
              <w:jc w:val="center"/>
              <w:ind w:left="296"/>
              <w:spacing w:after="0"/>
              <w:rPr>
                <w:sz w:val="20"/>
                <w:szCs w:val="20"/>
                <w:color w:val="auto"/>
              </w:rPr>
            </w:pPr>
            <w:r>
              <w:rPr>
                <w:rFonts w:ascii="Arial" w:cs="Arial" w:eastAsia="Arial" w:hAnsi="Arial"/>
                <w:sz w:val="14"/>
                <w:szCs w:val="14"/>
                <w:b w:val="1"/>
                <w:bCs w:val="1"/>
                <w:color w:val="auto"/>
                <w:w w:val="93"/>
              </w:rPr>
              <w:t>Committee</w:t>
            </w:r>
          </w:p>
        </w:tc>
        <w:tc>
          <w:tcPr>
            <w:tcW w:w="1540" w:type="dxa"/>
            <w:vAlign w:val="bottom"/>
            <w:tcBorders>
              <w:bottom w:val="single" w:sz="8" w:color="auto"/>
              <w:right w:val="single" w:sz="8" w:color="auto"/>
            </w:tcBorders>
            <w:shd w:val="clear" w:color="auto" w:fill="D8D8D8"/>
          </w:tcPr>
          <w:p>
            <w:pPr>
              <w:jc w:val="center"/>
              <w:ind w:left="139"/>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Peter L.S. Currie</w:t>
            </w:r>
          </w:p>
        </w:tc>
        <w:tc>
          <w:tcPr>
            <w:tcW w:w="136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2"/>
              </w:rPr>
              <w:t>Chair</w:t>
            </w: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Tony Isaac</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76"/>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jc w:val="center"/>
              <w:ind w:left="278"/>
              <w:spacing w:after="0"/>
              <w:rPr>
                <w:sz w:val="20"/>
                <w:szCs w:val="20"/>
                <w:color w:val="auto"/>
              </w:rPr>
            </w:pPr>
            <w:r>
              <w:rPr>
                <w:rFonts w:ascii="Arial" w:cs="Arial" w:eastAsia="Arial" w:hAnsi="Arial"/>
                <w:sz w:val="18"/>
                <w:szCs w:val="18"/>
                <w:color w:val="auto"/>
                <w:w w:val="92"/>
              </w:rPr>
              <w:t>Chair</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 Vaman Kamath</w:t>
            </w:r>
          </w:p>
        </w:tc>
        <w:tc>
          <w:tcPr>
            <w:tcW w:w="136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296"/>
              <w:spacing w:after="0"/>
              <w:rPr>
                <w:sz w:val="20"/>
                <w:szCs w:val="20"/>
                <w:color w:val="auto"/>
              </w:rPr>
            </w:pPr>
            <w:r>
              <w:rPr>
                <w:rFonts w:ascii="Arial" w:cs="Arial" w:eastAsia="Arial" w:hAnsi="Arial"/>
                <w:sz w:val="18"/>
                <w:szCs w:val="18"/>
                <w:color w:val="auto"/>
                <w:w w:val="92"/>
              </w:rPr>
              <w:t>Chair</w:t>
            </w: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Paal Kibsgaard</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Nikolay Kudryavtsev</w:t>
            </w:r>
          </w:p>
        </w:tc>
        <w:tc>
          <w:tcPr>
            <w:tcW w:w="136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Adrian Lajous</w:t>
            </w:r>
          </w:p>
        </w:tc>
        <w:tc>
          <w:tcPr>
            <w:tcW w:w="136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auto"/>
              <w:right w:val="single" w:sz="8" w:color="auto"/>
            </w:tcBorders>
          </w:tcPr>
          <w:p>
            <w:pPr>
              <w:jc w:val="center"/>
              <w:ind w:left="276"/>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jc w:val="center"/>
              <w:ind w:left="298"/>
              <w:spacing w:after="0"/>
              <w:rPr>
                <w:sz w:val="20"/>
                <w:szCs w:val="20"/>
                <w:color w:val="auto"/>
              </w:rPr>
            </w:pPr>
            <w:r>
              <w:rPr>
                <w:rFonts w:ascii="Arial" w:cs="Arial" w:eastAsia="Arial" w:hAnsi="Arial"/>
                <w:sz w:val="18"/>
                <w:szCs w:val="18"/>
                <w:color w:val="auto"/>
              </w:rPr>
              <w:t>X</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E. Marks</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76"/>
              <w:spacing w:after="0"/>
              <w:rPr>
                <w:sz w:val="20"/>
                <w:szCs w:val="20"/>
                <w:color w:val="auto"/>
              </w:rPr>
            </w:pPr>
            <w:r>
              <w:rPr>
                <w:rFonts w:ascii="Arial" w:cs="Arial" w:eastAsia="Arial" w:hAnsi="Arial"/>
                <w:sz w:val="18"/>
                <w:szCs w:val="18"/>
                <w:color w:val="auto"/>
                <w:w w:val="92"/>
              </w:rPr>
              <w:t>Chair</w:t>
            </w:r>
          </w:p>
        </w:tc>
        <w:tc>
          <w:tcPr>
            <w:tcW w:w="1680" w:type="dxa"/>
            <w:vAlign w:val="bottom"/>
            <w:tcBorders>
              <w:bottom w:val="single" w:sz="8" w:color="auto"/>
              <w:right w:val="single" w:sz="8" w:color="auto"/>
            </w:tcBorders>
          </w:tcPr>
          <w:p>
            <w:pPr>
              <w:jc w:val="center"/>
              <w:ind w:left="298"/>
              <w:spacing w:after="0"/>
              <w:rPr>
                <w:sz w:val="20"/>
                <w:szCs w:val="20"/>
                <w:color w:val="auto"/>
              </w:rPr>
            </w:pPr>
            <w:r>
              <w:rPr>
                <w:rFonts w:ascii="Arial" w:cs="Arial" w:eastAsia="Arial" w:hAnsi="Arial"/>
                <w:sz w:val="18"/>
                <w:szCs w:val="18"/>
                <w:color w:val="auto"/>
              </w:rPr>
              <w:t>X</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Lubna S. Olayan</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76"/>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296"/>
              <w:spacing w:after="0"/>
              <w:rPr>
                <w:sz w:val="20"/>
                <w:szCs w:val="20"/>
                <w:color w:val="auto"/>
              </w:rPr>
            </w:pPr>
            <w:r>
              <w:rPr>
                <w:rFonts w:ascii="Arial" w:cs="Arial" w:eastAsia="Arial" w:hAnsi="Arial"/>
                <w:sz w:val="18"/>
                <w:szCs w:val="18"/>
                <w:color w:val="auto"/>
                <w:w w:val="99"/>
              </w:rPr>
              <w:t>X</w:t>
            </w: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Leo Rafael Reif</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298"/>
              <w:spacing w:after="0"/>
              <w:rPr>
                <w:sz w:val="20"/>
                <w:szCs w:val="20"/>
                <w:color w:val="auto"/>
              </w:rPr>
            </w:pPr>
            <w:r>
              <w:rPr>
                <w:rFonts w:ascii="Arial" w:cs="Arial" w:eastAsia="Arial" w:hAnsi="Arial"/>
                <w:sz w:val="18"/>
                <w:szCs w:val="18"/>
                <w:color w:val="auto"/>
              </w:rPr>
              <w:t>X</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139"/>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Tore I. Sandvold</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298"/>
              <w:spacing w:after="0"/>
              <w:rPr>
                <w:sz w:val="20"/>
                <w:szCs w:val="20"/>
                <w:color w:val="auto"/>
              </w:rPr>
            </w:pPr>
            <w:r>
              <w:rPr>
                <w:rFonts w:ascii="Arial" w:cs="Arial" w:eastAsia="Arial" w:hAnsi="Arial"/>
                <w:sz w:val="18"/>
                <w:szCs w:val="18"/>
                <w:color w:val="auto"/>
              </w:rPr>
              <w:t>X</w:t>
            </w:r>
          </w:p>
        </w:tc>
        <w:tc>
          <w:tcPr>
            <w:tcW w:w="1540" w:type="dxa"/>
            <w:vAlign w:val="bottom"/>
            <w:tcBorders>
              <w:bottom w:val="single" w:sz="8" w:color="auto"/>
              <w:right w:val="single" w:sz="8" w:color="auto"/>
            </w:tcBorders>
          </w:tcPr>
          <w:p>
            <w:pPr>
              <w:jc w:val="center"/>
              <w:ind w:left="296"/>
              <w:spacing w:after="0"/>
              <w:rPr>
                <w:sz w:val="20"/>
                <w:szCs w:val="20"/>
                <w:color w:val="auto"/>
              </w:rPr>
            </w:pPr>
            <w:r>
              <w:rPr>
                <w:rFonts w:ascii="Arial" w:cs="Arial" w:eastAsia="Arial" w:hAnsi="Arial"/>
                <w:sz w:val="18"/>
                <w:szCs w:val="18"/>
                <w:color w:val="auto"/>
                <w:w w:val="99"/>
              </w:rPr>
              <w:t>X</w:t>
            </w: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Henri Seydoux</w:t>
            </w:r>
          </w:p>
        </w:tc>
        <w:tc>
          <w:tcPr>
            <w:tcW w:w="1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296"/>
              <w:spacing w:after="0"/>
              <w:rPr>
                <w:sz w:val="20"/>
                <w:szCs w:val="20"/>
                <w:color w:val="auto"/>
              </w:rPr>
            </w:pPr>
            <w:r>
              <w:rPr>
                <w:rFonts w:ascii="Arial" w:cs="Arial" w:eastAsia="Arial" w:hAnsi="Arial"/>
                <w:sz w:val="18"/>
                <w:szCs w:val="18"/>
                <w:color w:val="auto"/>
                <w:w w:val="99"/>
              </w:rPr>
              <w:t>X</w:t>
            </w:r>
          </w:p>
        </w:tc>
        <w:tc>
          <w:tcPr>
            <w:tcW w:w="154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Audit Committee consists of four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2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recommend for stockholder approval the independent registered public accounting firm to audit the accounts of the Company for the year;</w:t>
      </w:r>
    </w:p>
    <w:p>
      <w:pPr>
        <w:spacing w:after="0" w:line="263"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5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197"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50"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Schlumberger’s earnings press releases with management and the independent registered public accounting firm;</w:t>
      </w:r>
    </w:p>
    <w:p>
      <w:pPr>
        <w:spacing w:after="0" w:line="25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45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197"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determined that each Committee member has sufficient knowledge in financial and auditing matters to serve on the Committee. In addition, the Board of Directors has determined that Messrs. Currie, Kamath and Lajous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purposes of the Compensation Committee are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215" w:lineRule="exact"/>
        <w:rPr>
          <w:sz w:val="20"/>
          <w:szCs w:val="20"/>
          <w:color w:val="auto"/>
        </w:rPr>
      </w:pPr>
    </w:p>
    <w:p>
      <w:pPr>
        <w:ind w:left="900" w:right="2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 and approve the objectives, evaluate the performance, and review and recommend the compensation of the Company’s Chief Executive Officer to the Board’s independent directors, meeting in executive session.</w:t>
      </w:r>
    </w:p>
    <w:p>
      <w:pPr>
        <w:spacing w:after="0" w:line="197"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compensation, including base salary, annual cash incentive and long-term incentives;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is compared;</w:t>
      </w:r>
    </w:p>
    <w:p>
      <w:pPr>
        <w:spacing w:after="0" w:line="252" w:lineRule="exact"/>
        <w:rPr>
          <w:rFonts w:ascii="Arial" w:cs="Arial" w:eastAsia="Arial" w:hAnsi="Arial"/>
          <w:sz w:val="18"/>
          <w:szCs w:val="18"/>
          <w:color w:val="auto"/>
        </w:rPr>
      </w:pPr>
    </w:p>
    <w:p>
      <w:pPr>
        <w:jc w:val="both"/>
        <w:ind w:left="900" w:right="32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incentive compensation and equity-based plans, and advise management and the Board of Directors on the design and structure of the Company’s compensation and benefits programs and policies, and to approve changes thereto, or to recommend changes to the Board, as the Committee determines appropriate;</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 and make awards under the Company’s stock plans, and review and approve annual stock allocation under those plans;</w:t>
      </w:r>
    </w:p>
    <w:p>
      <w:pPr>
        <w:spacing w:after="0" w:line="252"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policies, and recommend changes to the Board as it deems appropriate in accordance with Schlumberger’s Corporate Governance Guidelines;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and review the Company’s overall compensation and benefits program design to assess such programs’ continued competitiveness and consistency with established Company compensation philosophy, corporate strategy and objectives, linkage of pay to performance, and alignment with stockholder interests, including any material risks of such programs;</w:t>
      </w:r>
    </w:p>
    <w:p>
      <w:pPr>
        <w:spacing w:after="0" w:line="208" w:lineRule="exact"/>
        <w:rPr>
          <w:rFonts w:ascii="Arial" w:cs="Arial" w:eastAsia="Arial" w:hAnsi="Arial"/>
          <w:sz w:val="18"/>
          <w:szCs w:val="18"/>
          <w:color w:val="auto"/>
        </w:rPr>
      </w:pPr>
    </w:p>
    <w:p>
      <w:pPr>
        <w:ind w:left="900" w:right="240" w:hanging="325"/>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establish and administer stock ownership policies for executive officers and other key position holders;</w:t>
      </w:r>
    </w:p>
    <w:p>
      <w:pPr>
        <w:spacing w:after="0" w:line="252" w:lineRule="exact"/>
        <w:rPr>
          <w:rFonts w:ascii="Arial" w:cs="Arial" w:eastAsia="Arial" w:hAnsi="Arial"/>
          <w:sz w:val="18"/>
          <w:szCs w:val="18"/>
          <w:color w:val="auto"/>
        </w:rPr>
      </w:pPr>
    </w:p>
    <w:p>
      <w:pPr>
        <w:ind w:left="900" w:right="260" w:hanging="325"/>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required to be included in the Company’s annual proxy statement, and based on such review and discussion, to determine whether or not to recommend to the Board that the CD&amp;A be included;</w:t>
      </w:r>
    </w:p>
    <w:p>
      <w:pPr>
        <w:spacing w:after="0" w:line="208" w:lineRule="exact"/>
        <w:rPr>
          <w:rFonts w:ascii="Arial" w:cs="Arial" w:eastAsia="Arial" w:hAnsi="Arial"/>
          <w:sz w:val="18"/>
          <w:szCs w:val="18"/>
          <w:color w:val="auto"/>
        </w:rPr>
      </w:pPr>
    </w:p>
    <w:p>
      <w:pPr>
        <w:ind w:left="900" w:hanging="325"/>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produce a Compensation Committee Report to be included in the Company’s annual proxy statement; and</w:t>
      </w:r>
    </w:p>
    <w:p>
      <w:pPr>
        <w:spacing w:after="0" w:line="252" w:lineRule="exact"/>
        <w:rPr>
          <w:rFonts w:ascii="Arial" w:cs="Arial" w:eastAsia="Arial" w:hAnsi="Arial"/>
          <w:sz w:val="18"/>
          <w:szCs w:val="18"/>
          <w:color w:val="auto"/>
        </w:rPr>
      </w:pPr>
    </w:p>
    <w:p>
      <w:pPr>
        <w:ind w:left="900" w:right="600" w:hanging="325"/>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 directly responsible for the appointment, compensation and oversight of the work of any consultants and other advisors retained by the Compensation Committee.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Role of the Independent Consultant. </w:t>
      </w:r>
      <w:r>
        <w:rPr>
          <w:rFonts w:ascii="Arial" w:cs="Arial" w:eastAsia="Arial" w:hAnsi="Arial"/>
          <w:sz w:val="16"/>
          <w:szCs w:val="16"/>
          <w:color w:val="auto"/>
        </w:rPr>
        <w:t>The Compensation Committee has retained Pay Governance LLC (“Pay Governance”) as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peer groups as those used in the executive compensation review.</w:t>
      </w:r>
    </w:p>
    <w:p>
      <w:pPr>
        <w:spacing w:after="0" w:line="16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1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 xml:space="preserve">Procedure for Determining Executive Compensation; Role of Management. </w:t>
      </w:r>
      <w:r>
        <w:rPr>
          <w:rFonts w:ascii="Arial" w:cs="Arial" w:eastAsia="Arial" w:hAnsi="Arial"/>
          <w:sz w:val="16"/>
          <w:szCs w:val="16"/>
          <w:color w:val="auto"/>
        </w:rPr>
        <w:t>The Compensation Committee evaluates all elements of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2013—Relative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96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right="2340"/>
        <w:spacing w:after="0" w:line="369" w:lineRule="auto"/>
        <w:rPr>
          <w:sz w:val="20"/>
          <w:szCs w:val="20"/>
          <w:color w:val="auto"/>
        </w:rPr>
      </w:pPr>
      <w:r>
        <w:rPr>
          <w:rFonts w:ascii="Arial" w:cs="Arial" w:eastAsia="Arial" w:hAnsi="Arial"/>
          <w:sz w:val="16"/>
          <w:szCs w:val="16"/>
          <w:color w:val="auto"/>
        </w:rPr>
        <w:t>Establish Company financial objectives Establish executive officer personal objectives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Perform competitive assessment to determine how Schlumberger’s compensation decisions compared to decisions made by companies included in the compensation surveys</w:t>
      </w:r>
    </w:p>
    <w:p>
      <w:pPr>
        <w:spacing w:after="0" w:line="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Independent compensation consultant provides analysis for the Compensation Committee to evaluate executive compensation</w:t>
      </w:r>
    </w:p>
    <w:p>
      <w:pPr>
        <w:spacing w:after="0" w:line="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Evaluate Company and executive performance (achievement of objectives established in previous fiscal year) and recommend incentive compensation based on those results</w:t>
      </w:r>
    </w:p>
    <w:p>
      <w:pPr>
        <w:spacing w:after="0" w:line="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Review and recommend executive base salary and determine equity-based grants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77" w:lineRule="exact"/>
        <w:rPr>
          <w:sz w:val="20"/>
          <w:szCs w:val="20"/>
          <w:color w:val="auto"/>
        </w:rPr>
      </w:pPr>
    </w:p>
    <w:p>
      <w:pPr>
        <w:ind w:right="1220"/>
        <w:spacing w:after="0" w:line="356" w:lineRule="auto"/>
        <w:rPr>
          <w:sz w:val="20"/>
          <w:szCs w:val="20"/>
          <w:color w:val="auto"/>
        </w:rPr>
      </w:pPr>
      <w:r>
        <w:rPr>
          <w:rFonts w:ascii="Arial" w:cs="Arial" w:eastAsia="Arial" w:hAnsi="Arial"/>
          <w:sz w:val="18"/>
          <w:szCs w:val="18"/>
          <w:color w:val="auto"/>
        </w:rPr>
        <w:t>Early in the first quarter of the fiscal year for current year October of each fiscal year for current year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2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Results approved in January of each fiscal year for annual cash incentive compensation with respect to prior year. The incentive earned in prior fiscal year is paid in March of the current fiscal year.</w:t>
      </w:r>
    </w:p>
    <w:p>
      <w:pPr>
        <w:spacing w:after="0" w:line="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January of each fiscal year for base salary for that year and for equity-based grants</w:t>
      </w:r>
    </w:p>
    <w:p>
      <w:pPr>
        <w:spacing w:after="0" w:line="170" w:lineRule="exact"/>
        <w:rPr>
          <w:sz w:val="20"/>
          <w:szCs w:val="20"/>
          <w:color w:val="auto"/>
        </w:rPr>
      </w:pPr>
    </w:p>
    <w:p>
      <w:pPr>
        <w:sectPr>
          <w:pgSz w:w="11900" w:h="16838" w:orient="portrait"/>
          <w:cols w:equalWidth="0" w:num="2">
            <w:col w:w="5700" w:space="360"/>
            <w:col w:w="5360"/>
          </w:cols>
          <w:pgMar w:left="240" w:top="459" w:right="239" w:bottom="1440" w:gutter="0" w:footer="0" w:header="0"/>
          <w:type w:val="continuous"/>
        </w:sectPr>
      </w:pPr>
    </w:p>
    <w:p>
      <w:pPr>
        <w:ind w:right="2520" w:firstLine="456"/>
        <w:spacing w:after="0" w:line="308" w:lineRule="auto"/>
        <w:rPr>
          <w:sz w:val="20"/>
          <w:szCs w:val="20"/>
          <w:color w:val="auto"/>
        </w:rPr>
      </w:pPr>
      <w:r>
        <w:rPr>
          <w:rFonts w:ascii="Arial" w:cs="Arial" w:eastAsia="Arial" w:hAnsi="Arial"/>
          <w:sz w:val="17"/>
          <w:szCs w:val="17"/>
          <w:color w:val="auto"/>
        </w:rPr>
        <w:t>The Compensation Committee operates pursuant to a written charter, which is available on the Company’s website at http://www.slb.com/about/guiding_principles/corpgovernance/compensation_committee.aspx.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Nominating and Governance Committee consists of five directors, each of whom meets the independence requirements of the NYSE’s listing standards. The authority and responsibilities of the Nominating and Governance Committee include the following:</w:t>
      </w:r>
    </w:p>
    <w:p>
      <w:pPr>
        <w:spacing w:after="0" w:line="19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252"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to the Board the number and names of director nominees at the next annual meeting of stockholders and to propose director nominees to fill any vacancies on the Board;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the qualifications and criteria taken into consideration in the evaluation of potential nominees for membership on the Board;</w:t>
      </w:r>
    </w:p>
    <w:p>
      <w:pPr>
        <w:spacing w:after="0" w:line="275"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Board with its determination of the independence of its members;</w:t>
      </w:r>
    </w:p>
    <w:p>
      <w:pPr>
        <w:spacing w:after="0" w:line="252"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changes in law and NYSE listing standards, as well as best practices in corporate governance, and to periodically review the Company’s Corporate Governance Guidelines and recommend changes as it deems appropriate in those guidelines, in the corporate governance provisions of the Company’s By-Laws and in the policies and practices of the Board in light of such trends, changes and best practices as appropriate;</w:t>
      </w:r>
    </w:p>
    <w:p>
      <w:pPr>
        <w:spacing w:after="0" w:line="213"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issues involving “related person transactions” with directors and similar issues, including approval or ratification of any such transactions as appropriate;</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275"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annual evaluation of Board effectiveness and report to the Board;</w:t>
      </w:r>
    </w:p>
    <w:p>
      <w:pPr>
        <w:spacing w:after="0" w:line="252"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new director orientation and director continuing education on governance issues;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annually recommend to the Board committee membership and chairs, and review periodically with the Board committee rotation practices;</w:t>
      </w:r>
    </w:p>
    <w:p>
      <w:pPr>
        <w:spacing w:after="0" w:line="263"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the membership of any Schlumberger executive officer on another listed company’s board, and receive timely information from non-employee directors of any new listed company board to which they have been nominated for election as director and of any change in their status as director on any other listed company board; and</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225" w:lineRule="exact"/>
        <w:rPr>
          <w:sz w:val="20"/>
          <w:szCs w:val="20"/>
          <w:color w:val="auto"/>
        </w:rPr>
      </w:pPr>
    </w:p>
    <w:p>
      <w:pPr>
        <w:ind w:right="1420" w:firstLine="456"/>
        <w:spacing w:after="0" w:line="277"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Finance Committee advises the Board and management on various matters, including dividends, financial policies and the investment of funds.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Finance Committee include the following:</w:t>
      </w:r>
    </w:p>
    <w:p>
      <w:pPr>
        <w:spacing w:after="0" w:line="23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252" w:lineRule="exact"/>
        <w:rPr>
          <w:rFonts w:ascii="Arial" w:cs="Arial" w:eastAsia="Arial" w:hAnsi="Arial"/>
          <w:sz w:val="18"/>
          <w:szCs w:val="18"/>
          <w:color w:val="auto"/>
        </w:rPr>
      </w:pPr>
    </w:p>
    <w:p>
      <w:pPr>
        <w:ind w:left="1480" w:right="540" w:hanging="446"/>
        <w:spacing w:after="0" w:line="277"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197"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52"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252"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197"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225" w:lineRule="exact"/>
        <w:rPr>
          <w:sz w:val="20"/>
          <w:szCs w:val="20"/>
          <w:color w:val="auto"/>
        </w:rPr>
      </w:pPr>
    </w:p>
    <w:p>
      <w:pPr>
        <w:ind w:right="2960" w:firstLine="456"/>
        <w:spacing w:after="0" w:line="277" w:lineRule="auto"/>
        <w:rPr>
          <w:sz w:val="20"/>
          <w:szCs w:val="20"/>
          <w:color w:val="auto"/>
        </w:rPr>
      </w:pPr>
      <w:r>
        <w:rPr>
          <w:rFonts w:ascii="Arial" w:cs="Arial" w:eastAsia="Arial" w:hAnsi="Arial"/>
          <w:sz w:val="18"/>
          <w:szCs w:val="18"/>
          <w:color w:val="auto"/>
        </w:rPr>
        <w:t>The Finance Committee operates pursuant to a written charter, which is available on the Company’s website at http://www.slb.com/about/guiding_principles/corpgovernance/finance_committee.aspx.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Science and Technology Committee advises the Board and management on matters involving the Company’s research and development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Science and Technology Committee include the following:</w:t>
      </w:r>
    </w:p>
    <w:p>
      <w:pPr>
        <w:spacing w:after="0" w:line="238" w:lineRule="exact"/>
        <w:rPr>
          <w:sz w:val="20"/>
          <w:szCs w:val="20"/>
          <w:color w:val="auto"/>
        </w:rPr>
      </w:pPr>
    </w:p>
    <w:p>
      <w:pPr>
        <w:ind w:left="900" w:right="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97"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advise the Board and management on the Company’s major technology positions and strategies relative to emerging technologies and changing market requirements;</w:t>
      </w:r>
    </w:p>
    <w:p>
      <w:pPr>
        <w:spacing w:after="0" w:line="197"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248" w:lineRule="exact"/>
        <w:rPr>
          <w:sz w:val="20"/>
          <w:szCs w:val="20"/>
          <w:color w:val="auto"/>
        </w:rPr>
      </w:pPr>
    </w:p>
    <w:p>
      <w:pPr>
        <w:ind w:right="1780" w:firstLine="456"/>
        <w:spacing w:after="0" w:line="277"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229"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229"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but not required, to attend, and that the Company will make all appropriate arrangements for directors who choose to attend. Tony Isaac, our non-executive Chairman of the Board, attended the annual general meeting of stockholders in 2013, which was held in Curaçao as required by Curaçao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21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beginning of 2013, there were no related person transactions under the relevant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Conduct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Copies of Schlumberger’s Corporate Governance Guidelines are available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http://www.slb.com/about/guiding_principles/corpgovernance/corpgov_guidelines.aspx.</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Schlumberger has adopted a Code of Conduct that applies to all of its directors, officers (including its chief executive officer, chief financial officer, chief accounting officer, controller and any person performing similar functions) and employees. Our Code of Conduct is located at http://www.slb.com/about/codeofconduct.aspx.</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ADVISORY RESOLUTION TO APPROVE EXECUTIVE COMPENSATION</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20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urge stockholders to read the “Compensation Discussion and Analysis”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48 through 69,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17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2014 annual general meeting of stockholders:</w:t>
      </w:r>
    </w:p>
    <w:p>
      <w:pPr>
        <w:spacing w:after="0" w:line="170" w:lineRule="exact"/>
        <w:rPr>
          <w:sz w:val="20"/>
          <w:szCs w:val="20"/>
          <w:color w:val="auto"/>
        </w:rPr>
      </w:pPr>
    </w:p>
    <w:p>
      <w:pPr>
        <w:ind w:left="460" w:right="520" w:firstLine="420"/>
        <w:spacing w:after="0" w:line="286" w:lineRule="auto"/>
        <w:rPr>
          <w:sz w:val="20"/>
          <w:szCs w:val="20"/>
          <w:color w:val="auto"/>
        </w:rPr>
      </w:pPr>
      <w:r>
        <w:rPr>
          <w:rFonts w:ascii="Arial" w:cs="Arial" w:eastAsia="Arial" w:hAnsi="Arial"/>
          <w:sz w:val="17"/>
          <w:szCs w:val="17"/>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2014 annual general meeting of stockholders.</w:t>
      </w:r>
    </w:p>
    <w:p>
      <w:pPr>
        <w:spacing w:after="0" w:line="166"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Board of Directors has adopted a policy providing for an annual “say-on-pay” advisory vote. Unless the Board of Directors modifies its policy on the frequency of holding “say-on-pay” advisory votes, the next “say-on-pay” advisory vote will occur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Brokers do not have discretion to vote on this proposal without your instruction. If you</w:t>
      </w:r>
      <w:r>
        <w:rPr>
          <w:rFonts w:ascii="Arial" w:cs="Arial" w:eastAsia="Arial" w:hAnsi="Arial"/>
          <w:sz w:val="18"/>
          <w:szCs w:val="18"/>
          <w:color w:val="auto"/>
        </w:rPr>
        <w:t xml:space="preserve"> </w:t>
      </w:r>
      <w:r>
        <w:rPr>
          <w:rFonts w:ascii="Arial" w:cs="Arial" w:eastAsia="Arial" w:hAnsi="Arial"/>
          <w:sz w:val="18"/>
          <w:szCs w:val="18"/>
          <w:i w:val="1"/>
          <w:iCs w:val="1"/>
          <w:color w:val="auto"/>
        </w:rPr>
        <w:t>do not instruct your broker how to vote on this proposal, your broker will deliver a non-vote on this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2013 affecting 2013 base salaries and long-term equity incentives (“LTIs”), as well as annual cash incentive awards earned in 2013 but paid in February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Overview</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Schlumberger delivered strong financial results in 2013, with all three of our Product Groups recording strong growth. Highlights of our performance include:</w:t>
      </w:r>
    </w:p>
    <w:p>
      <w:pPr>
        <w:spacing w:after="0" w:line="197" w:lineRule="exact"/>
        <w:rPr>
          <w:sz w:val="20"/>
          <w:szCs w:val="20"/>
          <w:color w:val="auto"/>
        </w:rPr>
      </w:pPr>
    </w:p>
    <w:p>
      <w:pPr>
        <w:ind w:left="900" w:right="5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had record full-year revenue of $45.3 billion in 2013, an increase of 8% over 2012, representing our fourth consecutive year of revenue growth;</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2013 full-year diluted earnings per share from continuing operations was $5.10, versus $3.91 in 2012, an increase of 30% year –over-year;</w:t>
      </w:r>
    </w:p>
    <w:p>
      <w:pPr>
        <w:spacing w:after="0" w:line="275"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revenue grew by $3.2 billion, or 11% over 2012, on higher exploration and development activity;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North America, we demonstrated continued resilience to the challenging land market by increasing revenue by $363 million over 2012; and</w:t>
      </w:r>
    </w:p>
    <w:p>
      <w:pPr>
        <w:spacing w:after="0" w:line="275"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increased our annual dividend per share by 13.6% in 2013, from $1.10 per share to $1.25 per share, and returned approximately $4.2 billion to our stockholders in 2013 through dividends and stock repurchases.</w:t>
      </w:r>
    </w:p>
    <w:p>
      <w:pPr>
        <w:spacing w:after="0" w:line="170" w:lineRule="exact"/>
        <w:rPr>
          <w:sz w:val="20"/>
          <w:szCs w:val="20"/>
          <w:color w:val="auto"/>
        </w:rPr>
      </w:pPr>
    </w:p>
    <w:p>
      <w:pPr>
        <w:jc w:val="both"/>
        <w:ind w:right="700" w:firstLine="456"/>
        <w:spacing w:after="0" w:line="264" w:lineRule="auto"/>
        <w:rPr>
          <w:sz w:val="20"/>
          <w:szCs w:val="20"/>
          <w:color w:val="auto"/>
        </w:rPr>
      </w:pPr>
      <w:r>
        <w:rPr>
          <w:rFonts w:ascii="Arial" w:cs="Arial" w:eastAsia="Arial" w:hAnsi="Arial"/>
          <w:sz w:val="18"/>
          <w:szCs w:val="18"/>
          <w:color w:val="auto"/>
        </w:rPr>
        <w:t>Schlumberger management also took several other key operational, strategic and economic measures in 2013 to continue to better position the Company for the long-term. Schlumberger achieved the following goals, among others, many of which were aligned with our executives’ individual objectives:</w:t>
      </w:r>
    </w:p>
    <w:p>
      <w:pPr>
        <w:spacing w:after="0" w:line="208" w:lineRule="exact"/>
        <w:rPr>
          <w:sz w:val="20"/>
          <w:szCs w:val="20"/>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June 2013, we closed the formation of OneSubsea</w:t>
      </w:r>
      <w:r>
        <w:rPr>
          <w:rFonts w:ascii="Arial" w:cs="Arial" w:eastAsia="Arial" w:hAnsi="Arial"/>
          <w:sz w:val="15"/>
          <w:szCs w:val="15"/>
          <w:color w:val="auto"/>
        </w:rPr>
        <w:t>TM</w:t>
      </w:r>
      <w:r>
        <w:rPr>
          <w:rFonts w:ascii="Arial" w:cs="Arial" w:eastAsia="Arial" w:hAnsi="Arial"/>
          <w:sz w:val="18"/>
          <w:szCs w:val="18"/>
          <w:color w:val="auto"/>
        </w:rPr>
        <w:t>, a key strategic joint venture with Cameron International Corporation to manufacture and develop products, systems and services for the subsea oil and gas market;</w:t>
      </w:r>
    </w:p>
    <w:p>
      <w:pPr>
        <w:spacing w:after="0" w:line="197"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began a series of transformational initiatives designed to leverage both our size and breadth of our offerings to generate a further competitive advantage;</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our technology leadership by investing $1.2 billion in research and engineering;</w:t>
      </w:r>
    </w:p>
    <w:p>
      <w:pPr>
        <w:spacing w:after="0" w:line="25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to implement Company initiatives to improve global productivity, increase manufacturing efficiency, reduce fixed costs and streamline the Company;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to focus on retaining valuable technical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22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Schlumberger is the world’s largest oilfield services company and the only such company included in the S&amp;P 100 Index. The Company’s success in delivering strong long-term stockholder returns and financial/operational results is a result of attracting, developing and retaining the best talent globally. A highly competitive compensation package is critical to this objective and to this end, the Compensation Committee determined in January 2013 to seek to target total direct compensation for our NEOs and other executive officers at or very close to the 75th percentile of the Company’s two executive compensation comparator groups. In the view of the Compensation Committee, the 75th percentile is the proper level to target because of Schlumberger’s leading position in the oilfield services industry; because the market for executive talent in the oil and gas industry is exceptionally competitive; and because our executives are very highly sought after, not only by our direct oilfield service competitors but by other leading companies. The Compensation Committee retains the flexibility to set elements of target compensation at higher percentiles in exceptional cases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 Elements of our executives’ total direct compensation and actual payments may also be below median as a result of our pay-for-performance philosophy, as discussed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Best Practices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some of our compensation practices and policies that demonstrate important aspects of our culture and values.</w:t>
      </w:r>
    </w:p>
    <w:p>
      <w:pPr>
        <w:spacing w:after="0" w:line="264" w:lineRule="exact"/>
        <w:rPr>
          <w:sz w:val="20"/>
          <w:szCs w:val="20"/>
          <w:color w:val="auto"/>
        </w:rPr>
      </w:pPr>
    </w:p>
    <w:p>
      <w:pPr>
        <w:ind w:left="900" w:right="22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long-term equity compensation that is at risk, in order to align executive compensation with the Company’s business strategy and create long-term stockholder value. Schlumberger’s long-term incentive program focuses executives on longer-term operating performance and stockholder results.</w:t>
      </w:r>
    </w:p>
    <w:p>
      <w:pPr>
        <w:spacing w:after="0" w:line="208"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primary elements of our compensation program for our executive officers are base salary; annual cash incentive, which is based upon performance against pre-established financial and individual goals; and LTIs in the form of performance share units (“PSUs”) and stock options.</w:t>
      </w:r>
    </w:p>
    <w:p>
      <w:pPr>
        <w:spacing w:after="0" w:line="150"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officers have no employment, severance or change-in-control agreements, except for employment agreements in the limited cases of phased retirement.</w:t>
      </w:r>
    </w:p>
    <w:p>
      <w:pPr>
        <w:spacing w:after="0" w:line="197"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stock ownership guidelines provide that our CEO must own shares of our common stock equal to at least 6 times his annual base salary; our executive vice presidents, including our CFO, must own at least 3 times their annual base salary; and all other executive officers (non-EVP) must own at least 2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21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 awards granted to our NEOs since October 2010 do not provide for any automatic acceleration upon a change in control, and provide for the same rights on a termination following a change in control as are applicable prior to a change in control. The only rights to vesting on termination are provided in the event of retirement, disability or death.</w:t>
      </w:r>
    </w:p>
    <w:p>
      <w:pPr>
        <w:spacing w:after="0" w:line="208"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spacing w:after="0" w:line="197"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 Furthermore, our directors and executive officers are prohibited from pledging, or using as collateral, their Schlumberger stock in order to secure personal loans or other obligations, which includes holding shares of our common stock in a margin account. As of the date of this proxy statement, none of the shares owned by our directors or executive officers are subject to any pledge.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Decisions for 2013</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continued to focus on achieving the right mix and level of compensation to retain and motivate our top executives through a year that was marked by uncertain business conditions. In 2013, the Compensation Committee continued to focus on, among other things, strengthening the link between pay and performance. As a result, and as more fully discussed elsewhere in this CD&amp;A, the Compensation Committee took the following actions in 2013:</w:t>
      </w:r>
    </w:p>
    <w:p>
      <w:pPr>
        <w:spacing w:after="0" w:line="214" w:lineRule="exact"/>
        <w:rPr>
          <w:sz w:val="20"/>
          <w:szCs w:val="20"/>
          <w:color w:val="auto"/>
        </w:rPr>
      </w:pPr>
    </w:p>
    <w:p>
      <w:pPr>
        <w:ind w:left="900" w:right="1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January 2013, we began granting three-year PSUs to our senior executive officers, including our NEOs, with the result that half of our executive officers’ target LTI award opportunity is in the form of PSUs with payouts that are contingent on achievement of an absolute return on capital employed (ROCE) measured over a three-year period, with the remaining half of the LTI award opportunity in the form of stock options. Historically, our senior executives had received 100% stock options.</w:t>
      </w:r>
    </w:p>
    <w:p>
      <w:pPr>
        <w:spacing w:after="0" w:line="213"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aid in the transition to PSUs, the Compensation Committee approved additional grants to the NEOs of PSUs with one-year and two-year performance periods, solely for the 2013 grant cycle.</w:t>
      </w:r>
    </w:p>
    <w:p>
      <w:pPr>
        <w:spacing w:after="0" w:line="197"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Compensation Committee approved grants of equity-based awards to the NEOs in January 2013 generally at or slightly above the 75</w:t>
      </w:r>
      <w:r>
        <w:rPr>
          <w:rFonts w:ascii="Arial" w:cs="Arial" w:eastAsia="Arial" w:hAnsi="Arial"/>
          <w:sz w:val="13"/>
          <w:szCs w:val="13"/>
          <w:color w:val="auto"/>
        </w:rPr>
        <w:t>th</w:t>
      </w:r>
      <w:r>
        <w:rPr>
          <w:rFonts w:ascii="Arial" w:cs="Arial" w:eastAsia="Arial" w:hAnsi="Arial"/>
          <w:sz w:val="16"/>
          <w:szCs w:val="16"/>
          <w:color w:val="auto"/>
        </w:rPr>
        <w:t xml:space="preserve"> percentile of the Company’s oil industry peer group, and between the 50</w:t>
      </w:r>
      <w:r>
        <w:rPr>
          <w:rFonts w:ascii="Arial" w:cs="Arial" w:eastAsia="Arial" w:hAnsi="Arial"/>
          <w:sz w:val="13"/>
          <w:szCs w:val="13"/>
          <w:color w:val="auto"/>
        </w:rPr>
        <w:t>th</w:t>
      </w:r>
      <w:r>
        <w:rPr>
          <w:rFonts w:ascii="Arial" w:cs="Arial" w:eastAsia="Arial" w:hAnsi="Arial"/>
          <w:sz w:val="16"/>
          <w:szCs w:val="16"/>
          <w:color w:val="auto"/>
        </w:rPr>
        <w:t xml:space="preserve"> and 75</w:t>
      </w:r>
      <w:r>
        <w:rPr>
          <w:rFonts w:ascii="Arial" w:cs="Arial" w:eastAsia="Arial" w:hAnsi="Arial"/>
          <w:sz w:val="13"/>
          <w:szCs w:val="13"/>
          <w:color w:val="auto"/>
        </w:rPr>
        <w:t>th</w:t>
      </w:r>
      <w:r>
        <w:rPr>
          <w:rFonts w:ascii="Arial" w:cs="Arial" w:eastAsia="Arial" w:hAnsi="Arial"/>
          <w:sz w:val="16"/>
          <w:szCs w:val="16"/>
          <w:color w:val="auto"/>
        </w:rPr>
        <w:t xml:space="preserve"> percentile of its general industry peer group.</w:t>
      </w:r>
    </w:p>
    <w:p>
      <w:pPr>
        <w:spacing w:after="0" w:line="150" w:lineRule="exact"/>
        <w:rPr>
          <w:rFonts w:ascii="Arial" w:cs="Arial" w:eastAsia="Arial" w:hAnsi="Arial"/>
          <w:sz w:val="16"/>
          <w:szCs w:val="16"/>
          <w:color w:val="auto"/>
        </w:rPr>
      </w:pPr>
    </w:p>
    <w:p>
      <w:pPr>
        <w:jc w:val="both"/>
        <w:ind w:left="900" w:right="200" w:hanging="446"/>
        <w:spacing w:after="0" w:line="31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July 2013, the Compensation Committee approved the addition of a relative performance component to the financial half of our annual cash incentive program. As a result, the financial half of our NEOs’ 2013 annual cash incentive was based equally on (i) achievement of EPS targets and (ii) year-over-year relative growth in terms of both revenue and pretax operating margin, compared to our two main competitors.</w:t>
      </w:r>
    </w:p>
    <w:p>
      <w:pPr>
        <w:spacing w:after="0" w:line="173" w:lineRule="exact"/>
        <w:rPr>
          <w:rFonts w:ascii="Arial" w:cs="Arial" w:eastAsia="Arial" w:hAnsi="Arial"/>
          <w:sz w:val="16"/>
          <w:szCs w:val="16"/>
          <w:color w:val="auto"/>
        </w:rPr>
      </w:pPr>
    </w:p>
    <w:p>
      <w:pPr>
        <w:ind w:left="900" w:right="1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following a compensation review, determined to hold base salaries flat for virtually all of our NEOs. Only Satish Pai received a base salary increase in 2013, from 700,000 Euros to 800,000 Euros, due to his increased responsibilities and competitive market positioning.</w:t>
      </w:r>
    </w:p>
    <w:p>
      <w:pPr>
        <w:spacing w:after="0" w:line="208"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Payout of the EPS component of the financial half of the annual cash incentive for 2013 was 147.5% of target, and payout of the relative performance component was 142%. These combined for an average payout of 144.5% under the financial half of the 2013 annual cash incentive, well below the maximum 300% potential payout.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keeping with the Company’s pay-for-performance culture, Schlumberger’s long-standing compensation philosophy is to pay senior executives and other professional-level employees for performance that is evaluated against personal and Company financial goals that are established at the beginning of the calendar year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reviewed at the end of the year against actual performance. Schlumberger’s compensation program is driven by the need to 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workforce as both a very important part of its cultural philosophy and a business imperative, as it enables the Company to serve clients anywhere in the world. Schlumberger believes its use of a consistent approach to compensation at all levels is a strong factor in achieving a diverse workforce comprising top global talent.</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Schlumberger’s executive compensation program consists of three primary elements, comprising our executives’ total direct compensation:</w:t>
      </w:r>
    </w:p>
    <w:p>
      <w:pPr>
        <w:spacing w:after="0" w:line="26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These elements allow the Company to remain competitive and attract, retain and motivate top executive talent with current and potential future financial rewards. At the same time, this relatively simple compensation program is applied and communicated consistently to our exempt employees of more than 140 nationalities operating in approximately 85 countries.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Framework for Setting Executive Compensation in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252" w:lineRule="exact"/>
        <w:rPr>
          <w:sz w:val="20"/>
          <w:szCs w:val="20"/>
          <w:color w:val="auto"/>
        </w:rPr>
      </w:pPr>
    </w:p>
    <w:p>
      <w:pPr>
        <w:ind w:left="900" w:right="6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Company-wide financial and personal objectives;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 awards should encourage the creation of long-term stockholder value;</w:t>
      </w:r>
    </w:p>
    <w:p>
      <w:pPr>
        <w:spacing w:after="0" w:line="252" w:lineRule="exact"/>
        <w:rPr>
          <w:rFonts w:ascii="Arial" w:cs="Arial" w:eastAsia="Arial" w:hAnsi="Arial"/>
          <w:sz w:val="18"/>
          <w:szCs w:val="18"/>
          <w:color w:val="auto"/>
        </w:rPr>
      </w:pPr>
    </w:p>
    <w:p>
      <w:pPr>
        <w:ind w:left="900" w:right="7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PSU awards should further align our executives’ compensation with the stock price returns experienced by our stockholders, while also incentivizing our executives to achieve strategic and financial goals that support our long-term performance; and</w:t>
      </w:r>
    </w:p>
    <w:p>
      <w:pPr>
        <w:spacing w:after="0" w:line="173"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equity-based awards and stock ownership guidelines that align their interests with those of our other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Compensation Committee reviews and recommends executive officer compensation. The specific duties and responsibilities of the Compensation Committee are described in the section of this proxy statement entitled “Corporate Governance—Board Committees—Compensation Committee”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Compensation Committee has engaged the independent executive compensation consulting firm of Pay Governance LLC with respect to executive compensation matters. For more information on this engagement, see the section of this proxy statement entitled “Corporate Governance—Board Committees —Compensation Committee”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Compensation Committee reviews the elements of total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Compensation Committee seeks to achieve an appropriate balance between annual cash rewards that encourage achievement of annual financial and non-financial objectives, and LTI awards that encourage positive long-term stock price performance, with a greater emphasis on LTI awards for more senior executives. However, the Compensation Committee does not aim to achieve a specific target of cash versus equity-based compensation.</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20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charts below show the average percentage of 2013 base salary, target cash incentive and 2013 LTI compensation established by the Compensation Committee in January 2013 for the NEOs who served throughout 2013, in comparison to the Company’s two external peer groups, based on findings from Pay Governance, and demonstrate that Schlumberger’s pay mix is close to that of both peer groups. This data is based on target opportunity levels and will differ from the total compensation figures shown in the Summary Compensation Table.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497205</wp:posOffset>
            </wp:positionV>
            <wp:extent cx="5042535" cy="977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4253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an LTI grant to an executive officer who is approaching retirement. This provides more flexibility to the Committee to compensate executive officers appropriately as they near retirement, when they may only be able to partially fulfill the five-year vesting required for stock options or retire prior to the end of a three-year performance period for PSUs.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part of the Compensation Committee’s annual review of our executive compensation program, the Committee directed Pay Governance to prepare a comparative pay-for-performance assessment in July 2013 against companies in our oil industry peer group as identified in the “—Peer Group Companies and Benchmarking” section below. The comparative assessment examined the degree of alignment between our NEOs’ compensation and our performance relative to these companies as measured by total shareholder return (TSR) on both a one-year (2012) and a three-year (2010-2012) basis, in both cases ending on December 31, 2012. TSR reflects share price appreciation, adjusted for dividends and stock splits.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its analysis, the Compensation Committee reviewed the 2010-2012 total realizable compensation of Schlumberger’s CEO against other CEOs in the oil industry peer group. It then separately reviewed Schlumberger’s other executive officers against other executive officers in the oil industry peer group. Because Mr. Kibsgaard became CEO in 2011, his compensation was included in the assessment for 2011 and 2012, while that of Mr. Gould, our prior CEO, was included for 2010.</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the July 2013 assessment, “total realizable compensation” consisted of the following components for the one- and three-year periods, as applicable:</w:t>
      </w:r>
    </w:p>
    <w:p>
      <w:pPr>
        <w:spacing w:after="0" w:line="19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base salary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cash incentive payouts;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December 31, 2012 market value of the following:</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in-the-money value of stock options granted in 2012 or from 2010-2012, as the case may be;</w:t>
      </w:r>
    </w:p>
    <w:p>
      <w:pPr>
        <w:spacing w:after="0" w:line="252" w:lineRule="exact"/>
        <w:rPr>
          <w:rFonts w:ascii="Arial" w:cs="Arial" w:eastAsia="Arial" w:hAnsi="Arial"/>
          <w:sz w:val="18"/>
          <w:szCs w:val="18"/>
          <w:color w:val="auto"/>
        </w:rPr>
      </w:pPr>
    </w:p>
    <w:p>
      <w:pPr>
        <w:ind w:left="1460" w:right="240" w:hanging="547"/>
        <w:spacing w:after="0" w:line="291" w:lineRule="auto"/>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performance-based incentive awards: (i) for the one-year (2012) analysis, their estimated award payout values, based on company disclosures; and (ii) for the three-year (2010-2012) analysis, (1) their actual award payout value for grant cycles beginning in 2010 and</w:t>
      </w:r>
    </w:p>
    <w:p>
      <w:pPr>
        <w:ind w:left="1460" w:right="140"/>
        <w:spacing w:after="0" w:line="261" w:lineRule="auto"/>
        <w:rPr>
          <w:rFonts w:ascii="Arial" w:cs="Arial" w:eastAsia="Arial" w:hAnsi="Arial"/>
          <w:sz w:val="16"/>
          <w:szCs w:val="16"/>
          <w:color w:val="auto"/>
        </w:rPr>
      </w:pPr>
      <w:r>
        <w:rPr>
          <w:rFonts w:ascii="Arial" w:cs="Arial" w:eastAsia="Arial" w:hAnsi="Arial"/>
          <w:sz w:val="18"/>
          <w:szCs w:val="18"/>
          <w:color w:val="auto"/>
        </w:rPr>
        <w:t>(2) their estimated award payout values for cycles beginning in 2011 and 2012, based on company disclosures (and in all cases based on actual stock prices as of the end of the period, not as of the date of grant).</w:t>
      </w:r>
    </w:p>
    <w:p>
      <w:pPr>
        <w:spacing w:after="0" w:line="184"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Pay Governance’s analysis demonstrated that, while Schlumberger’s TSR was at or slightly above the median for both the one- and three-year periods, total realizable compensation for our CEO and other NEOs was at or near the bottom of oil industry peer group companies. Specifically: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one-year TSR for 2012 was at the 52nd percentile of our oil industry peer group, while total realizable compensation for our CEO was only at the 14th percentile, and was the lowest among peer companies for our other NEOs; and</w:t>
      </w:r>
    </w:p>
    <w:p>
      <w:pPr>
        <w:spacing w:after="0" w:line="197"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cumulative 3-year TSR (2010-2012) was at the 50th percentile of our oil industry peer group, while total realizable compensation for our CEO was only at the 5th percentile, and for our other NEOs, at the 6</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lower pay-positioning of our NEOs versus oil industry peer group companies was largely the result of Schlumberger’s historical use of stock options as its sole long-term incentive vehicle for senior executives, and because for two of three years in the three-year analysis, our executives’ stock options had no intrinsic value. In light of the foregoing, the Compensation Committee concluded that Schlumberger’s executive compensation practices were not appropriately aligned with the Company’s performance, insofar as Company performance easily exceeded our NEOs’ total realizable compensation for the periods indicated. As discussed below in “Elements of Compensation—Long-Term Equity Compensation—Introduction of Performance Share Units,” the Company implemented a new PSU plan for 2013 and beyond. As a result, a more appropriate alignment is expected in the future between executive pay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January 2013, the Compensation Committee carried out an analysis of pay mix and internal pay equity. In carrying out its analysis, the Committee considered the relative size of direct compensation elements of companies in Schlumberger’s two executive compensation peer groups, as well as internal factors. Regarding pay mix, the Committee 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Compensation Committee also reviewed internal pay equity in October 2013.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the two prior years. The Committee also noted that the levels of total direct compensation for the second- to the sixth-highest paid officers were very closely clustered together. As a result of the foregoing, the Committee concluded that internal pay equity was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Compensation Committee considers the formal executive compensation survey data prepared by Pay Governance when it reviews and determines executive compensation. The Committee also uses information on the executive compensation practices at peer group companies when considering design changes to the Company’s executive compensation program.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surveys indicate the compensation levels and practices of our two groups of executive compensation peer companies:</w:t>
      </w:r>
    </w:p>
    <w:p>
      <w:pPr>
        <w:spacing w:after="0" w:line="252" w:lineRule="exact"/>
        <w:rPr>
          <w:sz w:val="20"/>
          <w:szCs w:val="20"/>
          <w:color w:val="auto"/>
        </w:rPr>
      </w:pPr>
    </w:p>
    <w:p>
      <w:pPr>
        <w:jc w:val="center"/>
        <w:ind w:left="5620" w:right="560" w:hanging="5166"/>
        <w:spacing w:after="0" w:line="449"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oil industry peer group, which includes companies in the oil services, exploration and production, refining and pipeline industries, and 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industry peer group, which includes large companies with significant international operations.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smaller comparator peer group is used for the 2013 relative performance index component of the annual cash incentive, and is described below in “Annual Cash Incentive Decisions for 2013— Introduction of Relative Performance Incentive (RPI).”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selection criteria for companies comprising the two peer groups include:</w:t>
      </w:r>
    </w:p>
    <w:p>
      <w:pPr>
        <w:spacing w:after="0" w:line="25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with the assistance of Pay Governance, twice annually reviews specific criteria and recommendations regarding companies to add to or remove from the two comparator groups. The Compensation Committee modifies the peer group criteria as appropriate while seeking to ensure a satisfactory degree of stability, to provide a consistent basis for comparison. Challenges facing the Company in determining the companies appropriate for inclusion in each peer group for 2013 executive compensation decisions included the Company’s relatively high market capitalization and revenue (rendering it difficult to position the Company in the median of each peer group with respect to both attributes), and the difficulties of obtaining sufficient compensation data for all benchmarked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Industry Peer Group</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industry peer group comprises companies in the oilfield services, exploration and production, refining and pipeline industries with revenues greater than $6 billion (in the case of oil and gas equipment and service companies) and revenue greater than $12 billion (in the case of oil and gas exploration and production (“E&amp;P”) companies). Because of Schlumberger’s significant international operations, the Compensation Committee approved the inclusion of non-U.S. energy and energy-related companies that also met the criteria set forth above.</w:t>
      </w:r>
    </w:p>
    <w:p>
      <w:pPr>
        <w:spacing w:after="0" w:line="18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The Compensation Committee included E&amp;P companies in this peer group after consideration of a number of factors. First, because Schlumberger is significantly larger than all of its direct competitors in the oilfield services industry in terms of revenue and market capitalization, the Compensation Committee believed that the addition of E&amp;P companies provides a more appropriate and complete comparator group. In addition, the Committee believed that the inclusion of E&amp;P companies was appropriate because market consolidation had reduced the number of direct competitors in the oilfield services industry, increasing the prominence of E&amp;P companies as competitors for talent.</w:t>
      </w:r>
    </w:p>
    <w:p>
      <w:pPr>
        <w:spacing w:after="0" w:line="17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In July 2012, the Compensation Committee, applying the selection criteria set forth above in “Peer Group Companies and Benchmarking,” and in the two paragraphs immediately above, approved the following changes in the oil industry peer group, effective for 2013 compensation decisions:</w:t>
      </w:r>
    </w:p>
    <w:p>
      <w:pPr>
        <w:spacing w:after="0" w:line="174" w:lineRule="exact"/>
        <w:rPr>
          <w:sz w:val="20"/>
          <w:szCs w:val="20"/>
          <w:color w:val="auto"/>
        </w:rPr>
      </w:pPr>
    </w:p>
    <w:p>
      <w:pPr>
        <w:ind w:left="900" w:right="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October 2012, Sunoco Inc. was acquired by Energy Transfer Partners, L.P., and was removed from our oil industry peer group as a result. Additionally, CITGO was also removed due to the lack of meaningful compensation data. In light of the loss of two peer companies and applying the criteria set forth above, the Compensation Committee approved the addition of Phillips 66, Enterprise Products Partners, Suncor Energy and Apache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w:t>
      </w:r>
    </w:p>
    <w:p>
      <w:pPr>
        <w:spacing w:after="0" w:line="252" w:lineRule="exact"/>
        <w:rPr>
          <w:sz w:val="20"/>
          <w:szCs w:val="20"/>
          <w:color w:val="auto"/>
        </w:rPr>
      </w:pPr>
    </w:p>
    <w:p>
      <w:pPr>
        <w:ind w:left="900" w:right="1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Schlumberger was in the 53rd percentile of the oil industry peer group in terms of revenue, and in the 76th percentile of that peer group in terms of market capitalization,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companies in the oil industry peer group increased from 23 to 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companies comprised the oil industry peer group effective for 2013 compensation decisions: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 Industry Peer Group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Oil services, E&amp;P, refining and pipeline companies</w:t>
      </w:r>
    </w:p>
    <w:p>
      <w:pPr>
        <w:spacing w:after="0" w:line="34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Anadarko Petroleum</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Baker Hughes</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ind w:left="100"/>
              <w:spacing w:after="0"/>
              <w:rPr>
                <w:sz w:val="20"/>
                <w:szCs w:val="20"/>
                <w:color w:val="auto"/>
              </w:rPr>
            </w:pPr>
            <w:r>
              <w:rPr>
                <w:rFonts w:ascii="Arial" w:cs="Arial" w:eastAsia="Arial" w:hAnsi="Arial"/>
                <w:sz w:val="18"/>
                <w:szCs w:val="18"/>
                <w:color w:val="auto"/>
              </w:rPr>
              <w:t>BG Group</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BHP Billiton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BP plc</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Cameron International</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Chevron</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ind w:left="100"/>
              <w:spacing w:after="0"/>
              <w:rPr>
                <w:sz w:val="20"/>
                <w:szCs w:val="20"/>
                <w:color w:val="auto"/>
              </w:rPr>
            </w:pPr>
            <w:r>
              <w:rPr>
                <w:rFonts w:ascii="Arial" w:cs="Arial" w:eastAsia="Arial" w:hAnsi="Arial"/>
                <w:sz w:val="18"/>
                <w:szCs w:val="18"/>
                <w:color w:val="auto"/>
              </w:rPr>
              <w:t>Enterprise Products</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Eni SpA</w:t>
            </w:r>
          </w:p>
        </w:tc>
      </w:tr>
      <w:tr>
        <w:trPr>
          <w:trHeight w:val="230"/>
        </w:trPr>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Partners</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Exxon Mobil</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Halliburton</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ind w:left="100"/>
              <w:spacing w:after="0"/>
              <w:rPr>
                <w:sz w:val="20"/>
                <w:szCs w:val="20"/>
                <w:color w:val="auto"/>
              </w:rPr>
            </w:pPr>
            <w:r>
              <w:rPr>
                <w:rFonts w:ascii="Arial" w:cs="Arial" w:eastAsia="Arial" w:hAnsi="Arial"/>
                <w:sz w:val="18"/>
                <w:szCs w:val="18"/>
                <w:color w:val="auto"/>
              </w:rPr>
              <w:t>Hess</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Marathon Oil</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w w:val="96"/>
              </w:rPr>
              <w:t>Murphy Oil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National Oilwell Varco</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Occidental Petroleum</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ind w:left="100"/>
              <w:spacing w:after="0"/>
              <w:rPr>
                <w:sz w:val="20"/>
                <w:szCs w:val="20"/>
                <w:color w:val="auto"/>
              </w:rPr>
            </w:pPr>
            <w:r>
              <w:rPr>
                <w:rFonts w:ascii="Arial" w:cs="Arial" w:eastAsia="Arial" w:hAnsi="Arial"/>
                <w:sz w:val="18"/>
                <w:szCs w:val="18"/>
                <w:color w:val="auto"/>
              </w:rPr>
              <w:t>Royal Dutch Shell</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Suncor Energy</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TOTAL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Transocean</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900" w:type="dxa"/>
            <w:vAlign w:val="bottom"/>
          </w:tcPr>
          <w:p>
            <w:pPr>
              <w:ind w:left="100"/>
              <w:spacing w:after="0"/>
              <w:rPr>
                <w:sz w:val="20"/>
                <w:szCs w:val="20"/>
                <w:color w:val="auto"/>
              </w:rPr>
            </w:pPr>
            <w:r>
              <w:rPr>
                <w:rFonts w:ascii="Arial" w:cs="Arial" w:eastAsia="Arial" w:hAnsi="Arial"/>
                <w:sz w:val="18"/>
                <w:szCs w:val="18"/>
                <w:color w:val="auto"/>
              </w:rPr>
              <w:t>Valero</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Weatherford</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660" w:type="dxa"/>
            <w:vAlign w:val="bottom"/>
          </w:tcPr>
          <w:p>
            <w:pPr>
              <w:ind w:left="80"/>
              <w:spacing w:after="0"/>
              <w:rPr>
                <w:sz w:val="20"/>
                <w:szCs w:val="20"/>
                <w:color w:val="auto"/>
              </w:rPr>
            </w:pPr>
            <w:r>
              <w:rPr>
                <w:rFonts w:ascii="Arial" w:cs="Arial" w:eastAsia="Arial" w:hAnsi="Arial"/>
                <w:sz w:val="18"/>
                <w:szCs w:val="18"/>
                <w:color w:val="auto"/>
              </w:rPr>
              <w:t>Apache Corp.</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Phillips 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Industry Peer Group</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208" w:lineRule="exact"/>
        <w:rPr>
          <w:sz w:val="20"/>
          <w:szCs w:val="20"/>
          <w:color w:val="auto"/>
        </w:rPr>
      </w:pPr>
    </w:p>
    <w:p>
      <w:pPr>
        <w:ind w:left="900" w:right="2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multi-national companies with a technical focus and revenues between $25 billion to $80 billion, with non-U.S. revenue of at least 20 percent of consolidated revenue, and</w:t>
      </w:r>
    </w:p>
    <w:p>
      <w:pPr>
        <w:spacing w:after="0" w:line="197"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companies that do not have a significant international scope, as well as those in industries that are least comparable to Schlumberger’s industry, such as retail.</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Like the first comparator group, this second group also includes non-US companies. The Compensation Committee also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When considering potential changes to the general industry peer group, the Compensation Committee considered that the Company was then-currently in the 37th percentile of the general industry peer group in terms of revenue, and at the 87th percentile in terms of market capitalization. In July 2012, the Compensation Committee, applying the selection criteria set forth above in “Peer Group Companies and Benchmarking,” and in the paragraph immediately above, approved the following changes in the general industry peer group, effective for 2013 compensation decisions:</w:t>
      </w:r>
    </w:p>
    <w:p>
      <w:pPr>
        <w:spacing w:after="0" w:line="198" w:lineRule="exact"/>
        <w:rPr>
          <w:sz w:val="20"/>
          <w:szCs w:val="20"/>
          <w:color w:val="auto"/>
        </w:rPr>
      </w:pPr>
    </w:p>
    <w:p>
      <w:pPr>
        <w:ind w:left="900" w:right="4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five companies — Allstate, Express Scripts, General Dynamics, Humana and Sprint Nextel — were removed from the general industry peer group, and 11 companies were added, as denoted in the table below.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w:t>
      </w:r>
    </w:p>
    <w:p>
      <w:pPr>
        <w:spacing w:after="0" w:line="252" w:lineRule="exact"/>
        <w:rPr>
          <w:sz w:val="20"/>
          <w:szCs w:val="20"/>
          <w:color w:val="auto"/>
        </w:rPr>
      </w:pPr>
    </w:p>
    <w:p>
      <w:pPr>
        <w:ind w:left="900" w:right="2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positioned itself closer to median — the 43rd percentile — of the general industry peer group in terms of revenue, and the 65th percentile of that peer group in terms of market capitalization,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companies in the general industry peer group increased from 44 to 50.</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connection with the changes described above, the Compensation Committee selected the following companies for the general industry peer group, effective for 2013 compensation decisions: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Industry Peer Group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Revenue of $25B to $80B with technical and global focus</w:t>
      </w:r>
    </w:p>
    <w:p>
      <w:pPr>
        <w:spacing w:after="0" w:line="34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3M*</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Abbott Laboratories</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AEGON N.V.</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80"/>
              <w:spacing w:after="0"/>
              <w:rPr>
                <w:sz w:val="20"/>
                <w:szCs w:val="20"/>
                <w:color w:val="auto"/>
              </w:rPr>
            </w:pPr>
            <w:r>
              <w:rPr>
                <w:rFonts w:ascii="Arial" w:cs="Arial" w:eastAsia="Arial" w:hAnsi="Arial"/>
                <w:sz w:val="18"/>
                <w:szCs w:val="18"/>
                <w:color w:val="auto"/>
              </w:rPr>
              <w:t>Alstom SA</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Amazon.com</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American Express</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Archer Daniels</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AstraZeneca PLC</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BAE Systems*</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Bayer AG</w:t>
            </w:r>
          </w:p>
        </w:tc>
      </w:tr>
      <w:tr>
        <w:trPr>
          <w:trHeight w:val="230"/>
        </w:trPr>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Midland</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Best Buy</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Boeing</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Bunge Limited</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Caterpillar Inc.</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Cisco Systems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Coca Cola</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Danone*</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Deere &amp; Co*</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Dell Inc.</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Delta Airlines</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Dow Chemical</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E.I. Dupont de</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FedEx</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GlaxoSmithKlein</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Google*</w:t>
            </w:r>
          </w:p>
        </w:tc>
      </w:tr>
      <w:tr>
        <w:trPr>
          <w:trHeight w:val="230"/>
        </w:trPr>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Nemours</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Honeywell</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Intel</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International Paper*</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Johnson Controls</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88"/>
              </w:rPr>
              <w:t>Johnson &amp; Johnson</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Kraft Foods</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LyondellBasell*</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Merck &amp; Co.</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Microsoft</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Munich Re</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Nokia</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Novartis AG</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Oracle*</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PepsiCo, Inc.</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Pfizer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Procter &amp; Gamble</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Raytheon</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Rio Tinto plc</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Sanofi</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92"/>
              </w:rPr>
              <w:t>Schneider Electric*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Unilever*</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rPr>
              <w:t>United Technologies</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UPS</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ind w:left="80"/>
              <w:spacing w:after="0"/>
              <w:rPr>
                <w:sz w:val="20"/>
                <w:szCs w:val="20"/>
                <w:color w:val="auto"/>
              </w:rPr>
            </w:pPr>
            <w:r>
              <w:rPr>
                <w:rFonts w:ascii="Arial" w:cs="Arial" w:eastAsia="Arial" w:hAnsi="Arial"/>
                <w:sz w:val="18"/>
                <w:szCs w:val="18"/>
                <w:color w:val="auto"/>
              </w:rPr>
              <w:t>Walt Disney</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Xstrata*</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Added to the group for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comparator groups and takes into account other factors described below. Generally, the Compensation Committee targets base salaries for executive officers to at or near the 75th percentile of both peer groups.</w:t>
      </w:r>
    </w:p>
    <w:p>
      <w:pPr>
        <w:spacing w:after="0" w:line="18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174"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comparable salaries for executives with similar responsibilities in the two peer groups;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Decisions in 2013</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Compensation Committee carried out a review of the compensation of each of the executive officers in January 2013. Upon review of comparative market data for both peer groups, and taking into consideration that base salary decisions for 2012 generally positioned our NEOs at or slightly above the 75th percentile of both peer groups, the Committee determined not to increase the base salary of any NEO for 2013, other than that of Satish Pai, whose base salary was increased EUR 100,000 effective February 1, 2013 based on increased job responsibilities and comparative market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22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w:t>
      </w:r>
    </w:p>
    <w:p>
      <w:pPr>
        <w:ind w:right="180"/>
        <w:spacing w:after="0" w:line="261" w:lineRule="auto"/>
        <w:rPr>
          <w:sz w:val="20"/>
          <w:szCs w:val="20"/>
          <w:color w:val="auto"/>
        </w:rPr>
      </w:pPr>
      <w:r>
        <w:rPr>
          <w:rFonts w:ascii="Arial" w:cs="Arial" w:eastAsia="Arial" w:hAnsi="Arial"/>
          <w:sz w:val="18"/>
          <w:szCs w:val="18"/>
          <w:color w:val="auto"/>
        </w:rPr>
        <w:t>Incentive cash payments are made each February according to the achievement of both personal and Company financial objectives established in January of the previous fiscal year.</w:t>
      </w:r>
    </w:p>
    <w:p>
      <w:pPr>
        <w:spacing w:after="0" w:line="184"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target annual cash incentive ranges from 0% to 150% of base salary for the CEO, and from 0% to 100% of base salary for the other NEOs, depending on the position. One half of Schlumberger’s potential cash incentive range is based on the achievement of personal objectives established at the beginning of the year, while the other half of the potential range is based on the achievement of one or more pre-established Company financial goals, as described in the section below entitled “—Annual Cash Incentive Decisions for 2013.” In some years, including 2013, the financial half of the incentive cash payment for NEOs has an incremental financial element, which means that the maximum incentive opportunity can be up to 300% of target with respect to the financial part, based on achievement of superior financial results. This enhanced incentive applies to the CEO and our other executive officers. The personal half of the incentive cash payment has no positive incremental element, meaning the maximum payout with respect to this half of the target annual cash incentive is 100% of target. Under this approach, the maximum incentive opportunity based on both financial and personal objectives combined cannot exceed 200% of target.</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Compensation Committee reviews and recommends to the full Board the financial objectives for both the CEO and the other executive officers. The Committee believes that, as regards financial targets, it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important to set targets that, while very difficult to achieve in an uncertain global economy, are realistic. When considering the Company’s operating results for purposes of the financial portion of the annual cash incentive, the Compensation Committee has the discretion to decide whether to take into account unusual or infrequent charges or gains, depending on the nature of the item. The Compensation Committee exercises its discretion when it believes that executives and other employees would be inappropriately penalized by, or would inappropriately benefit from, these items.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 NEOs, and assesses each such officer’s performance against their pre-determined objectives, subject to final approval of the Committee.</w:t>
      </w:r>
    </w:p>
    <w:p>
      <w:pPr>
        <w:spacing w:after="0" w:line="166" w:lineRule="exact"/>
        <w:rPr>
          <w:sz w:val="20"/>
          <w:szCs w:val="20"/>
          <w:color w:val="auto"/>
        </w:rPr>
      </w:pPr>
    </w:p>
    <w:p>
      <w:pPr>
        <w:jc w:val="center"/>
        <w:ind w:right="8260"/>
        <w:spacing w:after="0"/>
        <w:rPr>
          <w:sz w:val="20"/>
          <w:szCs w:val="20"/>
          <w:color w:val="auto"/>
        </w:rPr>
      </w:pPr>
      <w:r>
        <w:rPr>
          <w:rFonts w:ascii="Arial" w:cs="Arial" w:eastAsia="Arial" w:hAnsi="Arial"/>
          <w:sz w:val="15"/>
          <w:szCs w:val="15"/>
          <w:b w:val="1"/>
          <w:bCs w:val="1"/>
          <w:i w:val="1"/>
          <w:iCs w:val="1"/>
          <w:color w:val="auto"/>
        </w:rPr>
        <w:t>Annual Cash Incentive Decisions for 2013</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 Ranges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the annual cash incentive ranges for any of the NEOs in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Objectives</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January 2013, as in previous years, the Compensation Committee determined that the financial half of the annual cash incentive opportunity for all executive officers in 2013 should be based on diluted earnings per share from continuing operations (“EPS”). In July 2013, the Compensation Committee approved the inclusion of a relative performance component to the financial half of the annual cash incentive effective for 2013, as more fully discussed below under “—Introduction of Relative Performance Incentive (RPI).” As a result, the financial half of the NEOs’ 2013 annual cash incentive was based equally on (i) achievement of EPS targets and (ii) achievement of relative performance targets.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EPS Targets.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process used to set annual EPS targets starts with a review of plans and projections following bottom-up planning from the field, which considers factors such as:</w:t>
      </w:r>
    </w:p>
    <w:p>
      <w:pPr>
        <w:spacing w:after="0" w:line="19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pricing;</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Compensation Committee approved the following EPS performance targets and corresponding payouts at its January 2013 meeting, for purposes of the 2013 annual cash incentive: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jc w:val="center"/>
              <w:ind w:right="393"/>
              <w:spacing w:after="0"/>
              <w:rPr>
                <w:sz w:val="20"/>
                <w:szCs w:val="20"/>
                <w:color w:val="auto"/>
              </w:rPr>
            </w:pPr>
            <w:r>
              <w:rPr>
                <w:rFonts w:ascii="Arial" w:cs="Arial" w:eastAsia="Arial" w:hAnsi="Arial"/>
                <w:sz w:val="14"/>
                <w:szCs w:val="14"/>
                <w:b w:val="1"/>
                <w:bCs w:val="1"/>
                <w:color w:val="auto"/>
                <w:w w:val="92"/>
              </w:rPr>
              <w:t>2013 EPS Performance Targets</w:t>
            </w:r>
          </w:p>
        </w:tc>
        <w:tc>
          <w:tcPr>
            <w:tcW w:w="3760" w:type="dxa"/>
            <w:vAlign w:val="bottom"/>
          </w:tcPr>
          <w:p>
            <w:pPr>
              <w:jc w:val="center"/>
              <w:ind w:left="114"/>
              <w:spacing w:after="0"/>
              <w:rPr>
                <w:sz w:val="20"/>
                <w:szCs w:val="20"/>
                <w:color w:val="auto"/>
              </w:rPr>
            </w:pPr>
            <w:r>
              <w:rPr>
                <w:rFonts w:ascii="Arial" w:cs="Arial" w:eastAsia="Arial" w:hAnsi="Arial"/>
                <w:sz w:val="14"/>
                <w:szCs w:val="14"/>
                <w:b w:val="1"/>
                <w:bCs w:val="1"/>
                <w:color w:val="auto"/>
                <w:w w:val="95"/>
              </w:rPr>
              <w:t>% of EPS Portion of Financial Half</w:t>
            </w:r>
          </w:p>
        </w:tc>
        <w:tc>
          <w:tcPr>
            <w:tcW w:w="3500" w:type="dxa"/>
            <w:vAlign w:val="bottom"/>
          </w:tcPr>
          <w:p>
            <w:pPr>
              <w:ind w:left="700"/>
              <w:spacing w:after="0"/>
              <w:rPr>
                <w:sz w:val="20"/>
                <w:szCs w:val="20"/>
                <w:color w:val="auto"/>
              </w:rPr>
            </w:pPr>
            <w:r>
              <w:rPr>
                <w:rFonts w:ascii="Arial" w:cs="Arial" w:eastAsia="Arial" w:hAnsi="Arial"/>
                <w:sz w:val="14"/>
                <w:szCs w:val="14"/>
                <w:b w:val="1"/>
                <w:bCs w:val="1"/>
                <w:color w:val="auto"/>
              </w:rPr>
              <w:t>% Increase — Target over 2012 EPS</w:t>
            </w:r>
          </w:p>
        </w:tc>
      </w:tr>
      <w:tr>
        <w:trPr>
          <w:trHeight w:val="170"/>
        </w:trPr>
        <w:tc>
          <w:tcPr>
            <w:tcW w:w="3240" w:type="dxa"/>
            <w:vAlign w:val="bottom"/>
          </w:tcPr>
          <w:p>
            <w:pPr>
              <w:spacing w:after="0"/>
              <w:rPr>
                <w:sz w:val="14"/>
                <w:szCs w:val="14"/>
                <w:color w:val="auto"/>
              </w:rPr>
            </w:pPr>
          </w:p>
        </w:tc>
        <w:tc>
          <w:tcPr>
            <w:tcW w:w="3760" w:type="dxa"/>
            <w:vAlign w:val="bottom"/>
          </w:tcPr>
          <w:p>
            <w:pPr>
              <w:jc w:val="center"/>
              <w:ind w:left="114"/>
              <w:spacing w:after="0"/>
              <w:rPr>
                <w:sz w:val="20"/>
                <w:szCs w:val="20"/>
                <w:color w:val="auto"/>
              </w:rPr>
            </w:pPr>
            <w:r>
              <w:rPr>
                <w:rFonts w:ascii="Arial" w:cs="Arial" w:eastAsia="Arial" w:hAnsi="Arial"/>
                <w:sz w:val="14"/>
                <w:szCs w:val="14"/>
                <w:b w:val="1"/>
                <w:bCs w:val="1"/>
                <w:color w:val="auto"/>
                <w:w w:val="99"/>
              </w:rPr>
              <w:t>(Payout %)</w:t>
            </w:r>
          </w:p>
        </w:tc>
        <w:tc>
          <w:tcPr>
            <w:tcW w:w="3500" w:type="dxa"/>
            <w:vAlign w:val="bottom"/>
          </w:tcPr>
          <w:p>
            <w:pPr>
              <w:spacing w:after="0"/>
              <w:rPr>
                <w:sz w:val="14"/>
                <w:szCs w:val="14"/>
                <w:color w:val="auto"/>
              </w:rPr>
            </w:pPr>
          </w:p>
        </w:tc>
      </w:tr>
      <w:tr>
        <w:trPr>
          <w:trHeight w:val="230"/>
        </w:trPr>
        <w:tc>
          <w:tcPr>
            <w:tcW w:w="3240" w:type="dxa"/>
            <w:vAlign w:val="bottom"/>
          </w:tcPr>
          <w:p>
            <w:pPr>
              <w:jc w:val="center"/>
              <w:ind w:right="393"/>
              <w:spacing w:after="0"/>
              <w:rPr>
                <w:sz w:val="20"/>
                <w:szCs w:val="20"/>
                <w:color w:val="auto"/>
              </w:rPr>
            </w:pPr>
            <w:r>
              <w:rPr>
                <w:rFonts w:ascii="Arial" w:cs="Arial" w:eastAsia="Arial" w:hAnsi="Arial"/>
                <w:sz w:val="18"/>
                <w:szCs w:val="18"/>
                <w:color w:val="auto"/>
                <w:w w:val="89"/>
              </w:rPr>
              <w:t>Less than or equal to $4.19</w:t>
            </w:r>
          </w:p>
        </w:tc>
        <w:tc>
          <w:tcPr>
            <w:tcW w:w="3760" w:type="dxa"/>
            <w:vAlign w:val="bottom"/>
          </w:tcPr>
          <w:p>
            <w:pPr>
              <w:jc w:val="center"/>
              <w:ind w:left="114"/>
              <w:spacing w:after="0"/>
              <w:rPr>
                <w:sz w:val="20"/>
                <w:szCs w:val="20"/>
                <w:color w:val="auto"/>
              </w:rPr>
            </w:pPr>
            <w:r>
              <w:rPr>
                <w:rFonts w:ascii="Arial" w:cs="Arial" w:eastAsia="Arial" w:hAnsi="Arial"/>
                <w:sz w:val="18"/>
                <w:szCs w:val="18"/>
                <w:color w:val="auto"/>
                <w:w w:val="92"/>
              </w:rPr>
              <w:t>0%</w:t>
            </w:r>
          </w:p>
        </w:tc>
        <w:tc>
          <w:tcPr>
            <w:tcW w:w="3500" w:type="dxa"/>
            <w:vAlign w:val="bottom"/>
          </w:tcPr>
          <w:p>
            <w:pPr>
              <w:spacing w:after="0"/>
              <w:rPr>
                <w:sz w:val="20"/>
                <w:szCs w:val="20"/>
                <w:color w:val="auto"/>
              </w:rPr>
            </w:pPr>
          </w:p>
        </w:tc>
      </w:tr>
      <w:tr>
        <w:trPr>
          <w:trHeight w:val="216"/>
        </w:trPr>
        <w:tc>
          <w:tcPr>
            <w:tcW w:w="3240" w:type="dxa"/>
            <w:vAlign w:val="bottom"/>
            <w:shd w:val="clear" w:color="auto" w:fill="D8D8D8"/>
          </w:tcPr>
          <w:p>
            <w:pPr>
              <w:jc w:val="center"/>
              <w:ind w:right="393"/>
              <w:spacing w:after="0"/>
              <w:rPr>
                <w:sz w:val="20"/>
                <w:szCs w:val="20"/>
                <w:color w:val="auto"/>
              </w:rPr>
            </w:pPr>
            <w:r>
              <w:rPr>
                <w:rFonts w:ascii="Arial" w:cs="Arial" w:eastAsia="Arial" w:hAnsi="Arial"/>
                <w:sz w:val="18"/>
                <w:szCs w:val="18"/>
                <w:color w:val="auto"/>
                <w:w w:val="88"/>
              </w:rPr>
              <w:t>$4.20</w:t>
            </w:r>
          </w:p>
        </w:tc>
        <w:tc>
          <w:tcPr>
            <w:tcW w:w="3760" w:type="dxa"/>
            <w:vAlign w:val="bottom"/>
            <w:shd w:val="clear" w:color="auto" w:fill="D8D8D8"/>
          </w:tcPr>
          <w:p>
            <w:pPr>
              <w:jc w:val="center"/>
              <w:ind w:left="114"/>
              <w:spacing w:after="0"/>
              <w:rPr>
                <w:sz w:val="20"/>
                <w:szCs w:val="20"/>
                <w:color w:val="auto"/>
              </w:rPr>
            </w:pPr>
            <w:r>
              <w:rPr>
                <w:rFonts w:ascii="Arial" w:cs="Arial" w:eastAsia="Arial" w:hAnsi="Arial"/>
                <w:sz w:val="18"/>
                <w:szCs w:val="18"/>
                <w:color w:val="auto"/>
                <w:w w:val="88"/>
              </w:rPr>
              <w:t>50%</w:t>
            </w:r>
          </w:p>
        </w:tc>
        <w:tc>
          <w:tcPr>
            <w:tcW w:w="3500" w:type="dxa"/>
            <w:vAlign w:val="bottom"/>
            <w:shd w:val="clear" w:color="auto" w:fill="D8D8D8"/>
          </w:tcPr>
          <w:p>
            <w:pPr>
              <w:jc w:val="center"/>
              <w:ind w:left="54"/>
              <w:spacing w:after="0"/>
              <w:rPr>
                <w:sz w:val="20"/>
                <w:szCs w:val="20"/>
                <w:color w:val="auto"/>
              </w:rPr>
            </w:pPr>
            <w:r>
              <w:rPr>
                <w:rFonts w:ascii="Arial" w:cs="Arial" w:eastAsia="Arial" w:hAnsi="Arial"/>
                <w:sz w:val="18"/>
                <w:szCs w:val="18"/>
                <w:color w:val="auto"/>
                <w:w w:val="92"/>
              </w:rPr>
              <w:t>3%</w:t>
            </w:r>
          </w:p>
        </w:tc>
      </w:tr>
      <w:tr>
        <w:trPr>
          <w:trHeight w:val="216"/>
        </w:trPr>
        <w:tc>
          <w:tcPr>
            <w:tcW w:w="3240" w:type="dxa"/>
            <w:vAlign w:val="bottom"/>
          </w:tcPr>
          <w:p>
            <w:pPr>
              <w:jc w:val="center"/>
              <w:ind w:right="393"/>
              <w:spacing w:after="0"/>
              <w:rPr>
                <w:sz w:val="20"/>
                <w:szCs w:val="20"/>
                <w:color w:val="auto"/>
              </w:rPr>
            </w:pPr>
            <w:r>
              <w:rPr>
                <w:rFonts w:ascii="Arial" w:cs="Arial" w:eastAsia="Arial" w:hAnsi="Arial"/>
                <w:sz w:val="18"/>
                <w:szCs w:val="18"/>
                <w:color w:val="auto"/>
                <w:w w:val="88"/>
              </w:rPr>
              <w:t>$4.60</w:t>
            </w:r>
          </w:p>
        </w:tc>
        <w:tc>
          <w:tcPr>
            <w:tcW w:w="3760" w:type="dxa"/>
            <w:vAlign w:val="bottom"/>
          </w:tcPr>
          <w:p>
            <w:pPr>
              <w:jc w:val="center"/>
              <w:ind w:left="134"/>
              <w:spacing w:after="0"/>
              <w:rPr>
                <w:sz w:val="20"/>
                <w:szCs w:val="20"/>
                <w:color w:val="auto"/>
              </w:rPr>
            </w:pPr>
            <w:r>
              <w:rPr>
                <w:rFonts w:ascii="Arial" w:cs="Arial" w:eastAsia="Arial" w:hAnsi="Arial"/>
                <w:sz w:val="18"/>
                <w:szCs w:val="18"/>
                <w:color w:val="auto"/>
                <w:w w:val="91"/>
              </w:rPr>
              <w:t>100%</w:t>
            </w:r>
          </w:p>
        </w:tc>
        <w:tc>
          <w:tcPr>
            <w:tcW w:w="3500" w:type="dxa"/>
            <w:vAlign w:val="bottom"/>
          </w:tcPr>
          <w:p>
            <w:pPr>
              <w:jc w:val="center"/>
              <w:ind w:left="74"/>
              <w:spacing w:after="0"/>
              <w:rPr>
                <w:sz w:val="20"/>
                <w:szCs w:val="20"/>
                <w:color w:val="auto"/>
              </w:rPr>
            </w:pPr>
            <w:r>
              <w:rPr>
                <w:rFonts w:ascii="Arial" w:cs="Arial" w:eastAsia="Arial" w:hAnsi="Arial"/>
                <w:sz w:val="18"/>
                <w:szCs w:val="18"/>
                <w:color w:val="auto"/>
                <w:w w:val="94"/>
              </w:rPr>
              <w:t>13%</w:t>
            </w:r>
          </w:p>
        </w:tc>
      </w:tr>
      <w:tr>
        <w:trPr>
          <w:trHeight w:val="216"/>
        </w:trPr>
        <w:tc>
          <w:tcPr>
            <w:tcW w:w="3240" w:type="dxa"/>
            <w:vAlign w:val="bottom"/>
            <w:shd w:val="clear" w:color="auto" w:fill="D8D8D8"/>
          </w:tcPr>
          <w:p>
            <w:pPr>
              <w:jc w:val="center"/>
              <w:ind w:right="393"/>
              <w:spacing w:after="0"/>
              <w:rPr>
                <w:sz w:val="20"/>
                <w:szCs w:val="20"/>
                <w:color w:val="auto"/>
              </w:rPr>
            </w:pPr>
            <w:r>
              <w:rPr>
                <w:rFonts w:ascii="Arial" w:cs="Arial" w:eastAsia="Arial" w:hAnsi="Arial"/>
                <w:sz w:val="18"/>
                <w:szCs w:val="18"/>
                <w:color w:val="auto"/>
                <w:w w:val="88"/>
              </w:rPr>
              <w:t>$5.00</w:t>
            </w:r>
          </w:p>
        </w:tc>
        <w:tc>
          <w:tcPr>
            <w:tcW w:w="3760" w:type="dxa"/>
            <w:vAlign w:val="bottom"/>
            <w:shd w:val="clear" w:color="auto" w:fill="D8D8D8"/>
          </w:tcPr>
          <w:p>
            <w:pPr>
              <w:jc w:val="center"/>
              <w:ind w:left="134"/>
              <w:spacing w:after="0"/>
              <w:rPr>
                <w:sz w:val="20"/>
                <w:szCs w:val="20"/>
                <w:color w:val="auto"/>
              </w:rPr>
            </w:pPr>
            <w:r>
              <w:rPr>
                <w:rFonts w:ascii="Arial" w:cs="Arial" w:eastAsia="Arial" w:hAnsi="Arial"/>
                <w:sz w:val="18"/>
                <w:szCs w:val="18"/>
                <w:color w:val="auto"/>
                <w:w w:val="91"/>
              </w:rPr>
              <w:t>200%</w:t>
            </w:r>
          </w:p>
        </w:tc>
        <w:tc>
          <w:tcPr>
            <w:tcW w:w="3500" w:type="dxa"/>
            <w:vAlign w:val="bottom"/>
            <w:shd w:val="clear" w:color="auto" w:fill="D8D8D8"/>
          </w:tcPr>
          <w:p>
            <w:pPr>
              <w:jc w:val="center"/>
              <w:ind w:left="74"/>
              <w:spacing w:after="0"/>
              <w:rPr>
                <w:sz w:val="20"/>
                <w:szCs w:val="20"/>
                <w:color w:val="auto"/>
              </w:rPr>
            </w:pPr>
            <w:r>
              <w:rPr>
                <w:rFonts w:ascii="Arial" w:cs="Arial" w:eastAsia="Arial" w:hAnsi="Arial"/>
                <w:sz w:val="18"/>
                <w:szCs w:val="18"/>
                <w:color w:val="auto"/>
                <w:w w:val="94"/>
              </w:rPr>
              <w:t>23%</w:t>
            </w:r>
          </w:p>
        </w:tc>
      </w:tr>
      <w:tr>
        <w:trPr>
          <w:trHeight w:val="230"/>
        </w:trPr>
        <w:tc>
          <w:tcPr>
            <w:tcW w:w="3240" w:type="dxa"/>
            <w:vAlign w:val="bottom"/>
          </w:tcPr>
          <w:p>
            <w:pPr>
              <w:jc w:val="center"/>
              <w:ind w:right="393"/>
              <w:spacing w:after="0"/>
              <w:rPr>
                <w:sz w:val="20"/>
                <w:szCs w:val="20"/>
                <w:color w:val="auto"/>
              </w:rPr>
            </w:pPr>
            <w:r>
              <w:rPr>
                <w:rFonts w:ascii="Arial" w:cs="Arial" w:eastAsia="Arial" w:hAnsi="Arial"/>
                <w:sz w:val="18"/>
                <w:szCs w:val="18"/>
                <w:color w:val="auto"/>
                <w:w w:val="88"/>
              </w:rPr>
              <w:t>$5.40</w:t>
            </w:r>
          </w:p>
        </w:tc>
        <w:tc>
          <w:tcPr>
            <w:tcW w:w="3760" w:type="dxa"/>
            <w:vAlign w:val="bottom"/>
          </w:tcPr>
          <w:p>
            <w:pPr>
              <w:jc w:val="center"/>
              <w:ind w:left="134"/>
              <w:spacing w:after="0"/>
              <w:rPr>
                <w:sz w:val="20"/>
                <w:szCs w:val="20"/>
                <w:color w:val="auto"/>
              </w:rPr>
            </w:pPr>
            <w:r>
              <w:rPr>
                <w:rFonts w:ascii="Arial" w:cs="Arial" w:eastAsia="Arial" w:hAnsi="Arial"/>
                <w:sz w:val="18"/>
                <w:szCs w:val="18"/>
                <w:color w:val="auto"/>
                <w:w w:val="91"/>
              </w:rPr>
              <w:t>300%</w:t>
            </w:r>
          </w:p>
        </w:tc>
        <w:tc>
          <w:tcPr>
            <w:tcW w:w="3500" w:type="dxa"/>
            <w:vAlign w:val="bottom"/>
          </w:tcPr>
          <w:p>
            <w:pPr>
              <w:jc w:val="center"/>
              <w:ind w:left="74"/>
              <w:spacing w:after="0"/>
              <w:rPr>
                <w:sz w:val="20"/>
                <w:szCs w:val="20"/>
                <w:color w:val="auto"/>
              </w:rPr>
            </w:pPr>
            <w:r>
              <w:rPr>
                <w:rFonts w:ascii="Arial" w:cs="Arial" w:eastAsia="Arial" w:hAnsi="Arial"/>
                <w:sz w:val="18"/>
                <w:szCs w:val="18"/>
                <w:color w:val="auto"/>
                <w:w w:val="94"/>
              </w:rPr>
              <w:t>33%</w:t>
            </w:r>
          </w:p>
        </w:tc>
      </w:tr>
      <w:tr>
        <w:trPr>
          <w:trHeight w:val="350"/>
        </w:trPr>
        <w:tc>
          <w:tcPr>
            <w:tcW w:w="3240" w:type="dxa"/>
            <w:vAlign w:val="bottom"/>
          </w:tcPr>
          <w:p>
            <w:pPr>
              <w:spacing w:after="0"/>
              <w:rPr>
                <w:sz w:val="24"/>
                <w:szCs w:val="24"/>
                <w:color w:val="auto"/>
              </w:rPr>
            </w:pPr>
          </w:p>
        </w:tc>
        <w:tc>
          <w:tcPr>
            <w:tcW w:w="3760" w:type="dxa"/>
            <w:vAlign w:val="bottom"/>
          </w:tcPr>
          <w:p>
            <w:pPr>
              <w:jc w:val="right"/>
              <w:ind w:right="1574"/>
              <w:spacing w:after="0"/>
              <w:rPr>
                <w:sz w:val="20"/>
                <w:szCs w:val="20"/>
                <w:color w:val="auto"/>
              </w:rPr>
            </w:pPr>
            <w:r>
              <w:rPr>
                <w:rFonts w:ascii="Arial" w:cs="Arial" w:eastAsia="Arial" w:hAnsi="Arial"/>
                <w:sz w:val="18"/>
                <w:szCs w:val="18"/>
                <w:color w:val="auto"/>
              </w:rPr>
              <w:t>33</w:t>
            </w:r>
          </w:p>
        </w:tc>
        <w:tc>
          <w:tcPr>
            <w:tcW w:w="3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2013 EPS results between any two targets, the payout is prorated. As in prior years, no cash incentive is paid if the minimum 2013 EPS target is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EPS targets above included projected six-month results of $0.04 from operations in Iran. During the second quarter of 2013, Schlumberger ceased operations in Iran and classified the results of this business as a discontinued operation. Therefore, the Compensation Committee decided that for purposes of calculating the cash incentive payment based on EPS, it would reduce each of the EPS targets above by $0.04.</w:t>
      </w:r>
    </w:p>
    <w:p>
      <w:pPr>
        <w:spacing w:after="0" w:line="16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Compensation Committee selected EPS as an appropriate absolute measure upon which to base half of the financial portion of the annual cash incentive because it is the primary absolute basis on which we set our performance expectations for the year; we believe that consistent EPS growth leads to long-term stockholder value; and EPS is the metric most widely used by investors and analysts to evaluate the performance of Schlumberger.</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Introduction of Relative Performance Incentive (RPI)</w:t>
      </w:r>
      <w:r>
        <w:rPr>
          <w:rFonts w:ascii="Arial" w:cs="Arial" w:eastAsia="Arial" w:hAnsi="Arial"/>
          <w:sz w:val="18"/>
          <w:szCs w:val="18"/>
          <w:color w:val="auto"/>
        </w:rPr>
        <w:t>. In July 2013, the Compensation Committee approved the introduction of a relative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(“RPI”) component to the financial half of the annual cash incentive component for all executive officers, effective for full-year 2013. In prior years, EPS was the sole metric used in calculating the financial half of the annual cash incentive for our executive officers. As a result, the financial half of annual cash incentive payouts for 2013 was based equally on:</w:t>
      </w:r>
    </w:p>
    <w:p>
      <w:pPr>
        <w:spacing w:after="0" w:line="21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EPS;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relative one-year performance as compared against Halliburton and Baker Hughes, measured by: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revenue growth (% change),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pretax operating margin growth (basis points).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RPI payouts, if any, to our NEOs are based on averages of the relative one-year performance of each of our business units and geographic areas worldwide, comparing whether our year-over-year revenue growth and margin improvement ranked better in each business unit and geographic area than that of our two RPI comparator companies.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introduction of the RPI component did not result in an increase in the maximum incentive opportunity referred to above. The Committee adopted the RPI cash incentive component for the following reasons:</w:t>
      </w:r>
    </w:p>
    <w:p>
      <w:pPr>
        <w:spacing w:after="0" w:line="197" w:lineRule="exact"/>
        <w:rPr>
          <w:sz w:val="20"/>
          <w:szCs w:val="20"/>
          <w:color w:val="auto"/>
        </w:rPr>
      </w:pPr>
    </w:p>
    <w:p>
      <w:pPr>
        <w:ind w:left="900" w:right="7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create a stronger link between our senior executives and our senior management in the field, a portion of whose annual cash incentive opportunities had been recently tied to relative performance as against our two main competitors; and</w:t>
      </w:r>
    </w:p>
    <w:p>
      <w:pPr>
        <w:spacing w:after="0" w:line="197"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better assess management’s effectiveness against the comparator companies, so that performance would not be skewed by general economic performance.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the Compensation Committee’s adoption of the new RPI component in July 2013, management had provided the Committee with EPS forecasts for the third and fourth quarters of 2013. Based on actual results for the first half of 2013 and these forecasts, the Compensation Committee estimated that, assuming that the financial half of the cash incentive was based solely on the EPS targets established in January 2013 and excluding the effects of charges and credits as described above in “Annual Cash Incentive Decisions for 2013—EPS Results,” the 2014 cash incentive payout would be approximately 140% of the financial half of the annual cash incentive. The Committee also estimated that, were the RPI component in effect for the full 2013 fiscal year, the 2014 cash incentive payout would be less than 140%.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Halliburton and Baker Hughes were selected as our RPI comparator companies for 2013 because they are the only oilfield service companies that resemble Schlumberger in scale, scope and nature of business operations, and because Schlumberger and our investors believe they constitute our main global business competitors. Additionally, the Compensation Committee decided to exclude WesternGeco results for purposes of the RPI component due to the unavailability of timely financial results from WesternGeco’s own direct competitors and because Halliburton and Baker Hughes have no seismic operations.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performance of each of our RPI comparator companies for purposes of calculating relative performance is derived from reported company results for 2012 to those for 2013. To the extent that these companies had not released financial results for full-year 2013, the Compensation Committee based its evaluation, where necessary, on estimates and projections of the companies’ financial results for 2013.</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table below summarizes the annual cash incentive program for our senior executive officers in effect for 2013 annual cash incentive decisions, as compared to the annual cash incentive plan in effect prior to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shd w:val="clear" w:color="auto" w:fill="D8D8D8"/>
          </w:tcPr>
          <w:p>
            <w:pPr>
              <w:spacing w:after="0"/>
              <w:rPr>
                <w:sz w:val="20"/>
                <w:szCs w:val="20"/>
                <w:color w:val="auto"/>
              </w:rPr>
            </w:pPr>
          </w:p>
        </w:tc>
        <w:tc>
          <w:tcPr>
            <w:tcW w:w="3760" w:type="dxa"/>
            <w:vAlign w:val="bottom"/>
            <w:shd w:val="clear" w:color="auto" w:fill="D8D8D8"/>
          </w:tcPr>
          <w:p>
            <w:pPr>
              <w:ind w:left="700"/>
              <w:spacing w:after="0"/>
              <w:rPr>
                <w:sz w:val="20"/>
                <w:szCs w:val="20"/>
                <w:color w:val="auto"/>
              </w:rPr>
            </w:pPr>
            <w:r>
              <w:rPr>
                <w:rFonts w:ascii="Arial" w:cs="Arial" w:eastAsia="Arial" w:hAnsi="Arial"/>
                <w:sz w:val="16"/>
                <w:szCs w:val="16"/>
                <w:b w:val="1"/>
                <w:bCs w:val="1"/>
                <w:color w:val="auto"/>
              </w:rPr>
              <w:t>Annual Cash Incentive — Prior to 2013</w:t>
            </w:r>
          </w:p>
        </w:tc>
        <w:tc>
          <w:tcPr>
            <w:tcW w:w="700" w:type="dxa"/>
            <w:vAlign w:val="bottom"/>
            <w:shd w:val="clear" w:color="auto" w:fill="D8D8D8"/>
          </w:tcPr>
          <w:p>
            <w:pPr>
              <w:spacing w:after="0"/>
              <w:rPr>
                <w:sz w:val="20"/>
                <w:szCs w:val="20"/>
                <w:color w:val="auto"/>
              </w:rPr>
            </w:pPr>
          </w:p>
        </w:tc>
        <w:tc>
          <w:tcPr>
            <w:tcW w:w="3360" w:type="dxa"/>
            <w:vAlign w:val="bottom"/>
            <w:shd w:val="clear" w:color="auto" w:fill="D8D8D8"/>
          </w:tcPr>
          <w:p>
            <w:pPr>
              <w:ind w:left="420"/>
              <w:spacing w:after="0"/>
              <w:rPr>
                <w:sz w:val="20"/>
                <w:szCs w:val="20"/>
                <w:color w:val="auto"/>
              </w:rPr>
            </w:pPr>
            <w:r>
              <w:rPr>
                <w:rFonts w:ascii="Arial" w:cs="Arial" w:eastAsia="Arial" w:hAnsi="Arial"/>
                <w:sz w:val="16"/>
                <w:szCs w:val="16"/>
                <w:b w:val="1"/>
                <w:bCs w:val="1"/>
                <w:color w:val="auto"/>
              </w:rPr>
              <w:t>Annual Cash Incentive —2013</w:t>
            </w:r>
          </w:p>
        </w:tc>
      </w:tr>
      <w:tr>
        <w:trPr>
          <w:trHeight w:val="229"/>
        </w:trPr>
        <w:tc>
          <w:tcPr>
            <w:tcW w:w="3600" w:type="dxa"/>
            <w:vAlign w:val="bottom"/>
            <w:shd w:val="clear" w:color="auto" w:fill="D8D8D8"/>
          </w:tcPr>
          <w:p>
            <w:pPr>
              <w:spacing w:after="0"/>
              <w:rPr>
                <w:sz w:val="19"/>
                <w:szCs w:val="19"/>
                <w:color w:val="auto"/>
              </w:rPr>
            </w:pPr>
          </w:p>
        </w:tc>
        <w:tc>
          <w:tcPr>
            <w:tcW w:w="3760" w:type="dxa"/>
            <w:vAlign w:val="bottom"/>
            <w:shd w:val="clear" w:color="auto" w:fill="D8D8D8"/>
          </w:tcPr>
          <w:p>
            <w:pPr>
              <w:spacing w:after="0"/>
              <w:rPr>
                <w:sz w:val="19"/>
                <w:szCs w:val="19"/>
                <w:color w:val="auto"/>
              </w:rPr>
            </w:pPr>
          </w:p>
        </w:tc>
        <w:tc>
          <w:tcPr>
            <w:tcW w:w="4060" w:type="dxa"/>
            <w:vAlign w:val="bottom"/>
            <w:gridSpan w:val="2"/>
            <w:shd w:val="clear" w:color="auto" w:fill="D8D8D8"/>
          </w:tcPr>
          <w:p>
            <w:pPr>
              <w:spacing w:after="0"/>
              <w:rPr>
                <w:sz w:val="19"/>
                <w:szCs w:val="19"/>
                <w:color w:val="auto"/>
              </w:rPr>
            </w:pPr>
          </w:p>
        </w:tc>
      </w:tr>
      <w:tr>
        <w:trPr>
          <w:trHeight w:val="305"/>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Annual Cash Incentive Mix</w:t>
            </w:r>
          </w:p>
        </w:tc>
        <w:tc>
          <w:tcPr>
            <w:tcW w:w="3760" w:type="dxa"/>
            <w:vAlign w:val="bottom"/>
          </w:tcPr>
          <w:p>
            <w:pPr>
              <w:ind w:left="180"/>
              <w:spacing w:after="0"/>
              <w:rPr>
                <w:sz w:val="20"/>
                <w:szCs w:val="20"/>
                <w:color w:val="auto"/>
              </w:rPr>
            </w:pPr>
            <w:r>
              <w:rPr>
                <w:rFonts w:ascii="Arial" w:cs="Arial" w:eastAsia="Arial" w:hAnsi="Arial"/>
                <w:sz w:val="16"/>
                <w:szCs w:val="16"/>
                <w:color w:val="auto"/>
              </w:rPr>
              <w:t>• 50% individual objectives</w:t>
            </w:r>
          </w:p>
        </w:tc>
        <w:tc>
          <w:tcPr>
            <w:tcW w:w="4060" w:type="dxa"/>
            <w:vAlign w:val="bottom"/>
            <w:gridSpan w:val="2"/>
          </w:tcPr>
          <w:p>
            <w:pPr>
              <w:ind w:left="300"/>
              <w:spacing w:after="0"/>
              <w:rPr>
                <w:sz w:val="20"/>
                <w:szCs w:val="20"/>
                <w:color w:val="auto"/>
              </w:rPr>
            </w:pPr>
            <w:r>
              <w:rPr>
                <w:rFonts w:ascii="Arial" w:cs="Arial" w:eastAsia="Arial" w:hAnsi="Arial"/>
                <w:sz w:val="16"/>
                <w:szCs w:val="16"/>
                <w:color w:val="auto"/>
              </w:rPr>
              <w:t>• 50% individual objectives</w:t>
            </w:r>
          </w:p>
        </w:tc>
      </w:tr>
      <w:tr>
        <w:trPr>
          <w:trHeight w:val="324"/>
        </w:trPr>
        <w:tc>
          <w:tcPr>
            <w:tcW w:w="360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 50% financial objective (EPS)</w:t>
            </w:r>
          </w:p>
        </w:tc>
        <w:tc>
          <w:tcPr>
            <w:tcW w:w="4060" w:type="dxa"/>
            <w:vAlign w:val="bottom"/>
            <w:gridSpan w:val="2"/>
          </w:tcPr>
          <w:p>
            <w:pPr>
              <w:ind w:left="300"/>
              <w:spacing w:after="0"/>
              <w:rPr>
                <w:sz w:val="20"/>
                <w:szCs w:val="20"/>
                <w:color w:val="auto"/>
              </w:rPr>
            </w:pPr>
            <w:r>
              <w:rPr>
                <w:rFonts w:ascii="Arial" w:cs="Arial" w:eastAsia="Arial" w:hAnsi="Arial"/>
                <w:sz w:val="16"/>
                <w:szCs w:val="16"/>
                <w:color w:val="auto"/>
              </w:rPr>
              <w:t>• 50% financial objectives, comprised of:</w:t>
            </w:r>
          </w:p>
        </w:tc>
      </w:tr>
      <w:tr>
        <w:trPr>
          <w:trHeight w:val="324"/>
        </w:trPr>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
              <w:spacing w:after="0"/>
              <w:rPr>
                <w:sz w:val="20"/>
                <w:szCs w:val="20"/>
                <w:color w:val="auto"/>
              </w:rPr>
            </w:pPr>
            <w:r>
              <w:rPr>
                <w:rFonts w:ascii="Arial" w:cs="Arial" w:eastAsia="Arial" w:hAnsi="Arial"/>
                <w:sz w:val="16"/>
                <w:szCs w:val="16"/>
                <w:color w:val="auto"/>
              </w:rPr>
              <w:t>25% EPS</w:t>
            </w:r>
          </w:p>
        </w:tc>
      </w:tr>
      <w:tr>
        <w:trPr>
          <w:trHeight w:val="320"/>
        </w:trPr>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
              <w:spacing w:after="0"/>
              <w:rPr>
                <w:sz w:val="20"/>
                <w:szCs w:val="20"/>
                <w:color w:val="auto"/>
              </w:rPr>
            </w:pPr>
            <w:r>
              <w:rPr>
                <w:rFonts w:ascii="Arial" w:cs="Arial" w:eastAsia="Arial" w:hAnsi="Arial"/>
                <w:sz w:val="16"/>
                <w:szCs w:val="16"/>
                <w:color w:val="auto"/>
              </w:rPr>
              <w:t>25% RPI (delta revenue and pretax operating</w:t>
            </w:r>
          </w:p>
        </w:tc>
      </w:tr>
      <w:tr>
        <w:trPr>
          <w:trHeight w:val="206"/>
        </w:trPr>
        <w:tc>
          <w:tcPr>
            <w:tcW w:w="3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60" w:type="dxa"/>
            <w:vAlign w:val="bottom"/>
          </w:tcPr>
          <w:p>
            <w:pPr>
              <w:ind w:left="100"/>
              <w:spacing w:after="0"/>
              <w:rPr>
                <w:sz w:val="20"/>
                <w:szCs w:val="20"/>
                <w:color w:val="auto"/>
              </w:rPr>
            </w:pPr>
            <w:r>
              <w:rPr>
                <w:rFonts w:ascii="Arial" w:cs="Arial" w:eastAsia="Arial" w:hAnsi="Arial"/>
                <w:sz w:val="16"/>
                <w:szCs w:val="16"/>
                <w:color w:val="auto"/>
              </w:rPr>
              <w:t>margin growth)</w:t>
            </w:r>
          </w:p>
        </w:tc>
      </w:tr>
      <w:tr>
        <w:trPr>
          <w:trHeight w:val="212"/>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Maximum Incentive Opportunity on Financial</w:t>
            </w:r>
          </w:p>
        </w:tc>
        <w:tc>
          <w:tcPr>
            <w:tcW w:w="3760" w:type="dxa"/>
            <w:vAlign w:val="bottom"/>
          </w:tcPr>
          <w:p>
            <w:pPr>
              <w:ind w:left="180"/>
              <w:spacing w:after="0"/>
              <w:rPr>
                <w:sz w:val="20"/>
                <w:szCs w:val="20"/>
                <w:color w:val="auto"/>
              </w:rPr>
            </w:pPr>
            <w:r>
              <w:rPr>
                <w:rFonts w:ascii="Arial" w:cs="Arial" w:eastAsia="Arial" w:hAnsi="Arial"/>
                <w:sz w:val="16"/>
                <w:szCs w:val="16"/>
                <w:color w:val="auto"/>
              </w:rPr>
              <w:t>300%</w:t>
            </w: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3360" w:type="dxa"/>
            <w:vAlign w:val="bottom"/>
          </w:tcPr>
          <w:p>
            <w:pPr>
              <w:spacing w:after="0"/>
              <w:rPr>
                <w:sz w:val="18"/>
                <w:szCs w:val="18"/>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Objectives (% of financial target)</w:t>
            </w: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07"/>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Maximum Incentive Opportunity on Personal</w:t>
            </w:r>
          </w:p>
        </w:tc>
        <w:tc>
          <w:tcPr>
            <w:tcW w:w="3760" w:type="dxa"/>
            <w:vAlign w:val="bottom"/>
          </w:tcPr>
          <w:p>
            <w:pPr>
              <w:ind w:left="180"/>
              <w:spacing w:after="0"/>
              <w:rPr>
                <w:sz w:val="20"/>
                <w:szCs w:val="20"/>
                <w:color w:val="auto"/>
              </w:rPr>
            </w:pPr>
            <w:r>
              <w:rPr>
                <w:rFonts w:ascii="Arial" w:cs="Arial" w:eastAsia="Arial" w:hAnsi="Arial"/>
                <w:sz w:val="16"/>
                <w:szCs w:val="16"/>
                <w:color w:val="auto"/>
              </w:rPr>
              <w:t>100%</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3360" w:type="dxa"/>
            <w:vAlign w:val="bottom"/>
          </w:tcPr>
          <w:p>
            <w:pPr>
              <w:spacing w:after="0"/>
              <w:rPr>
                <w:sz w:val="24"/>
                <w:szCs w:val="24"/>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Objectives (% of personal target)</w:t>
            </w: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07"/>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w w:val="94"/>
              </w:rPr>
              <w:t>Maximum Total Incentive Opportunity — Personal</w:t>
            </w:r>
          </w:p>
        </w:tc>
        <w:tc>
          <w:tcPr>
            <w:tcW w:w="3760" w:type="dxa"/>
            <w:vAlign w:val="bottom"/>
          </w:tcPr>
          <w:p>
            <w:pPr>
              <w:ind w:left="180"/>
              <w:spacing w:after="0"/>
              <w:rPr>
                <w:sz w:val="20"/>
                <w:szCs w:val="20"/>
                <w:color w:val="auto"/>
              </w:rPr>
            </w:pPr>
            <w:r>
              <w:rPr>
                <w:rFonts w:ascii="Arial" w:cs="Arial" w:eastAsia="Arial" w:hAnsi="Arial"/>
                <w:sz w:val="16"/>
                <w:szCs w:val="16"/>
                <w:color w:val="auto"/>
              </w:rPr>
              <w:t>200%</w:t>
            </w: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3360" w:type="dxa"/>
            <w:vAlign w:val="bottom"/>
          </w:tcPr>
          <w:p>
            <w:pPr>
              <w:spacing w:after="0"/>
              <w:rPr>
                <w:sz w:val="24"/>
                <w:szCs w:val="24"/>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and Financial Objectives (% of total target)</w:t>
            </w: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bl>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RPI Performance Levels.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approved the following performance payout schedule/matrix in July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320" w:type="dxa"/>
            <w:vAlign w:val="bottom"/>
            <w:gridSpan w:val="2"/>
          </w:tcPr>
          <w:p>
            <w:pPr>
              <w:ind w:left="2980"/>
              <w:spacing w:after="0"/>
              <w:rPr>
                <w:sz w:val="20"/>
                <w:szCs w:val="20"/>
                <w:color w:val="auto"/>
              </w:rPr>
            </w:pPr>
            <w:r>
              <w:rPr>
                <w:rFonts w:ascii="Arial" w:cs="Arial" w:eastAsia="Arial" w:hAnsi="Arial"/>
                <w:sz w:val="18"/>
                <w:szCs w:val="18"/>
                <w:b w:val="1"/>
                <w:bCs w:val="1"/>
                <w:color w:val="auto"/>
              </w:rPr>
              <w:t>RPI Performance Payout Schedule/Matrix</w:t>
            </w:r>
          </w:p>
        </w:tc>
      </w:tr>
      <w:tr>
        <w:trPr>
          <w:trHeight w:val="40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RPI Achievement</w:t>
            </w:r>
          </w:p>
        </w:tc>
        <w:tc>
          <w:tcPr>
            <w:tcW w:w="84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 of Total RPI Portion Payout</w:t>
            </w:r>
          </w:p>
        </w:tc>
      </w:tr>
      <w:tr>
        <w:trPr>
          <w:trHeight w:val="196"/>
        </w:trPr>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0%</w:t>
            </w:r>
          </w:p>
        </w:tc>
        <w:tc>
          <w:tcPr>
            <w:tcW w:w="84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0%</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320" w:type="dxa"/>
            <w:vAlign w:val="bottom"/>
            <w:gridSpan w:val="2"/>
          </w:tcPr>
          <w:p>
            <w:pPr>
              <w:jc w:val="center"/>
              <w:ind w:left="8330"/>
              <w:spacing w:after="0"/>
              <w:rPr>
                <w:sz w:val="20"/>
                <w:szCs w:val="20"/>
                <w:color w:val="auto"/>
              </w:rPr>
            </w:pPr>
            <w:r>
              <w:rPr>
                <w:rFonts w:ascii="Arial" w:cs="Arial" w:eastAsia="Arial" w:hAnsi="Arial"/>
                <w:sz w:val="18"/>
                <w:szCs w:val="18"/>
                <w:color w:val="auto"/>
                <w:w w:val="91"/>
              </w:rPr>
              <w:t>100%</w:t>
            </w: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10320" w:type="dxa"/>
            <w:vAlign w:val="bottom"/>
            <w:gridSpan w:val="2"/>
            <w:shd w:val="clear" w:color="auto" w:fill="CCEEFF"/>
          </w:tcPr>
          <w:p>
            <w:pPr>
              <w:jc w:val="center"/>
              <w:ind w:left="8330"/>
              <w:spacing w:after="0"/>
              <w:rPr>
                <w:sz w:val="20"/>
                <w:szCs w:val="20"/>
                <w:color w:val="auto"/>
              </w:rPr>
            </w:pPr>
            <w:r>
              <w:rPr>
                <w:rFonts w:ascii="Arial" w:cs="Arial" w:eastAsia="Arial" w:hAnsi="Arial"/>
                <w:sz w:val="18"/>
                <w:szCs w:val="18"/>
                <w:color w:val="auto"/>
                <w:w w:val="91"/>
              </w:rPr>
              <w:t>200%</w:t>
            </w: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0320" w:type="dxa"/>
            <w:vAlign w:val="bottom"/>
            <w:gridSpan w:val="2"/>
          </w:tcPr>
          <w:p>
            <w:pPr>
              <w:jc w:val="center"/>
              <w:ind w:left="8330"/>
              <w:spacing w:after="0"/>
              <w:rPr>
                <w:sz w:val="20"/>
                <w:szCs w:val="20"/>
                <w:color w:val="auto"/>
              </w:rPr>
            </w:pPr>
            <w:r>
              <w:rPr>
                <w:rFonts w:ascii="Arial" w:cs="Arial" w:eastAsia="Arial" w:hAnsi="Arial"/>
                <w:sz w:val="18"/>
                <w:szCs w:val="18"/>
                <w:color w:val="auto"/>
                <w:w w:val="91"/>
              </w:rPr>
              <w:t>300%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with the EPS targets, for RPI achievement between any two levels, the RPI payout is prorated.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standards approved by the Committee, achieving a RPI score of 60% or higher is extremely challenging. For example:</w:t>
      </w:r>
    </w:p>
    <w:p>
      <w:pPr>
        <w:spacing w:after="0" w:line="252" w:lineRule="exact"/>
        <w:rPr>
          <w:sz w:val="20"/>
          <w:szCs w:val="20"/>
          <w:color w:val="auto"/>
        </w:rPr>
      </w:pPr>
    </w:p>
    <w:p>
      <w:pPr>
        <w:ind w:left="900" w:right="1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 RPI achievement requires on average that all business units worldwide achieve a business unit score of 3 or better (on a scale of two to six, two being best) and most geographic areas to achieve a ranking of #1;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60% RPI achievement requires on average that all business units worldwide achieve a business unit score of 4 or better and most geographic areas to achieve a ranking of #1;</w:t>
      </w:r>
    </w:p>
    <w:p>
      <w:pPr>
        <w:spacing w:after="0" w:line="197"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RPI achievement requires on average that all business units worldwide achieve a business unit score of 4 or better and most geographic areas to achieve a ranking of #1 and #2;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 RPI achievement implies an average business unit score of 5 or 6 and an area ranking ranging from #1 to #3.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more information on how RPI performance is determined, see footnote 2 to the Grants of Plan-Based Awards Table beginning on page 53.</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EPS Results. </w:t>
      </w:r>
      <w:r>
        <w:rPr>
          <w:rFonts w:ascii="Arial" w:cs="Arial" w:eastAsia="Arial" w:hAnsi="Arial"/>
          <w:sz w:val="17"/>
          <w:szCs w:val="17"/>
          <w:color w:val="auto"/>
        </w:rPr>
        <w:t>Schlumberger’s 2013 EPS was $5.10, which included a $0.77 credit from the gain relating to the formation of the OneSubsea joint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and $0.42 of charges related to the impairment of equity method investments, the reserve for certain receivables and a currency devaluation loss. The Compensation Committee decided that for purposes of calculating the EPS component of the cash incentive payment, it would exclude all of these charges and credits, which represented a net credit of $0.35. The Committee decided to exclude these unusual charges, consistent with the Company’s 2013 earnings announcement and presentation to investors, because they did not relate to Schlumberger’s ongoing operations and because the Committee believed that including them did not reflect Schlumberger’s operating trends. Similarly, the Committee believed that it would not be appropriate to include the $1.03 billion gain arising from the OneSubsea joint venture, as it was one-time in nature and also not related to Schlumberger’s ongoing operations. Schlumberger’s 2013 EPS, excluding these charges and credits, was $4.75. As a result, the Compensation Committee approved a payout of 147.5% of the EPS component of the annual cash incentive.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RPI Results</w:t>
      </w:r>
      <w:r>
        <w:rPr>
          <w:rFonts w:ascii="Arial" w:cs="Arial" w:eastAsia="Arial" w:hAnsi="Arial"/>
          <w:sz w:val="18"/>
          <w:szCs w:val="18"/>
          <w:color w:val="auto"/>
        </w:rPr>
        <w:t>. We achieved an RPI result in 2013 of 54.2%, resulting in a total RPI payout of 142%.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Objectives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Fifty percent of an executive’s annual cash incentive opportunity is tied to achievement of personal objectives that are specific to each executive officer position and may relate to:</w:t>
      </w:r>
    </w:p>
    <w:p>
      <w:pPr>
        <w:spacing w:after="0" w:line="19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Group or geographical profitability or revenue growth;</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252"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award for the personal half of the annual cash incentive opportunity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Kibsgaard had objectives relating to quality and to health, safety and environmental (HSE), which he mainly achieved.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Kibsgaard had objectives relating to mergers and acquisitions and to research and product development, both of which he achieved.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Juden had objectives relating to compliance, which he mainly achieved.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Ayat had objectives relating to cost management and to compliance, which he mainly achieved.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Mr. Poupeau had objectives relating to establishing the Project Management Office, mergers and acquisitions and collaboration projects in China, which he mainly achieved.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Kibsgaard, Belani and Ayat each had objectives relating to the OneSubsea joint venture, all of which they achieved.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Ayat and Belani each had objectives relating to information technology global design, all of which they achieved.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Annual Cash Incentive as a Percentage of Base Salary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Total Incentive</w:t>
            </w:r>
          </w:p>
        </w:tc>
        <w:tc>
          <w:tcPr>
            <w:tcW w:w="15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Financial Half</w:t>
            </w:r>
          </w:p>
        </w:tc>
        <w:tc>
          <w:tcPr>
            <w:tcW w:w="14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6"/>
              </w:rPr>
              <w:t>Financial Half</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Personal</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Personal Half</w:t>
            </w:r>
          </w:p>
        </w:tc>
        <w:tc>
          <w:tcPr>
            <w:tcW w:w="58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rPr>
              <w:t>Half</w:t>
            </w:r>
          </w:p>
        </w:tc>
        <w:tc>
          <w:tcPr>
            <w:tcW w:w="8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Range</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Range</w:t>
            </w: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Range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5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Paid</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Eligibility</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Eligibility</w:t>
            </w: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Achieved</w:t>
            </w: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Eligibility</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Achieved</w:t>
            </w:r>
          </w:p>
        </w:tc>
        <w:tc>
          <w:tcPr>
            <w:tcW w:w="5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62"/>
        </w:trPr>
        <w:tc>
          <w:tcPr>
            <w:tcW w:w="3180" w:type="dxa"/>
            <w:vAlign w:val="bottom"/>
            <w:gridSpan w:val="3"/>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Base Salary</w:t>
            </w:r>
            <w:r>
              <w:rPr>
                <w:rFonts w:ascii="Arial" w:cs="Arial" w:eastAsia="Arial" w:hAnsi="Arial"/>
                <w:sz w:val="12"/>
                <w:szCs w:val="12"/>
                <w:b w:val="1"/>
                <w:bCs w:val="1"/>
                <w:color w:val="auto"/>
                <w:w w:val="91"/>
              </w:rPr>
              <w:t>(1),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 Kibsgaard</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0-150</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108.56</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180" w:type="dxa"/>
            <w:vAlign w:val="bottom"/>
            <w:gridSpan w:val="3"/>
          </w:tcPr>
          <w:p>
            <w:pPr>
              <w:spacing w:after="0"/>
              <w:rPr>
                <w:sz w:val="20"/>
                <w:szCs w:val="20"/>
                <w:color w:val="auto"/>
              </w:rPr>
            </w:pPr>
            <w:r>
              <w:rPr>
                <w:rFonts w:ascii="Arial" w:cs="Arial" w:eastAsia="Arial" w:hAnsi="Arial"/>
                <w:sz w:val="18"/>
                <w:szCs w:val="18"/>
                <w:color w:val="auto"/>
              </w:rPr>
              <w:t>S. Ayat</w:t>
            </w:r>
          </w:p>
        </w:tc>
        <w:tc>
          <w:tcPr>
            <w:tcW w:w="940" w:type="dxa"/>
            <w:vAlign w:val="bottom"/>
          </w:tcPr>
          <w:p>
            <w:pPr>
              <w:jc w:val="right"/>
              <w:spacing w:after="0"/>
              <w:rPr>
                <w:sz w:val="20"/>
                <w:szCs w:val="20"/>
                <w:color w:val="auto"/>
              </w:rPr>
            </w:pPr>
            <w:r>
              <w:rPr>
                <w:rFonts w:ascii="Arial" w:cs="Arial" w:eastAsia="Arial" w:hAnsi="Arial"/>
                <w:sz w:val="18"/>
                <w:szCs w:val="18"/>
                <w:color w:val="auto"/>
              </w:rPr>
              <w:t>0-100</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72.38</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47.60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72.38</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324"/>
        </w:trPr>
        <w:tc>
          <w:tcPr>
            <w:tcW w:w="3180" w:type="dxa"/>
            <w:vAlign w:val="bottom"/>
            <w:gridSpan w:val="3"/>
          </w:tcPr>
          <w:p>
            <w:pPr>
              <w:spacing w:after="0"/>
              <w:rPr>
                <w:sz w:val="20"/>
                <w:szCs w:val="20"/>
                <w:color w:val="auto"/>
              </w:rPr>
            </w:pPr>
            <w:r>
              <w:rPr>
                <w:rFonts w:ascii="Arial" w:cs="Arial" w:eastAsia="Arial" w:hAnsi="Arial"/>
                <w:sz w:val="18"/>
                <w:szCs w:val="18"/>
                <w:color w:val="auto"/>
              </w:rPr>
              <w:t>J.-F. Poupeau</w:t>
            </w:r>
          </w:p>
        </w:tc>
        <w:tc>
          <w:tcPr>
            <w:tcW w:w="940" w:type="dxa"/>
            <w:vAlign w:val="bottom"/>
          </w:tcPr>
          <w:p>
            <w:pPr>
              <w:jc w:val="right"/>
              <w:spacing w:after="0"/>
              <w:rPr>
                <w:sz w:val="20"/>
                <w:szCs w:val="20"/>
                <w:color w:val="auto"/>
              </w:rPr>
            </w:pPr>
            <w:r>
              <w:rPr>
                <w:rFonts w:ascii="Arial" w:cs="Arial" w:eastAsia="Arial" w:hAnsi="Arial"/>
                <w:sz w:val="18"/>
                <w:szCs w:val="18"/>
                <w:color w:val="auto"/>
              </w:rPr>
              <w:t>0-100</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72.38</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45.70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Juden</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37.5</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54.28</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Equals the sum of both the financial half and the personal half of the annual cash incentive achieved, expressed as a percentage of base salary.</w:t>
      </w:r>
    </w:p>
    <w:p>
      <w:pPr>
        <w:spacing w:after="0" w:line="261" w:lineRule="exact"/>
        <w:rPr>
          <w:rFonts w:ascii="Arial" w:cs="Arial" w:eastAsia="Arial" w:hAnsi="Arial"/>
          <w:sz w:val="16"/>
          <w:szCs w:val="16"/>
          <w:color w:val="auto"/>
        </w:rPr>
      </w:pPr>
    </w:p>
    <w:p>
      <w:pPr>
        <w:ind w:left="340" w:right="160" w:hanging="332"/>
        <w:spacing w:after="0" w:line="27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Pai and Mr. Oestdahl each resigned from their executive positions and assumed new, non-executive, positions of Advisor to the Chief Executive Officer effective May 8, 2013 and February 11, 2013, respectively. In light of their assumptions of their advisory positions in 2013, neither Mr. Pai nor Mr. Oestdahl was awarded any annual cash incentive payment for 2013 Company or personal performance. Accordingly, the discussion in this section relates solely to the NEOs other than Mr. Pai and Mr. Oestdahl.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Long-term equity incentives continue to make up the largest portion of the compensation of our NEOs. They are designed to give NEOs and other high-value employees a longer-term stake in the Company, provide incentives for the creation of sustained stockholder value, act as long-term retention and motivation tools, and directly tie employee and stockholder interests over the longer term.</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Introduction of Performance Share Units</w:t>
      </w:r>
      <w:r>
        <w:rPr>
          <w:rFonts w:ascii="Arial" w:cs="Arial" w:eastAsia="Arial" w:hAnsi="Arial"/>
          <w:sz w:val="18"/>
          <w:szCs w:val="18"/>
          <w:color w:val="auto"/>
        </w:rPr>
        <w:t>. Historically, our NEOs have received 100% of their LTI compensation in the form of stock options.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2013, the Compensation Committee approved a significant change to our LTI award mix, introducing grants of three-year PSUs to our NEOs and other senior executives, consistent with market practices at companies in the Comparator Groups. As a result, our NEOs and other senior executive officers in 2013 received 50% of their target LTI compensation in the form of three-year PSUs and 50% in the form of stock options. For the 2013 PSU grants, the Committee established performance goals using consolidated Return on Capital Employed (“ROCE”) as its performance measure to determine payouts, as more fully discussed below under “— 2013 PSU Performance Criteria.”</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introduced PSUs for the following reasons:</w:t>
      </w:r>
    </w:p>
    <w:p>
      <w:pPr>
        <w:spacing w:after="0" w:line="25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create a stronger and more visible link between executive pay and Company performance;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further align our executives’ interests with those of our stockholders;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more balance to our LTI program and mitigate the impact of the volatility of the stock market on our LTI program;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better incentivize and retain our senior executives;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move to an LTI program that is more consistent with practices at peer companies.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Awards of PSUs are currently limited to our NEOs and other senior executive officers. PSUs will become earned and vested at the end of the three-year performance period ending December 31, 2015, contingent on achievement of pre-determined performance targets, and will convert to shares of our common stock after the expiration of the performance period. No shares will be issued under the PSUs if we do not achieve a pre- established threshold performance level. No dividends will accrue or be paid on any PSUs during the performance period.</w:t>
      </w: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approving the introduction of PSUs to the Company’s LTI compensation program, the Compensation Committee recognized that PSUs further align our executives’ compensation with the stock price returns experienced by our stockholders, while also incentivizing our executives to achieve strategic and financial goals that support our long-term performance. The Compensation Committee, however, reaffirmed its belief that stock options are a form of performance-based compensation, concluding that stock options should remain a significant component of our senior executive’s LTI compensation. This decision reflects the Compensation Committee’s strong belief that our senior executives’ long-term equity incentive compensation should remain directly linked to the performance of our stock, since the value of stock options is solely tied to the Company’s stock price, and any decline in the Company’s stock price should also have a negative impact on our executives’ pay.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summarizes the mix, the performance measurements and general terms for the three-year PSUs and stock options awarded to the NEOs in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shd w:val="clear" w:color="auto" w:fill="D8D8D8"/>
          </w:tcPr>
          <w:p>
            <w:pPr>
              <w:spacing w:after="0"/>
              <w:rPr>
                <w:sz w:val="14"/>
                <w:szCs w:val="14"/>
                <w:color w:val="auto"/>
              </w:rPr>
            </w:pPr>
          </w:p>
        </w:tc>
        <w:tc>
          <w:tcPr>
            <w:tcW w:w="5180" w:type="dxa"/>
            <w:vAlign w:val="bottom"/>
            <w:shd w:val="clear" w:color="auto" w:fill="D8D8D8"/>
          </w:tcPr>
          <w:p>
            <w:pPr>
              <w:ind w:left="1080"/>
              <w:spacing w:after="0"/>
              <w:rPr>
                <w:sz w:val="20"/>
                <w:szCs w:val="20"/>
                <w:color w:val="auto"/>
              </w:rPr>
            </w:pPr>
            <w:r>
              <w:rPr>
                <w:rFonts w:ascii="Arial" w:cs="Arial" w:eastAsia="Arial" w:hAnsi="Arial"/>
                <w:sz w:val="14"/>
                <w:szCs w:val="14"/>
                <w:b w:val="1"/>
                <w:bCs w:val="1"/>
                <w:color w:val="auto"/>
              </w:rPr>
              <w:t>PSUs</w:t>
            </w:r>
          </w:p>
        </w:tc>
        <w:tc>
          <w:tcPr>
            <w:tcW w:w="3420" w:type="dxa"/>
            <w:vAlign w:val="bottom"/>
            <w:shd w:val="clear" w:color="auto" w:fill="D8D8D8"/>
          </w:tcPr>
          <w:p>
            <w:pPr>
              <w:ind w:left="240"/>
              <w:spacing w:after="0"/>
              <w:rPr>
                <w:sz w:val="20"/>
                <w:szCs w:val="20"/>
                <w:color w:val="auto"/>
              </w:rPr>
            </w:pPr>
            <w:r>
              <w:rPr>
                <w:rFonts w:ascii="Arial" w:cs="Arial" w:eastAsia="Arial" w:hAnsi="Arial"/>
                <w:sz w:val="14"/>
                <w:szCs w:val="14"/>
                <w:b w:val="1"/>
                <w:bCs w:val="1"/>
                <w:color w:val="auto"/>
              </w:rPr>
              <w:t>Stock Options</w:t>
            </w:r>
          </w:p>
        </w:tc>
      </w:tr>
      <w:tr>
        <w:trPr>
          <w:trHeight w:val="324"/>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LTI 2013 Mix</w:t>
            </w:r>
          </w:p>
        </w:tc>
        <w:tc>
          <w:tcPr>
            <w:tcW w:w="5180" w:type="dxa"/>
            <w:vAlign w:val="bottom"/>
          </w:tcPr>
          <w:p>
            <w:pPr>
              <w:ind w:left="1080"/>
              <w:spacing w:after="0"/>
              <w:rPr>
                <w:sz w:val="20"/>
                <w:szCs w:val="20"/>
                <w:color w:val="auto"/>
              </w:rPr>
            </w:pPr>
            <w:r>
              <w:rPr>
                <w:rFonts w:ascii="Arial" w:cs="Arial" w:eastAsia="Arial" w:hAnsi="Arial"/>
                <w:sz w:val="18"/>
                <w:szCs w:val="18"/>
                <w:color w:val="auto"/>
              </w:rPr>
              <w:t>50%</w:t>
            </w:r>
          </w:p>
        </w:tc>
        <w:tc>
          <w:tcPr>
            <w:tcW w:w="3420" w:type="dxa"/>
            <w:vAlign w:val="bottom"/>
          </w:tcPr>
          <w:p>
            <w:pPr>
              <w:ind w:left="240"/>
              <w:spacing w:after="0"/>
              <w:rPr>
                <w:sz w:val="20"/>
                <w:szCs w:val="20"/>
                <w:color w:val="auto"/>
              </w:rPr>
            </w:pPr>
            <w:r>
              <w:rPr>
                <w:rFonts w:ascii="Arial" w:cs="Arial" w:eastAsia="Arial" w:hAnsi="Arial"/>
                <w:sz w:val="18"/>
                <w:szCs w:val="18"/>
                <w:color w:val="auto"/>
              </w:rPr>
              <w:t>50%</w:t>
            </w:r>
          </w:p>
        </w:tc>
      </w:tr>
      <w:tr>
        <w:trPr>
          <w:trHeight w:val="324"/>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Performance Measure</w:t>
            </w:r>
          </w:p>
        </w:tc>
        <w:tc>
          <w:tcPr>
            <w:tcW w:w="5180" w:type="dxa"/>
            <w:vAlign w:val="bottom"/>
          </w:tcPr>
          <w:p>
            <w:pPr>
              <w:ind w:left="1080"/>
              <w:spacing w:after="0"/>
              <w:rPr>
                <w:sz w:val="20"/>
                <w:szCs w:val="20"/>
                <w:color w:val="auto"/>
              </w:rPr>
            </w:pPr>
            <w:r>
              <w:rPr>
                <w:rFonts w:ascii="Arial" w:cs="Arial" w:eastAsia="Arial" w:hAnsi="Arial"/>
                <w:sz w:val="18"/>
                <w:szCs w:val="18"/>
                <w:color w:val="auto"/>
              </w:rPr>
              <w:t>Return on Capital Employed</w:t>
            </w:r>
          </w:p>
        </w:tc>
        <w:tc>
          <w:tcPr>
            <w:tcW w:w="3420" w:type="dxa"/>
            <w:vAlign w:val="bottom"/>
          </w:tcPr>
          <w:p>
            <w:pPr>
              <w:ind w:left="240"/>
              <w:spacing w:after="0"/>
              <w:rPr>
                <w:sz w:val="20"/>
                <w:szCs w:val="20"/>
                <w:color w:val="auto"/>
              </w:rPr>
            </w:pPr>
            <w:r>
              <w:rPr>
                <w:rFonts w:ascii="Arial" w:cs="Arial" w:eastAsia="Arial" w:hAnsi="Arial"/>
                <w:sz w:val="18"/>
                <w:szCs w:val="18"/>
                <w:color w:val="auto"/>
              </w:rPr>
              <w:t>Stock price appreciation</w:t>
            </w:r>
          </w:p>
        </w:tc>
      </w:tr>
      <w:tr>
        <w:trPr>
          <w:trHeight w:val="31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Vesting Period</w:t>
            </w:r>
          </w:p>
        </w:tc>
        <w:tc>
          <w:tcPr>
            <w:tcW w:w="5180" w:type="dxa"/>
            <w:vAlign w:val="bottom"/>
          </w:tcPr>
          <w:p>
            <w:pPr>
              <w:ind w:left="1080"/>
              <w:spacing w:after="0"/>
              <w:rPr>
                <w:sz w:val="20"/>
                <w:szCs w:val="20"/>
                <w:color w:val="auto"/>
              </w:rPr>
            </w:pPr>
            <w:r>
              <w:rPr>
                <w:rFonts w:ascii="Arial" w:cs="Arial" w:eastAsia="Arial" w:hAnsi="Arial"/>
                <w:sz w:val="18"/>
                <w:szCs w:val="18"/>
                <w:color w:val="auto"/>
                <w:w w:val="96"/>
              </w:rPr>
              <w:t>Cliff vesting on the third anniversary of the grant date</w:t>
            </w:r>
          </w:p>
        </w:tc>
        <w:tc>
          <w:tcPr>
            <w:tcW w:w="3420" w:type="dxa"/>
            <w:vAlign w:val="bottom"/>
          </w:tcPr>
          <w:p>
            <w:pPr>
              <w:ind w:left="240"/>
              <w:spacing w:after="0"/>
              <w:rPr>
                <w:sz w:val="20"/>
                <w:szCs w:val="20"/>
                <w:color w:val="auto"/>
              </w:rPr>
            </w:pPr>
            <w:r>
              <w:rPr>
                <w:rFonts w:ascii="Arial" w:cs="Arial" w:eastAsia="Arial" w:hAnsi="Arial"/>
                <w:sz w:val="18"/>
                <w:szCs w:val="18"/>
                <w:color w:val="auto"/>
                <w:w w:val="94"/>
              </w:rPr>
              <w:t>Generally vest in approximately five equal</w:t>
            </w:r>
          </w:p>
        </w:tc>
      </w:tr>
      <w:tr>
        <w:trPr>
          <w:trHeight w:val="230"/>
        </w:trPr>
        <w:tc>
          <w:tcPr>
            <w:tcW w:w="28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installments over five years</w:t>
            </w:r>
          </w:p>
        </w:tc>
      </w:tr>
      <w:tr>
        <w:trPr>
          <w:trHeight w:val="31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Restrictions/Expiration</w:t>
            </w:r>
          </w:p>
        </w:tc>
        <w:tc>
          <w:tcPr>
            <w:tcW w:w="5180" w:type="dxa"/>
            <w:vAlign w:val="bottom"/>
          </w:tcPr>
          <w:p>
            <w:pPr>
              <w:ind w:left="1080"/>
              <w:spacing w:after="0"/>
              <w:rPr>
                <w:sz w:val="20"/>
                <w:szCs w:val="20"/>
                <w:color w:val="auto"/>
              </w:rPr>
            </w:pPr>
            <w:r>
              <w:rPr>
                <w:rFonts w:ascii="Arial" w:cs="Arial" w:eastAsia="Arial" w:hAnsi="Arial"/>
                <w:sz w:val="18"/>
                <w:szCs w:val="18"/>
                <w:color w:val="auto"/>
              </w:rPr>
              <w:t>Converted to common stock only upon vesting and</w:t>
            </w:r>
          </w:p>
        </w:tc>
        <w:tc>
          <w:tcPr>
            <w:tcW w:w="3420" w:type="dxa"/>
            <w:vAlign w:val="bottom"/>
          </w:tcPr>
          <w:p>
            <w:pPr>
              <w:ind w:left="240"/>
              <w:spacing w:after="0"/>
              <w:rPr>
                <w:sz w:val="20"/>
                <w:szCs w:val="20"/>
                <w:color w:val="auto"/>
              </w:rPr>
            </w:pPr>
            <w:r>
              <w:rPr>
                <w:rFonts w:ascii="Arial" w:cs="Arial" w:eastAsia="Arial" w:hAnsi="Arial"/>
                <w:sz w:val="18"/>
                <w:szCs w:val="18"/>
                <w:color w:val="auto"/>
              </w:rPr>
              <w:t>Expire 10 years from grant date</w:t>
            </w:r>
          </w:p>
        </w:tc>
      </w:tr>
      <w:tr>
        <w:trPr>
          <w:trHeight w:val="230"/>
        </w:trPr>
        <w:tc>
          <w:tcPr>
            <w:tcW w:w="2820" w:type="dxa"/>
            <w:vAlign w:val="bottom"/>
          </w:tcPr>
          <w:p>
            <w:pPr>
              <w:spacing w:after="0"/>
              <w:rPr>
                <w:sz w:val="20"/>
                <w:szCs w:val="20"/>
                <w:color w:val="auto"/>
              </w:rPr>
            </w:pPr>
          </w:p>
        </w:tc>
        <w:tc>
          <w:tcPr>
            <w:tcW w:w="5180" w:type="dxa"/>
            <w:vAlign w:val="bottom"/>
          </w:tcPr>
          <w:p>
            <w:pPr>
              <w:ind w:left="1080"/>
              <w:spacing w:after="0"/>
              <w:rPr>
                <w:sz w:val="20"/>
                <w:szCs w:val="20"/>
                <w:color w:val="auto"/>
              </w:rPr>
            </w:pPr>
            <w:r>
              <w:rPr>
                <w:rFonts w:ascii="Arial" w:cs="Arial" w:eastAsia="Arial" w:hAnsi="Arial"/>
                <w:sz w:val="18"/>
                <w:szCs w:val="18"/>
                <w:color w:val="auto"/>
              </w:rPr>
              <w:t>achievement of performance criteria.</w:t>
            </w:r>
          </w:p>
        </w:tc>
        <w:tc>
          <w:tcPr>
            <w:tcW w:w="3420" w:type="dxa"/>
            <w:vAlign w:val="bottom"/>
          </w:tcPr>
          <w:p>
            <w:pPr>
              <w:spacing w:after="0"/>
              <w:rPr>
                <w:sz w:val="20"/>
                <w:szCs w:val="20"/>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aid in the transition to PSUs, the Compensation Committee in January 2013 also approved PSUs with one-year and two-year performance periods, solely for the 2013 grants. The mix of one-, two- and three-year PSUs provides a transition from an LTI program that was comprised wholly of stock options with annual ratable vesting over a five-year period, to a hybrid program under which 50% of the long-term incentive does not pay out, if at all, until the end of a three-year performance period. Beginning in 2014, all PSUs granted will vest over a three-year performance period with over-lapping three-year cycles, with any payout determined at the end of each cycle based on predetermined performance targets.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of Long-Term Equity Awards</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Compensation Committee determines the value of LTI awards to executive officers at its first meeting at the beginning of the fiscal year. The value of an LTI grant increases with the level of an executive’s responsibility at the Company, and for the CEO and our other NEOs is the largest element of their total direct compensation package. In determining the value of LTI awards granted to executive officers, the Compensation Committee (in the case of the CEO’s grant) and the CEO (in the case of recommendations for grants for the other NEOs), first considers market data on the LTI value for the most comparable positions in the Company’s two peer groups, as well as several other factors, which may include:</w:t>
      </w:r>
    </w:p>
    <w:p>
      <w:pPr>
        <w:spacing w:after="0" w:line="20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the executive officer;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retention;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252"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total value and number of equity-based awards granted to an executive over the course of his or her career, together with the retentive effect of additional equity-based awards;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equity of peer position career grants.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Once the Compensation Committee has determined, based on the relevant factors above in its discretion, the target dollar value of LTI awards for an NEO, the Committee grants 50% of this value in PSUs and 50% in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options. The Committee believes that this mix of PSUs and stock options strikes an appropriate balance between rewarding increases in the market value of our common stock (stock options) and tying long-term compensation to achievement of specific performance goals that are not based solely on the stock market (PSUs). The target number of PSUs awarded to an executive is determined by dividing 50% of the total target LTI value by the estimated grant date fair value of a PSU; the number of options awarded is determined by dividing 50% of the total target LTI value by the estimated grant date fair value using the Black-Scholes formula.</w:t>
      </w:r>
    </w:p>
    <w:p>
      <w:pPr>
        <w:spacing w:after="0" w:line="18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actual grant date fair value of each grant, computed in accordance with applicable accounting standards, is disclosed in the Grants of Plan-Based Awards For Fiscal Year 2013 table below. The tables below detail the approximate grant date fair value and number of PSUs and stock options granted in 2013 to the NEOs. Because of differences in how the grant date fair values of PSU and option awards must be calculated for accounting purposes, the amounts reported in the Summary Compensation Table may not reflect the same proportion of PSUs and stock options. The values given to equity compensation awards by the Compensation Committee are approximate grant date accounting values only, and the actual value that an NEO may realize depends on factors such as the NEO’s continued service, Schlumberger’s future stock price performance and the achievement of certain pre-established performance goals.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Long-Term Equity Grants for 2013</w:t>
      </w:r>
    </w:p>
    <w:p>
      <w:pPr>
        <w:spacing w:after="0" w:line="225"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The Compensation Committee approved (and in the case of Mr. Kibsgaard, the independent members of the Board of Directors ratified) the following awards for the NEOs in January 2013, based on review of comparative peer group data presented to the Committee, the highly competitive demand for talent in our industry, the Company’s strong operating performance and other factors as described above. For ease of comparison, the following table also shows the grant values of the NEOs’ 2012 annual long-term incentive compensation awards and the year-over-year percentage change between the two amounts.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Target Number</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Target Value</w:t>
            </w: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Target Value</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Options Granted</w:t>
            </w: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 xml:space="preserve">of PSUs </w:t>
            </w:r>
            <w:r>
              <w:rPr>
                <w:rFonts w:ascii="Arial" w:cs="Arial" w:eastAsia="Arial" w:hAnsi="Arial"/>
                <w:sz w:val="12"/>
                <w:szCs w:val="12"/>
                <w:b w:val="1"/>
                <w:bCs w:val="1"/>
                <w:color w:val="auto"/>
                <w:w w:val="91"/>
              </w:rPr>
              <w:t>(1)</w:t>
            </w: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of 2013 Grants</w:t>
            </w: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of 2012 Grants</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6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231,000</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80,900</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$11,500,000</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$11,000,000</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4.55%</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80,000</w:t>
            </w: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28,100</w:t>
            </w:r>
          </w:p>
        </w:tc>
        <w:tc>
          <w:tcPr>
            <w:tcW w:w="6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$4,000,000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$3,500,000</w:t>
            </w:r>
          </w:p>
        </w:tc>
        <w:tc>
          <w:tcPr>
            <w:tcW w:w="6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r>
              <w:rPr>
                <w:rFonts w:ascii="Arial" w:cs="Arial" w:eastAsia="Arial" w:hAnsi="Arial"/>
                <w:sz w:val="15"/>
                <w:szCs w:val="15"/>
                <w:color w:val="auto"/>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97,000</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33,800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$4,800,000</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$3,500,000</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72,000</w:t>
            </w: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25,300</w:t>
            </w:r>
          </w:p>
        </w:tc>
        <w:tc>
          <w:tcPr>
            <w:tcW w:w="6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$3,600,000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$3,250,000</w:t>
            </w:r>
          </w:p>
        </w:tc>
        <w:tc>
          <w:tcPr>
            <w:tcW w:w="6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10.77%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 Oestdahl</w:t>
            </w:r>
            <w:r>
              <w:rPr>
                <w:rFonts w:ascii="Arial" w:cs="Arial" w:eastAsia="Arial" w:hAnsi="Arial"/>
                <w:sz w:val="15"/>
                <w:szCs w:val="15"/>
                <w:color w:val="auto"/>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72,000</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25,300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$3,600,000</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$3,500,000</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J.-F. Poupeau</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64,000</w:t>
            </w: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22,500</w:t>
            </w:r>
          </w:p>
        </w:tc>
        <w:tc>
          <w:tcPr>
            <w:tcW w:w="6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$3,200,000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$2,900,000</w:t>
            </w:r>
          </w:p>
        </w:tc>
        <w:tc>
          <w:tcPr>
            <w:tcW w:w="6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Juden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54,000</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19,000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$2,700,000</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$2,500,000</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right="60" w:hanging="332"/>
        <w:spacing w:after="0" w:line="29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target PSUs in this table includes only three-year PSUs granted in 2013 and excludes special transitional one- and two-year PSUs granted in 2013, which are described in detail below.</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Each of Mr. Pai and Mr. Oestdahl forfeited the PSUs that were awarded to them as a result of their resignations from their respective executive officer positions.</w:t>
      </w:r>
    </w:p>
    <w:p>
      <w:pPr>
        <w:spacing w:after="0" w:line="268" w:lineRule="exact"/>
        <w:rPr>
          <w:rFonts w:ascii="Arial" w:cs="Arial" w:eastAsia="Arial" w:hAnsi="Arial"/>
          <w:sz w:val="15"/>
          <w:szCs w:val="15"/>
          <w:color w:val="auto"/>
        </w:rPr>
      </w:pPr>
    </w:p>
    <w:p>
      <w:pPr>
        <w:ind w:left="900" w:right="26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Mr. Kibsgaard’s, Mr. Ayat’s and Mr. Juden’s 2013 LTI grants were each (i) slightly above the 75th percentile of the oil industry peer group and (ii) between the 50th and 75th percentile of the general industry peer group;</w:t>
      </w:r>
    </w:p>
    <w:p>
      <w:pPr>
        <w:spacing w:after="0" w:line="197"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Mr. Pai’s 2013 LTI grant was at the 75th percentile of the general industry peer group (there being insufficient data for comparison with the oil industry peer group);</w:t>
      </w:r>
    </w:p>
    <w:p>
      <w:pPr>
        <w:spacing w:after="0" w:line="197" w:lineRule="exact"/>
        <w:rPr>
          <w:rFonts w:ascii="Arial" w:cs="Arial" w:eastAsia="Arial" w:hAnsi="Arial"/>
          <w:sz w:val="18"/>
          <w:szCs w:val="18"/>
          <w:color w:val="auto"/>
        </w:rPr>
      </w:pPr>
    </w:p>
    <w:p>
      <w:pPr>
        <w:ind w:left="900" w:right="42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Mr. Belani’s and Mr. Oestdahl’s 2013 LTI grants were each slightly above the 75th percentile of the general industry peer group (there being insufficient data for comparison with the oil industry peer group);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Mr. Poupeau’s 2013 LTI grant was slightly above the 75th percentile of both the peer groups.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2013 Transition PSU Awards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January 2013, the Compensation Committee also approved special grants to the NEOs of one-year and two-year PSUs to aid in the transition to PSUs, and are equal to the value of the three-year PSU awards described above. The target dollar values set forth below are split equally between the one-year and two-year PSUs, and the total target number of PSUs listed below reflects the total of the one-year and two-year PSUs. The Committee, based on market practice data from Pay Governance, approved the one-time one- and two-year performance grants because, in the initial year of transition to PSUs, the NEOs would be receiving only half of their LTI value (options), while the other half (PSUs) would not pay out, if at all, until the end of a three-year performance period. The Compensation Committee approved these special transition awards for 2013 only and intends to award only three-year PSUs in the future.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7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Target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Value of Grant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PSUs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5,750,000</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80,900</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w w:val="94"/>
              </w:rPr>
              <w:t>2,000,000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28,100</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4"/>
              </w:rPr>
              <w:t>2,400,000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33,800</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w w:val="94"/>
              </w:rPr>
              <w:t>1,800,000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25,300</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 Oestdahl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4"/>
              </w:rPr>
              <w:t>1,800,000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25,300</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J.-F. Poupeau</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w w:val="94"/>
              </w:rPr>
              <w:t>1,600,000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22,500</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Juden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4"/>
              </w:rPr>
              <w:t>1,350,000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240030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3"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number of target PSUs in this table reflects only the special transitional one- and two-year PSUs granted in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PSU Performance Measure and Goals</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Compensation Committee set goals for the 2013 PSUs based on absolute consolidated Return on Capital Employed (“ROCE”) goals for the Company over the applicable performance period. ROCE is a measure of the efficiency of our capital employed. We calculate ROCE as a ratio, the numerator of which is (a) income from continuing operations, excluding charges and credits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after-tax net interest expense, and the denominator of which is</w:t>
      </w:r>
    </w:p>
    <w:p>
      <w:pPr>
        <w:jc w:val="both"/>
        <w:ind w:right="20" w:firstLine="8"/>
        <w:spacing w:after="0" w:line="25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stockholders’ equity, including non-controlling interests (average of beginning and end of each quarter in the year),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net debt (average of beginning and end of each quarter in the year). The Compensation Committee has the discretion to adjust the Company’s income from continuing operations to take into account the effect of externally disclosed, significant impacts or activities that are not representative of underlying business operations, such as divestitures, asset impairments and restructurings. Furthermore, the Committee evaluates, and may adjust for, the effect of acquisitions or divestments on a case-by-case basis for purposes of the ROCE calculation.</w:t>
      </w:r>
    </w:p>
    <w:p>
      <w:pPr>
        <w:spacing w:after="0" w:line="19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selected ROCE because we believe that it is a comprehensive indicator of long-term Company and management performance, as it measures both profitability as well as the efficiency with which we deploy and utilize our capital. Our selection of ROCE as the performance measure for the 2013 PSUs is also consistent with our strategic direction and transformation initiatives. Furthermore, ROCE measures performance in a way that is tracked and understood by investors. The Compensation Committee believes that tying a part of our senior executives’ LTI pay to achievement of challenging ROCE targets will help to increase revenue and improve margins through pricing and continued focus on cost control. We chose an absolute measure rather than a relative one such as total shareholder return and EPS growth due to greater ability of our executives and key employees to directly impact our performance results. Furthermore, the Committee considered the difficulty of finding suitable comparators, insofar as oil and gas E&amp;P companies have a different business model than we do, and because we are much larger than all of our direct oilfield service competitors.</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Vesting of the PSUs is conditioned upon the Company’s achievement of annual pre-determined threshold ROCE of at least 12.5% for the applicable performance period, subject to continued employment. See “Potential Payments Upon Termination or Change in Control for Fiscal Year 2013— Termination of Employment—PSUs”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“Potential Payments Upon Termination or Change in Control for Fiscal Year 2013— Change of Control—PSUs,” beginning on page 63 for more information. The performance periods for the one-year, two-year and three-year PSUs began on January 1, 2013 and end on December 31, 2013, 2014 and 2015, respectively. For the two-year and the three-year PSUs, the Company’s average annual ROCE will be used, calculated as the average ROCE for each calendar year contained in the measurement period.</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number of PSUs that will vest and convert to shares as of the vesting date can range from 0% to 250% of the number of PSUs awarded, depending on our performance during the performance period as illustrated in the following table. At the end of each measurement period, the Compensation Committee will certify the ROCE achieved and will determine the percentage of target shares earned based on the table below. In no event will payout exceed 250%. If the ROCE achieved is less than or equal to 12.5%, no shares will be issued.</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Annual ROCE Achieved</w:t>
            </w:r>
          </w:p>
        </w:tc>
        <w:tc>
          <w:tcPr>
            <w:tcW w:w="4960" w:type="dxa"/>
            <w:vAlign w:val="bottom"/>
            <w:gridSpan w:val="2"/>
            <w:vMerge w:val="restart"/>
          </w:tcPr>
          <w:p>
            <w:pPr>
              <w:jc w:val="center"/>
              <w:ind w:left="3159"/>
              <w:spacing w:after="0"/>
              <w:rPr>
                <w:sz w:val="20"/>
                <w:szCs w:val="20"/>
                <w:color w:val="auto"/>
              </w:rPr>
            </w:pPr>
            <w:r>
              <w:rPr>
                <w:rFonts w:ascii="Arial" w:cs="Arial" w:eastAsia="Arial" w:hAnsi="Arial"/>
                <w:sz w:val="14"/>
                <w:szCs w:val="14"/>
                <w:b w:val="1"/>
                <w:bCs w:val="1"/>
                <w:color w:val="auto"/>
                <w:w w:val="94"/>
              </w:rPr>
              <w:t>% of Target Shares Earned</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4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(Payout %)</w:t>
            </w:r>
          </w:p>
        </w:tc>
        <w:tc>
          <w:tcPr>
            <w:tcW w:w="0" w:type="dxa"/>
            <w:vAlign w:val="bottom"/>
          </w:tcPr>
          <w:p>
            <w:pPr>
              <w:spacing w:after="0"/>
              <w:rPr>
                <w:sz w:val="1"/>
                <w:szCs w:val="1"/>
                <w:color w:val="auto"/>
              </w:rPr>
            </w:pPr>
          </w:p>
        </w:tc>
      </w:tr>
      <w:tr>
        <w:trPr>
          <w:trHeight w:val="150"/>
        </w:trPr>
        <w:tc>
          <w:tcPr>
            <w:tcW w:w="2800" w:type="dxa"/>
            <w:vAlign w:val="bottom"/>
          </w:tcPr>
          <w:p>
            <w:pPr>
              <w:spacing w:after="0"/>
              <w:rPr>
                <w:sz w:val="13"/>
                <w:szCs w:val="13"/>
                <w:color w:val="auto"/>
              </w:rPr>
            </w:pPr>
          </w:p>
        </w:tc>
        <w:tc>
          <w:tcPr>
            <w:tcW w:w="4960" w:type="dxa"/>
            <w:vAlign w:val="bottom"/>
            <w:gridSpan w:val="2"/>
          </w:tcPr>
          <w:p>
            <w:pPr>
              <w:jc w:val="center"/>
              <w:ind w:left="3179"/>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D6D6D6"/>
          </w:tcPr>
          <w:p>
            <w:pPr>
              <w:jc w:val="center"/>
              <w:spacing w:after="0"/>
              <w:rPr>
                <w:sz w:val="20"/>
                <w:szCs w:val="20"/>
                <w:color w:val="auto"/>
              </w:rPr>
            </w:pPr>
            <w:r>
              <w:rPr>
                <w:rFonts w:ascii="Arial" w:cs="Arial" w:eastAsia="Arial" w:hAnsi="Arial"/>
                <w:sz w:val="18"/>
                <w:szCs w:val="18"/>
                <w:color w:val="auto"/>
                <w:w w:val="89"/>
              </w:rPr>
              <w:t>Less than or equal to 12.5%</w:t>
            </w:r>
          </w:p>
        </w:tc>
        <w:tc>
          <w:tcPr>
            <w:tcW w:w="3260" w:type="dxa"/>
            <w:vAlign w:val="bottom"/>
            <w:tcBorders>
              <w:top w:val="single" w:sz="8" w:color="D6D6D6"/>
            </w:tcBorders>
            <w:shd w:val="clear" w:color="auto" w:fill="D6D6D6"/>
          </w:tcPr>
          <w:p>
            <w:pPr>
              <w:spacing w:after="0"/>
              <w:rPr>
                <w:sz w:val="18"/>
                <w:szCs w:val="18"/>
                <w:color w:val="auto"/>
              </w:rPr>
            </w:pPr>
          </w:p>
        </w:tc>
        <w:tc>
          <w:tcPr>
            <w:tcW w:w="1700" w:type="dxa"/>
            <w:vAlign w:val="bottom"/>
            <w:tcBorders>
              <w:top w:val="single" w:sz="8" w:color="auto"/>
            </w:tcBorders>
            <w:shd w:val="clear" w:color="auto" w:fill="D6D6D6"/>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800" w:type="dxa"/>
            <w:vAlign w:val="bottom"/>
          </w:tcPr>
          <w:p>
            <w:pPr>
              <w:jc w:val="center"/>
              <w:spacing w:after="0"/>
              <w:rPr>
                <w:sz w:val="20"/>
                <w:szCs w:val="20"/>
                <w:color w:val="auto"/>
              </w:rPr>
            </w:pPr>
            <w:r>
              <w:rPr>
                <w:rFonts w:ascii="Arial" w:cs="Arial" w:eastAsia="Arial" w:hAnsi="Arial"/>
                <w:sz w:val="18"/>
                <w:szCs w:val="18"/>
                <w:color w:val="auto"/>
                <w:w w:val="95"/>
              </w:rPr>
              <w:t>15% (“Target”)</w:t>
            </w:r>
          </w:p>
        </w:tc>
        <w:tc>
          <w:tcPr>
            <w:tcW w:w="4960" w:type="dxa"/>
            <w:vAlign w:val="bottom"/>
            <w:gridSpan w:val="2"/>
          </w:tcPr>
          <w:p>
            <w:pPr>
              <w:jc w:val="center"/>
              <w:ind w:left="3179"/>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800" w:type="dxa"/>
            <w:vAlign w:val="bottom"/>
            <w:shd w:val="clear" w:color="auto" w:fill="D6D6D6"/>
          </w:tcPr>
          <w:p>
            <w:pPr>
              <w:jc w:val="center"/>
              <w:spacing w:after="0"/>
              <w:rPr>
                <w:sz w:val="20"/>
                <w:szCs w:val="20"/>
                <w:color w:val="auto"/>
              </w:rPr>
            </w:pPr>
            <w:r>
              <w:rPr>
                <w:rFonts w:ascii="Arial" w:cs="Arial" w:eastAsia="Arial" w:hAnsi="Arial"/>
                <w:sz w:val="18"/>
                <w:szCs w:val="18"/>
                <w:color w:val="auto"/>
                <w:w w:val="88"/>
              </w:rPr>
              <w:t>20%</w:t>
            </w:r>
          </w:p>
        </w:tc>
        <w:tc>
          <w:tcPr>
            <w:tcW w:w="4960" w:type="dxa"/>
            <w:vAlign w:val="bottom"/>
            <w:gridSpan w:val="2"/>
            <w:shd w:val="clear" w:color="auto" w:fill="D6D6D6"/>
          </w:tcPr>
          <w:p>
            <w:pPr>
              <w:jc w:val="center"/>
              <w:ind w:left="3179"/>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0"/>
        </w:trPr>
        <w:tc>
          <w:tcPr>
            <w:tcW w:w="2800" w:type="dxa"/>
            <w:vAlign w:val="bottom"/>
          </w:tcPr>
          <w:p>
            <w:pPr>
              <w:jc w:val="center"/>
              <w:spacing w:after="0"/>
              <w:rPr>
                <w:sz w:val="20"/>
                <w:szCs w:val="20"/>
                <w:color w:val="auto"/>
              </w:rPr>
            </w:pPr>
            <w:r>
              <w:rPr>
                <w:rFonts w:ascii="Arial" w:cs="Arial" w:eastAsia="Arial" w:hAnsi="Arial"/>
                <w:sz w:val="18"/>
                <w:szCs w:val="18"/>
                <w:color w:val="auto"/>
                <w:w w:val="89"/>
              </w:rPr>
              <w:t>Greater than or equal to 25%</w:t>
            </w:r>
          </w:p>
        </w:tc>
        <w:tc>
          <w:tcPr>
            <w:tcW w:w="4960" w:type="dxa"/>
            <w:vAlign w:val="bottom"/>
            <w:gridSpan w:val="2"/>
          </w:tcPr>
          <w:p>
            <w:pPr>
              <w:jc w:val="center"/>
              <w:ind w:left="3179"/>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76835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Fractional shares rounded up to the next whole share. Number of shares determined by linear interpolation between performance levels.</w:t>
      </w:r>
    </w:p>
    <w:p>
      <w:pPr>
        <w:spacing w:after="0" w:line="20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Compensation Committee approved the PSU goals at the beginning of 2013 after consideration of the Company’s historical return on capital employed. The Committee also considered our internal forecasts at the time of grant, which indicated that achieving the target level of performance would be difficult but attainable. Our ROCE for 2011 and 2012 were 14.4% and 15.1%, respectively.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2014, the Compensation Committee determined the results of the one-year performance period for the transitional one-year PSUs, relative to the performance criteria established at the beginning of the year. For purposes of calculating our ROCE for 2013, the Committee determined that it was appropriate to exclude the one-time gain and other effects from the OneSubsea transaction, as well as the charges described above in “Annual Cash Incentive Decisions for 2013—EPS Results,” as none of these reflected our ongoing operations. The exclusions of these charges and credits, as well as all effects of the OneSubsea transaction, resulted in a 2013 ROCE achievement of 16.3%, so that our NEOs earned 126% of the target shares under the transitional one-year PSUs.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Awards — Granting Process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Compensation Committee is responsible for granting long-term equity-based compensation under our stock option and omnibus incentive plans. The Committee approves a preliminary budget for equity-based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equity-based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regular Board of Directors and Compensation Committee meeting schedule is set at least a year in advance with Board meetings held quarterly, generally on the third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equity award grant date as the day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Board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Typically, annual grants of equity-based awards to the NEOs and other senior executive officers are made at the January meeting of the Compensation Committee, while such annual grants for the rest of the Company’s eligible employees are made at the April meeting of the Committee. However, specific grants may be made at other regular meetings, to recognize the promotion of an employee, a change in responsibility or a specific achievement. 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17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Beginning in 2014, PSU grants will vest over a three-year performance period. Currently, our stock options vest ratably over five years, except for stock options granted to eligible employees in France, as these options have four-year cliff vesting (meaning that all options vest at a single point in time). Beginning in April 2014, all our stock options will vest ratably over five years. The Board and the Compensation Committee have the discretion to grant equity awards with different vesting schedules as they deem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Factors in Understanding Schlumberger’s Use of 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equity incentive plans do not permit the following:</w:t>
      </w:r>
    </w:p>
    <w:p>
      <w:pPr>
        <w:spacing w:after="0" w:line="25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The Board of Directors, upon recommendation of the Nominating and Governance Committee and the Compensation Committee, adopted revised executive stock ownership guidelines in 2011 applicable to executive officers and other key position holders. Senior executives are required to hold the numbers of shares equal to the multiple of base salary set forth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7560" w:type="dxa"/>
            <w:vAlign w:val="bottom"/>
          </w:tcPr>
          <w:p>
            <w:pPr>
              <w:spacing w:after="0"/>
              <w:rPr>
                <w:sz w:val="16"/>
                <w:szCs w:val="16"/>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Stock Ownership Multiple</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6x base salary</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3x base salary</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Officers (non-EVP)</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2x base salary</w:t>
            </w: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1x base salary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All executives subject to the revised guidelines must retain 50% of net shares acquired upon the exercise of stock options and the vesting of PSUs, after payment of applicable taxes, until they achieve the required ownership level. The guidelines provide that executives have five years to comply with the ownership requirements. After the five-year period, executives who have not met their minimum stock ownership requirement must retain 100% of the net shares acquired upon stock option exercises and any PSU vesting until they achieve their required ownership level.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for the purpose of these guidelines does not include shares underlying vested or unvested stock options, unvested RSUs or unvested PSUs.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that has a similar economic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8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Practices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equity incentive compensation or, once his or her work time is reduced, for an annual cash incentive.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 seeks to provide benefit plans, such as medical coverage and life and disability insurance, on a country-by-country basis in line with market conditions. Where the local practice is considered to be less than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Schlumberger provides only minimum perquisites to its executive officers, which (as to the NEOs) have been identified in the narrative notes to the Summary Compensation Table. The same perquisites are generally available to all professional-level employees. For example, relocation assistance is provided to all employees on a Company-wide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Our executive officers do not have employment, severance or change-in-control agreements,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“Say-on-Pay” Advisory Vote to Approve Executive Compensation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Schlumberger provided stockholders a “say-on-pay” advisory vote to approve its executive compensation in April 2013. At Schlumberger’s 2013 annual general meeting of stockholders, stockholders expressed substantial support for the compensation of its NEOs, with approximately 96% of the votes cast for approval of the “say-on-pay” advisory vote. The Compensation Committee carefully evaluated the results of the 2013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Treatment</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covered employee. The Company’s equity incentive plans are intended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provide stock options that qualify as performance-based compensation for purposes of Section 162(m) so that stock options are not expected to be subject to the $1 million limitation. PSUs are also designed to meet the requirements for qualified performance-based compensation exempt from the deduction limitations of Section 162(m).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Accordingly, the Compensation Committee retains the discretion to pay compensation that is subject to the $1,000,000 deductibility limit.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 however, there can be no guarantee that the programs and awards are so exempt or compliant.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80"/>
          </w:cols>
          <w:pgMar w:left="240" w:top="459" w:right="379" w:bottom="1440" w:gutter="0" w:footer="0" w:header="0"/>
        </w:sectPr>
      </w:pP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Tony Isaac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Adrian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Lajous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Lubna 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Olayan</w:t>
      </w:r>
    </w:p>
    <w:p>
      <w:pPr>
        <w:spacing w:after="0" w:line="157" w:lineRule="exact"/>
        <w:rPr>
          <w:sz w:val="20"/>
          <w:szCs w:val="20"/>
          <w:color w:val="auto"/>
        </w:rPr>
      </w:pPr>
    </w:p>
    <w:p>
      <w:pPr>
        <w:sectPr>
          <w:pgSz w:w="11900" w:h="16838" w:orient="portrait"/>
          <w:cols w:equalWidth="0" w:num="2">
            <w:col w:w="8160" w:space="720"/>
            <w:col w:w="2400"/>
          </w:cols>
          <w:pgMar w:left="240" w:top="459"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80"/>
          </w:cols>
          <w:pgMar w:left="240" w:top="459" w:right="3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Summary Compensation Table</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sets forth the compensation paid by the Company and its subsidiaries for the fiscal year ended December 31, 2013 to the Chief Executive Officer, the Chief Financial Officer, the next three most highly compensated executive officers who were serving as executive officers as of December 31, 2013, and two additional individuals for whom disclosure would have been provided but for the fact that the individual was not serving as an executive officer as of December 31, 2013 (each an “NEO” or a “named executive officer”).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Change in</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Pension Value &amp;</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continue"/>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Salary</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2"/>
              </w:rPr>
              <w:t>Bonus</w:t>
            </w: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Deferred</w:t>
            </w:r>
          </w:p>
        </w:tc>
        <w:tc>
          <w:tcPr>
            <w:tcW w:w="13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7"/>
                <w:szCs w:val="7"/>
                <w:color w:val="auto"/>
              </w:rPr>
              <w:t>(6)</w:t>
            </w: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7"/>
                <w:szCs w:val="7"/>
                <w:color w:val="auto"/>
              </w:rPr>
              <w:t>(6)</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2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Earnings($)</w:t>
            </w:r>
            <w:r>
              <w:rPr>
                <w:rFonts w:ascii="Arial" w:cs="Arial" w:eastAsia="Arial" w:hAnsi="Arial"/>
                <w:sz w:val="12"/>
                <w:szCs w:val="12"/>
                <w:b w:val="1"/>
                <w:bCs w:val="1"/>
                <w:color w:val="auto"/>
                <w:w w:val="95"/>
              </w:rPr>
              <w:t>(7)</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(8)</w:t>
            </w:r>
          </w:p>
        </w:tc>
        <w:tc>
          <w:tcPr>
            <w:tcW w:w="4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 Kibsgaard</w:t>
            </w:r>
            <w:r>
              <w:rPr>
                <w:rFonts w:ascii="Arial" w:cs="Arial" w:eastAsia="Arial" w:hAnsi="Arial"/>
                <w:sz w:val="12"/>
                <w:szCs w:val="12"/>
                <w:color w:val="auto"/>
              </w:rPr>
              <w:t>(1)</w:t>
            </w:r>
          </w:p>
        </w:tc>
        <w:tc>
          <w:tcPr>
            <w:tcW w:w="4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83"/>
              </w:rPr>
              <w:t>2013</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1,700,000</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4"/>
              </w:rPr>
              <w:t>11,399,619</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5,740,350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3,056,800</w:t>
            </w:r>
          </w:p>
        </w:tc>
        <w:tc>
          <w:tcPr>
            <w:tcW w:w="14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779,191</w:t>
            </w:r>
          </w:p>
        </w:tc>
        <w:tc>
          <w:tcPr>
            <w:tcW w:w="13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161,580</w:t>
            </w:r>
            <w:r>
              <w:rPr>
                <w:rFonts w:ascii="Arial" w:cs="Arial" w:eastAsia="Arial" w:hAnsi="Arial"/>
                <w:sz w:val="12"/>
                <w:szCs w:val="12"/>
                <w:color w:val="auto"/>
              </w:rPr>
              <w:t>(9)</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4"/>
              </w:rPr>
              <w:t>22,837,540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2012</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1,700,000</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10,879,440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2,295,000</w:t>
            </w:r>
          </w:p>
        </w:tc>
        <w:tc>
          <w:tcPr>
            <w:tcW w:w="14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831,932</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104,283</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15,810,655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1,425,117</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8,488,590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1,690,300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381,835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251,992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12,237,834</w:t>
            </w:r>
          </w:p>
        </w:tc>
        <w:tc>
          <w:tcPr>
            <w:tcW w:w="0" w:type="dxa"/>
            <w:vAlign w:val="bottom"/>
          </w:tcPr>
          <w:p>
            <w:pPr>
              <w:spacing w:after="0"/>
              <w:rPr>
                <w:sz w:val="1"/>
                <w:szCs w:val="1"/>
                <w:color w:val="auto"/>
              </w:rPr>
            </w:pPr>
          </w:p>
        </w:tc>
      </w:tr>
      <w:tr>
        <w:trPr>
          <w:trHeight w:val="197"/>
        </w:trPr>
        <w:tc>
          <w:tcPr>
            <w:tcW w:w="2800" w:type="dxa"/>
            <w:vAlign w:val="bottom"/>
            <w:gridSpan w:val="2"/>
          </w:tcPr>
          <w:p>
            <w:pPr>
              <w:spacing w:after="0"/>
              <w:rPr>
                <w:sz w:val="20"/>
                <w:szCs w:val="20"/>
                <w:color w:val="auto"/>
              </w:rPr>
            </w:pPr>
            <w:r>
              <w:rPr>
                <w:rFonts w:ascii="Arial" w:cs="Arial" w:eastAsia="Arial" w:hAnsi="Arial"/>
                <w:sz w:val="14"/>
                <w:szCs w:val="14"/>
                <w:color w:val="auto"/>
              </w:rPr>
              <w:t>S. Ayat</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2013</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1,000,000</w:t>
            </w:r>
          </w:p>
        </w:tc>
        <w:tc>
          <w:tcPr>
            <w:tcW w:w="24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3,959,571</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1,988,000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1,199,750</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406,247</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112,800</w:t>
            </w:r>
            <w:r>
              <w:rPr>
                <w:rFonts w:ascii="Arial" w:cs="Arial" w:eastAsia="Arial" w:hAnsi="Arial"/>
                <w:sz w:val="12"/>
                <w:szCs w:val="12"/>
                <w:color w:val="auto"/>
              </w:rPr>
              <w:t>(10)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8,666,368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w w:val="94"/>
              </w:rPr>
              <w:t>Executive Vice President and Chief Financial</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2012</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24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3,474,320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880,000</w:t>
            </w:r>
          </w:p>
        </w:tc>
        <w:tc>
          <w:tcPr>
            <w:tcW w:w="14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747,789</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65,043</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6,167,152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auto"/>
              </w:rPr>
              <w:t>Officer</w:t>
            </w:r>
          </w:p>
        </w:tc>
        <w:tc>
          <w:tcPr>
            <w:tcW w:w="720" w:type="dxa"/>
            <w:vAlign w:val="bottom"/>
            <w:gridSpan w:val="3"/>
          </w:tcPr>
          <w:p>
            <w:pPr>
              <w:ind w:left="200"/>
              <w:spacing w:after="0"/>
              <w:rPr>
                <w:sz w:val="20"/>
                <w:szCs w:val="20"/>
                <w:color w:val="auto"/>
              </w:rPr>
            </w:pPr>
            <w:r>
              <w:rPr>
                <w:rFonts w:ascii="Arial" w:cs="Arial" w:eastAsia="Arial" w:hAnsi="Arial"/>
                <w:sz w:val="14"/>
                <w:szCs w:val="14"/>
                <w:color w:val="auto"/>
              </w:rPr>
              <w:t>2011</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941,667</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5,908,840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918,100</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628,901</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100,535</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8,498,043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 Pai</w:t>
            </w:r>
            <w:r>
              <w:rPr>
                <w:rFonts w:ascii="Arial" w:cs="Arial" w:eastAsia="Arial" w:hAnsi="Arial"/>
                <w:sz w:val="12"/>
                <w:szCs w:val="12"/>
                <w:color w:val="auto"/>
              </w:rPr>
              <w:t>(2)</w:t>
            </w:r>
          </w:p>
        </w:tc>
        <w:tc>
          <w:tcPr>
            <w:tcW w:w="4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83"/>
              </w:rPr>
              <w:t>2013</w:t>
            </w:r>
          </w:p>
        </w:tc>
        <w:tc>
          <w:tcPr>
            <w:tcW w:w="2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518,765</w:t>
            </w: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4,762,758</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2,328,000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w:t>
            </w:r>
          </w:p>
        </w:tc>
        <w:tc>
          <w:tcPr>
            <w:tcW w:w="14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0</w:t>
            </w:r>
            <w:r>
              <w:rPr>
                <w:rFonts w:ascii="Arial" w:cs="Arial" w:eastAsia="Arial" w:hAnsi="Arial"/>
                <w:sz w:val="12"/>
                <w:szCs w:val="12"/>
                <w:color w:val="auto"/>
              </w:rPr>
              <w:t>(11)</w:t>
            </w:r>
          </w:p>
        </w:tc>
        <w:tc>
          <w:tcPr>
            <w:tcW w:w="13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340,021</w:t>
            </w:r>
            <w:r>
              <w:rPr>
                <w:rFonts w:ascii="Arial" w:cs="Arial" w:eastAsia="Arial" w:hAnsi="Arial"/>
                <w:sz w:val="12"/>
                <w:szCs w:val="12"/>
                <w:color w:val="auto"/>
              </w:rPr>
              <w:t>(12)</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7,949,544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Advisor to the Chief Executive Officer</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2012</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900,911</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3,425,000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765,766</w:t>
            </w:r>
          </w:p>
        </w:tc>
        <w:tc>
          <w:tcPr>
            <w:tcW w:w="14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1,127,217</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98,726</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6,317,620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967,382</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2,698,960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753,007</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680,742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133,850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5,233,941</w:t>
            </w:r>
          </w:p>
        </w:tc>
        <w:tc>
          <w:tcPr>
            <w:tcW w:w="0" w:type="dxa"/>
            <w:vAlign w:val="bottom"/>
          </w:tcPr>
          <w:p>
            <w:pPr>
              <w:spacing w:after="0"/>
              <w:rPr>
                <w:sz w:val="1"/>
                <w:szCs w:val="1"/>
                <w:color w:val="auto"/>
              </w:rPr>
            </w:pPr>
          </w:p>
        </w:tc>
      </w:tr>
      <w:tr>
        <w:trPr>
          <w:trHeight w:val="197"/>
        </w:trPr>
        <w:tc>
          <w:tcPr>
            <w:tcW w:w="2800" w:type="dxa"/>
            <w:vAlign w:val="bottom"/>
            <w:gridSpan w:val="2"/>
          </w:tcPr>
          <w:p>
            <w:pPr>
              <w:spacing w:after="0"/>
              <w:rPr>
                <w:sz w:val="20"/>
                <w:szCs w:val="20"/>
                <w:color w:val="auto"/>
              </w:rPr>
            </w:pPr>
            <w:r>
              <w:rPr>
                <w:rFonts w:ascii="Arial" w:cs="Arial" w:eastAsia="Arial" w:hAnsi="Arial"/>
                <w:sz w:val="14"/>
                <w:szCs w:val="14"/>
                <w:color w:val="auto"/>
              </w:rPr>
              <w:t>A. Belani</w:t>
            </w:r>
            <w:r>
              <w:rPr>
                <w:rFonts w:ascii="Arial" w:cs="Arial" w:eastAsia="Arial" w:hAnsi="Arial"/>
                <w:sz w:val="12"/>
                <w:szCs w:val="12"/>
                <w:color w:val="auto"/>
              </w:rPr>
              <w:t>(3)</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2013</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900,000</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3,565,023</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1,789,200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1,081,600</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512,244</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100,170</w:t>
            </w:r>
            <w:r>
              <w:rPr>
                <w:rFonts w:ascii="Arial" w:cs="Arial" w:eastAsia="Arial" w:hAnsi="Arial"/>
                <w:sz w:val="12"/>
                <w:szCs w:val="12"/>
                <w:color w:val="auto"/>
              </w:rPr>
              <w:t>(13)</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7,948,237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Executive Vice President, Technology</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2012</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900,000</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3,220,720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769,500</w:t>
            </w:r>
          </w:p>
        </w:tc>
        <w:tc>
          <w:tcPr>
            <w:tcW w:w="14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837,595</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107,193</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5,835,008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color w:val="auto"/>
              </w:rPr>
              <w:t>2011</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886,661</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4,054,470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736,600</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606,705</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287,557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6,571,993</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278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 Oestdahl</w:t>
            </w:r>
            <w:r>
              <w:rPr>
                <w:rFonts w:ascii="Arial" w:cs="Arial" w:eastAsia="Arial" w:hAnsi="Arial"/>
                <w:sz w:val="12"/>
                <w:szCs w:val="12"/>
                <w:color w:val="auto"/>
              </w:rPr>
              <w:t>(4)</w:t>
            </w:r>
          </w:p>
        </w:tc>
        <w:tc>
          <w:tcPr>
            <w:tcW w:w="4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83"/>
              </w:rPr>
              <w:t>2013</w:t>
            </w:r>
          </w:p>
        </w:tc>
        <w:tc>
          <w:tcPr>
            <w:tcW w:w="2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816,521</w:t>
            </w: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3,565,023</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1,789,200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0</w:t>
            </w:r>
          </w:p>
        </w:tc>
        <w:tc>
          <w:tcPr>
            <w:tcW w:w="14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0</w:t>
            </w:r>
            <w:r>
              <w:rPr>
                <w:rFonts w:ascii="Arial" w:cs="Arial" w:eastAsia="Arial" w:hAnsi="Arial"/>
                <w:sz w:val="12"/>
                <w:szCs w:val="12"/>
                <w:color w:val="auto"/>
              </w:rPr>
              <w:t>(14)</w:t>
            </w:r>
          </w:p>
        </w:tc>
        <w:tc>
          <w:tcPr>
            <w:tcW w:w="13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188,657</w:t>
            </w:r>
            <w:r>
              <w:rPr>
                <w:rFonts w:ascii="Arial" w:cs="Arial" w:eastAsia="Arial" w:hAnsi="Arial"/>
                <w:sz w:val="12"/>
                <w:szCs w:val="12"/>
                <w:color w:val="auto"/>
              </w:rPr>
              <w:t>(15)</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6,359,401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Advisor to the Chief Executive Officer</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2012</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823,681</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3,474,320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716,602</w:t>
            </w:r>
          </w:p>
        </w:tc>
        <w:tc>
          <w:tcPr>
            <w:tcW w:w="14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363,391</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159,421</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5,537,415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875,411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2,256,800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682,378</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409,173</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429,285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4,653,047</w:t>
            </w:r>
          </w:p>
        </w:tc>
        <w:tc>
          <w:tcPr>
            <w:tcW w:w="0" w:type="dxa"/>
            <w:vAlign w:val="bottom"/>
          </w:tcPr>
          <w:p>
            <w:pPr>
              <w:spacing w:after="0"/>
              <w:rPr>
                <w:sz w:val="1"/>
                <w:szCs w:val="1"/>
                <w:color w:val="auto"/>
              </w:rPr>
            </w:pPr>
          </w:p>
        </w:tc>
      </w:tr>
      <w:tr>
        <w:trPr>
          <w:trHeight w:val="197"/>
        </w:trPr>
        <w:tc>
          <w:tcPr>
            <w:tcW w:w="2800" w:type="dxa"/>
            <w:vAlign w:val="bottom"/>
            <w:gridSpan w:val="2"/>
          </w:tcPr>
          <w:p>
            <w:pPr>
              <w:spacing w:after="0"/>
              <w:rPr>
                <w:sz w:val="20"/>
                <w:szCs w:val="20"/>
                <w:color w:val="auto"/>
              </w:rPr>
            </w:pPr>
            <w:r>
              <w:rPr>
                <w:rFonts w:ascii="Arial" w:cs="Arial" w:eastAsia="Arial" w:hAnsi="Arial"/>
                <w:sz w:val="14"/>
                <w:szCs w:val="14"/>
                <w:color w:val="auto"/>
              </w:rPr>
              <w:t>J.F. Poupeau</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2013</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727,000</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3,170,475</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1,590,400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858,400</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336,108</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76,482</w:t>
            </w:r>
            <w:r>
              <w:rPr>
                <w:rFonts w:ascii="Arial" w:cs="Arial" w:eastAsia="Arial" w:hAnsi="Arial"/>
                <w:sz w:val="12"/>
                <w:szCs w:val="12"/>
                <w:color w:val="auto"/>
              </w:rPr>
              <w:t>(16)</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6,758,865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Executive Vice President, Corporate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auto"/>
              </w:rPr>
              <w:t>Development and Communication</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278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Juden</w:t>
            </w:r>
          </w:p>
        </w:tc>
        <w:tc>
          <w:tcPr>
            <w:tcW w:w="4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83"/>
              </w:rPr>
              <w:t>2013</w:t>
            </w:r>
          </w:p>
        </w:tc>
        <w:tc>
          <w:tcPr>
            <w:tcW w:w="2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750,000</w:t>
            </w: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2,677,290</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1,341,900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664,750</w:t>
            </w:r>
          </w:p>
        </w:tc>
        <w:tc>
          <w:tcPr>
            <w:tcW w:w="14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189,624</w:t>
            </w:r>
          </w:p>
        </w:tc>
        <w:tc>
          <w:tcPr>
            <w:tcW w:w="13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74,196</w:t>
            </w:r>
            <w:r>
              <w:rPr>
                <w:rFonts w:ascii="Arial" w:cs="Arial" w:eastAsia="Arial" w:hAnsi="Arial"/>
                <w:sz w:val="12"/>
                <w:szCs w:val="12"/>
                <w:color w:val="auto"/>
              </w:rPr>
              <w:t>(17)</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5,697,760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Secretary and General Counsel</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20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Kibsgaard was paid in Euros for part of 2011. For purposes of this Summary Compensation Table, such compensation has been determined using the 2011 full-year average exchange rate of 1 U.S. Dollar = 0.715 Euros.</w:t>
      </w:r>
    </w:p>
    <w:p>
      <w:pPr>
        <w:spacing w:after="0" w:line="2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Pai, who served as Executive Vice President, Operations until he assumed the position of Advisor to the Chief Executive Officer effective May 8, 2013, was paid in Euros. The “Stock Awards” column for Mr. Pai reflects the grant date fair value of 67,600 PSUs issued to him in January 2013 but that he forfeited in connection with the assumption of his advisory position. For purposes of this Summary Compensation Table, compensation has been determined using 2013, 2012, and 2011 average exchange rates of 1 U.S. Dollar = 0.755 Euros, 1 U.S. Dollar = 0.777 Euros, and 1 U.S. Dollar = 0.715 Euros, respectively. In connection with Mr. Pai’s assumption of his new advisory position, we entered into an employment agreement with him. For information regarding the employment agreement governing Mr. Pai’s current position, see “Agreements with Former Executive Officers” in the narrative section of this table.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Belani was paid in Euros for part of 2011. For purposes of this Summary Compensation Table, such compensation has been determined using the 2011 full-year average exchange rate of 1 U.S. Dollar = 0.715 Euros.</w:t>
      </w:r>
    </w:p>
    <w:p>
      <w:pPr>
        <w:spacing w:after="0" w:line="21" w:lineRule="exact"/>
        <w:rPr>
          <w:rFonts w:ascii="Arial" w:cs="Arial" w:eastAsia="Arial" w:hAnsi="Arial"/>
          <w:sz w:val="18"/>
          <w:szCs w:val="18"/>
          <w:color w:val="auto"/>
        </w:rPr>
      </w:pPr>
    </w:p>
    <w:p>
      <w:pPr>
        <w:ind w:left="460" w:right="80" w:hanging="452"/>
        <w:spacing w:after="0" w:line="289"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Oestdahl, who served as Executive Vice President Shared Services, Infrastructure and Distribution until he assumed the position of Advisor to the Chief Executive Officer effective February 11, 2013, was (i) paid in Norwegian Kronor for 10 months of 2013; (ii) paid in Euros for all of 2012; (iii) paid in Euros for 11 months in 2011; and (iv) paid in Norwegian Kronor for one month in 2011. The “Stock Awards” column for Mr. Oestdahl reflects the grant date fair value of 50,600 PSUs issued to him in January 2013 but that he forfeited in connection with the assumption of his advisory position. For purposes of this Summary Compensation Table, compensation has been determined using (A) the 2013, 2012, and 2011 full-year average exchange rates of 1 U.S. Dollar = 0.755 Euros, 1 U.S. Dollar = 0.777 Euros and 1 U.S. Dollar = 0.715 Euros, respectively, and (B) the 2013 and 2011 full-year average exchange rates of 1 U.S. Dollar = 5.868 Kronor and 1 U.S. Dollar = 5.579 Kronor, respectively. In connection with Mr. Oestdahl’s assumption of his new advisory position, we entered into an employment agreement with him. For information regarding the employment agreement governing Mr. Oestdahl’s current position, see “Agreements with Former Executive Officers” in the narrative section of this table.</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cash incentive paid to Schlumberger’s NEOs is included in the column “Non-Equity Incentive Plan Compensation.”</w:t>
      </w:r>
    </w:p>
    <w:p>
      <w:pPr>
        <w:spacing w:after="0" w:line="76" w:lineRule="exact"/>
        <w:rPr>
          <w:rFonts w:ascii="Arial" w:cs="Arial" w:eastAsia="Arial" w:hAnsi="Arial"/>
          <w:sz w:val="18"/>
          <w:szCs w:val="18"/>
          <w:color w:val="auto"/>
        </w:rPr>
      </w:pPr>
    </w:p>
    <w:p>
      <w:pPr>
        <w:ind w:left="460" w:hanging="452"/>
        <w:spacing w:after="0" w:line="270"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amounts reported for 2013 reflect the introduction of PSUs in January 2013 and a reduction in the amount of stock options granted. Each amount reflected in the “Stock Award” column is the aggregate grant date fair value for standard three-year PSUs at target granted in January 2013, as well as for the transitional one- and two-year PSUs granted in connection with introduction of the PSU program. Each amount reflects an accounting expense and does not correspond to actual value that may be realized by an NEO in the future. As stated above in footnotes 2 and 4 to this table, Messrs. Pai and Oestdahl each forfeited the PSUs awarded to them in January 2013. The number of PSUs granted in 2013 to each NEO is provided in the Grants of Plan-Based Awards for Fiscal Year 2013 table on page 53. The grant date fair value of these awards is calculated in accordance with Financial Accounting Standards Board Accounting Standards Codification Topic 718, Compensation—Stock Compensation (ASC Topic 718), as described in Note 13, “Stock-based Compensation Plans— Restricted Stock,” to the Consolidated Financial Statements contained in our Annual Report on Form 10-K for the year ended December 31, 2013.</w:t>
      </w:r>
    </w:p>
    <w:p>
      <w:pPr>
        <w:spacing w:after="0" w:line="15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value of the 2013 PSUs at the grant date, assuming achievement of the maximum performance level of 250%, would be: Mr. Kibsgaard —</w:t>
      </w:r>
    </w:p>
    <w:p>
      <w:pPr>
        <w:spacing w:after="0" w:line="34" w:lineRule="exact"/>
        <w:rPr>
          <w:rFonts w:ascii="Arial" w:cs="Arial" w:eastAsia="Arial" w:hAnsi="Arial"/>
          <w:sz w:val="17"/>
          <w:szCs w:val="17"/>
          <w:color w:val="auto"/>
        </w:rPr>
      </w:pPr>
    </w:p>
    <w:p>
      <w:pPr>
        <w:ind w:left="460" w:right="240"/>
        <w:spacing w:after="0" w:line="261" w:lineRule="auto"/>
        <w:rPr>
          <w:rFonts w:ascii="Arial" w:cs="Arial" w:eastAsia="Arial" w:hAnsi="Arial"/>
          <w:sz w:val="17"/>
          <w:szCs w:val="17"/>
          <w:color w:val="auto"/>
        </w:rPr>
      </w:pPr>
      <w:r>
        <w:rPr>
          <w:rFonts w:ascii="Arial" w:cs="Arial" w:eastAsia="Arial" w:hAnsi="Arial"/>
          <w:sz w:val="18"/>
          <w:szCs w:val="18"/>
          <w:color w:val="auto"/>
        </w:rPr>
        <w:t>$28,499,048; Mr. Ayat — $9,898,928; Mr. Pai — $11,906,895; Mr. Belani — $8,912,558; Mr. Oestdahl — $8,912,558; Mr. Poupeau — $7,926,188; and Mr. Juden — $6,693,225.</w:t>
      </w:r>
    </w:p>
    <w:p>
      <w:pPr>
        <w:spacing w:after="0" w:line="143" w:lineRule="exact"/>
        <w:rPr>
          <w:rFonts w:ascii="Arial" w:cs="Arial" w:eastAsia="Arial" w:hAnsi="Arial"/>
          <w:sz w:val="17"/>
          <w:szCs w:val="17"/>
          <w:color w:val="auto"/>
        </w:rPr>
      </w:pPr>
    </w:p>
    <w:p>
      <w:pPr>
        <w:ind w:left="460" w:right="340"/>
        <w:spacing w:after="0" w:line="277" w:lineRule="auto"/>
        <w:rPr>
          <w:rFonts w:ascii="Arial" w:cs="Arial" w:eastAsia="Arial" w:hAnsi="Arial"/>
          <w:sz w:val="17"/>
          <w:szCs w:val="17"/>
          <w:color w:val="auto"/>
        </w:rPr>
      </w:pPr>
      <w:r>
        <w:rPr>
          <w:rFonts w:ascii="Arial" w:cs="Arial" w:eastAsia="Arial" w:hAnsi="Arial"/>
          <w:sz w:val="18"/>
          <w:szCs w:val="18"/>
          <w:color w:val="auto"/>
        </w:rPr>
        <w:t>The NEOs may never realize any value from the PSUs and, to the extent that they do, the amounts realized may have no correlation to the amounts reported above.</w:t>
      </w:r>
    </w:p>
    <w:p>
      <w:pPr>
        <w:spacing w:after="0" w:line="129" w:lineRule="exact"/>
        <w:rPr>
          <w:rFonts w:ascii="Arial" w:cs="Arial" w:eastAsia="Arial" w:hAnsi="Arial"/>
          <w:sz w:val="17"/>
          <w:szCs w:val="17"/>
          <w:color w:val="auto"/>
        </w:rPr>
      </w:pPr>
    </w:p>
    <w:p>
      <w:pPr>
        <w:ind w:left="460" w:right="160"/>
        <w:spacing w:after="0" w:line="257" w:lineRule="auto"/>
        <w:rPr>
          <w:rFonts w:ascii="Arial" w:cs="Arial" w:eastAsia="Arial" w:hAnsi="Arial"/>
          <w:sz w:val="17"/>
          <w:szCs w:val="17"/>
          <w:color w:val="auto"/>
        </w:rPr>
      </w:pPr>
      <w:r>
        <w:rPr>
          <w:rFonts w:ascii="Arial" w:cs="Arial" w:eastAsia="Arial" w:hAnsi="Arial"/>
          <w:sz w:val="18"/>
          <w:szCs w:val="18"/>
          <w:color w:val="auto"/>
        </w:rPr>
        <w:t>The amount reflected in the “Options Award” column is the aggregate grant date fair value for option grants in 2013, computed in accordance with ASC Topic 718. This amount reflects an accounting expense and does not correspond to actual value that may be realized by the NEOs in the future. The number of options granted in 2013 to each NEO is provided in the Grants of Plan-Based Awards for Fiscal Year 2013 table on page 53. The fair value of each grant is established on the date of grant using the Black-Scholes option-pricing model with the following assumptions for the grant date indicated.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20" w:type="dxa"/>
            <w:vAlign w:val="bottom"/>
            <w:gridSpan w:val="4"/>
          </w:tcPr>
          <w:p>
            <w:pPr>
              <w:ind w:left="380"/>
              <w:spacing w:after="0"/>
              <w:rPr>
                <w:sz w:val="20"/>
                <w:szCs w:val="20"/>
                <w:color w:val="auto"/>
              </w:rPr>
            </w:pPr>
            <w:r>
              <w:rPr>
                <w:rFonts w:ascii="Arial" w:cs="Arial" w:eastAsia="Arial" w:hAnsi="Arial"/>
                <w:sz w:val="14"/>
                <w:szCs w:val="14"/>
                <w:b w:val="1"/>
                <w:bCs w:val="1"/>
                <w:color w:val="auto"/>
              </w:rPr>
              <w:t>Stock Option Grant Date</w:t>
            </w:r>
          </w:p>
        </w:tc>
      </w:tr>
      <w:tr>
        <w:trPr>
          <w:trHeight w:val="119"/>
        </w:trPr>
        <w:tc>
          <w:tcPr>
            <w:tcW w:w="2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1/17/2013</w:t>
            </w:r>
          </w:p>
        </w:tc>
        <w:tc>
          <w:tcPr>
            <w:tcW w:w="6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1/17/2013</w:t>
            </w:r>
          </w:p>
        </w:tc>
        <w:tc>
          <w:tcPr>
            <w:tcW w:w="120" w:type="dxa"/>
            <w:vAlign w:val="bottom"/>
          </w:tcPr>
          <w:p>
            <w:pPr>
              <w:spacing w:after="0"/>
              <w:rPr>
                <w:sz w:val="10"/>
                <w:szCs w:val="10"/>
                <w:color w:val="auto"/>
              </w:rPr>
            </w:pPr>
          </w:p>
        </w:tc>
      </w:tr>
      <w:tr>
        <w:trPr>
          <w:trHeight w:val="149"/>
        </w:trPr>
        <w:tc>
          <w:tcPr>
            <w:tcW w:w="2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(5-year</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(4-year</w:t>
            </w:r>
          </w:p>
        </w:tc>
      </w:tr>
      <w:tr>
        <w:trPr>
          <w:trHeight w:val="171"/>
        </w:trPr>
        <w:tc>
          <w:tcPr>
            <w:tcW w:w="2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vest options)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vest options)</w:t>
            </w: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Expected option life</w:t>
            </w:r>
          </w:p>
        </w:tc>
        <w:tc>
          <w:tcPr>
            <w:tcW w:w="266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7.0 years</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w w:val="99"/>
              </w:rPr>
              <w:t>6.5 years</w:t>
            </w:r>
          </w:p>
        </w:tc>
      </w:tr>
      <w:tr>
        <w:trPr>
          <w:trHeight w:val="350"/>
        </w:trPr>
        <w:tc>
          <w:tcPr>
            <w:tcW w:w="2680" w:type="dxa"/>
            <w:vAlign w:val="bottom"/>
          </w:tcPr>
          <w:p>
            <w:pPr>
              <w:spacing w:after="0"/>
              <w:rPr>
                <w:sz w:val="24"/>
                <w:szCs w:val="24"/>
                <w:color w:val="auto"/>
              </w:rPr>
            </w:pPr>
          </w:p>
        </w:tc>
        <w:tc>
          <w:tcPr>
            <w:tcW w:w="2660" w:type="dxa"/>
            <w:vAlign w:val="bottom"/>
          </w:tcPr>
          <w:p>
            <w:pPr>
              <w:jc w:val="right"/>
              <w:ind w:right="1290"/>
              <w:spacing w:after="0"/>
              <w:rPr>
                <w:sz w:val="20"/>
                <w:szCs w:val="20"/>
                <w:color w:val="auto"/>
              </w:rPr>
            </w:pPr>
            <w:r>
              <w:rPr>
                <w:rFonts w:ascii="Arial" w:cs="Arial" w:eastAsia="Arial" w:hAnsi="Arial"/>
                <w:sz w:val="18"/>
                <w:szCs w:val="18"/>
                <w:color w:val="auto"/>
              </w:rPr>
              <w:t>49</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The NEOs may never realize any value from these stock options and, to the extent that they do, the amounts realized may have no correlation to the amounts reported above.</w:t>
      </w:r>
    </w:p>
    <w:p>
      <w:pPr>
        <w:spacing w:after="0" w:line="197" w:lineRule="exact"/>
        <w:rPr>
          <w:sz w:val="20"/>
          <w:szCs w:val="20"/>
          <w:color w:val="auto"/>
        </w:rPr>
      </w:pPr>
    </w:p>
    <w:p>
      <w:pPr>
        <w:jc w:val="both"/>
        <w:ind w:left="460" w:hanging="452"/>
        <w:spacing w:after="0" w:line="30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changes in pension value reported in this column represent the increase in the actuarial present value of the named executive officer’s accumulated benefit under all benefit and actuarial pension plans. This increase in present value is not a current cash payment. It represents the increase in the value of the named executive officers’ pensions, which are only paid after retirement. There are no nonqualified deferred compensation earnings reflected in this column because no NEO received above-market or preferential earnings on such compensation during 2013, 2012 or 2011.</w:t>
      </w:r>
    </w:p>
    <w:p>
      <w:pPr>
        <w:spacing w:after="0" w:line="5"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and the accompanying footnotes are generally available to all of the Company’s exempt employees. Relocation assistance is provided to all employees on a Company-wide basis.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disclosed for Mr. Kibsgaard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80" w:type="dxa"/>
            <w:vAlign w:val="bottom"/>
            <w:gridSpan w:val="2"/>
          </w:tcPr>
          <w:p>
            <w:pPr>
              <w:ind w:left="460"/>
              <w:spacing w:after="0"/>
              <w:rPr>
                <w:sz w:val="20"/>
                <w:szCs w:val="20"/>
                <w:color w:val="auto"/>
              </w:rPr>
            </w:pPr>
            <w:r>
              <w:rPr>
                <w:rFonts w:ascii="Arial" w:cs="Arial" w:eastAsia="Arial" w:hAnsi="Arial"/>
                <w:sz w:val="14"/>
                <w:szCs w:val="14"/>
                <w:b w:val="1"/>
                <w:bCs w:val="1"/>
                <w:color w:val="auto"/>
              </w:rPr>
              <w:t>Item</w:t>
            </w: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46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112,200</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Contributions to Schlumberger Profit-Sharing Plans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20" w:type="dxa"/>
            <w:vAlign w:val="bottom"/>
          </w:tcPr>
          <w:p>
            <w:pPr>
              <w:ind w:left="360"/>
              <w:spacing w:after="0"/>
              <w:rPr>
                <w:sz w:val="20"/>
                <w:szCs w:val="20"/>
                <w:color w:val="auto"/>
              </w:rPr>
            </w:pPr>
            <w:r>
              <w:rPr>
                <w:rFonts w:ascii="Arial" w:cs="Arial" w:eastAsia="Arial" w:hAnsi="Arial"/>
                <w:sz w:val="18"/>
                <w:szCs w:val="18"/>
                <w:color w:val="auto"/>
              </w:rPr>
              <w:t>Tax preparation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2,649</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Spousal airfare for Board-related matters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39,081</w:t>
            </w:r>
          </w:p>
        </w:tc>
      </w:tr>
      <w:tr>
        <w:trPr>
          <w:trHeight w:val="230"/>
        </w:trPr>
        <w:tc>
          <w:tcPr>
            <w:tcW w:w="46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161,580</w:t>
            </w:r>
          </w:p>
        </w:tc>
      </w:tr>
      <w:tr>
        <w:trPr>
          <w:trHeight w:val="283"/>
        </w:trPr>
        <w:tc>
          <w:tcPr>
            <w:tcW w:w="9580" w:type="dxa"/>
            <w:vAlign w:val="bottom"/>
            <w:gridSpan w:val="2"/>
          </w:tcPr>
          <w:p>
            <w:pPr>
              <w:spacing w:after="0"/>
              <w:rPr>
                <w:sz w:val="20"/>
                <w:szCs w:val="20"/>
                <w:color w:val="auto"/>
              </w:rPr>
            </w:pPr>
            <w:r>
              <w:rPr>
                <w:rFonts w:ascii="Arial" w:cs="Arial" w:eastAsia="Arial" w:hAnsi="Arial"/>
                <w:sz w:val="18"/>
                <w:szCs w:val="18"/>
                <w:color w:val="auto"/>
              </w:rPr>
              <w:t>(10)  The amount disclosed for Mr. Ayat consists of the following:</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9580" w:type="dxa"/>
            <w:vAlign w:val="bottom"/>
            <w:gridSpan w:val="2"/>
          </w:tcPr>
          <w:p>
            <w:pPr>
              <w:ind w:left="460"/>
              <w:spacing w:after="0"/>
              <w:rPr>
                <w:sz w:val="20"/>
                <w:szCs w:val="20"/>
                <w:color w:val="auto"/>
              </w:rPr>
            </w:pPr>
            <w:r>
              <w:rPr>
                <w:rFonts w:ascii="Arial" w:cs="Arial" w:eastAsia="Arial" w:hAnsi="Arial"/>
                <w:sz w:val="14"/>
                <w:szCs w:val="14"/>
                <w:b w:val="1"/>
                <w:bCs w:val="1"/>
                <w:color w:val="auto"/>
              </w:rPr>
              <w:t>Item</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0"/>
        </w:trPr>
        <w:tc>
          <w:tcPr>
            <w:tcW w:w="46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48,750</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Unfunded credits to the Schlumberger Restoration Savings Plan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48,750</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Profit-Sharing Plans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112,800</w:t>
            </w:r>
          </w:p>
        </w:tc>
      </w:tr>
    </w:tbl>
    <w:p>
      <w:pPr>
        <w:spacing w:after="0" w:line="67" w:lineRule="exact"/>
        <w:rPr>
          <w:sz w:val="20"/>
          <w:szCs w:val="20"/>
          <w:color w:val="auto"/>
        </w:rPr>
      </w:pPr>
    </w:p>
    <w:p>
      <w:pPr>
        <w:ind w:left="460" w:right="60" w:hanging="452"/>
        <w:spacing w:after="0" w:line="31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net change in actuarial present value of Mr. Pai’s accumulated benefits under relevant benefit and actuarial pension plans is -1,499,515, due to Mr. Pai’s forfeiture of amounts under the Supplementary French Defined Benefit Pension Plan in connection with his assumption of his non-executive advisory role. Since negative figures are not included in this column according to the SEC’s rules, the figure reflected above for 2013 is zero ($0).</w:t>
      </w:r>
    </w:p>
    <w:p>
      <w:pPr>
        <w:spacing w:after="0" w:line="173"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disclosed for Mr. Pai consists of the following:</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300" w:type="dxa"/>
            <w:vAlign w:val="bottom"/>
            <w:tcBorders>
              <w:bottom w:val="single" w:sz="8" w:color="auto"/>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8"/>
              </w:rPr>
              <w:t>Contributions to Schlumberger Non-U.S. Profit-Sharing Plans</w:t>
            </w:r>
          </w:p>
        </w:tc>
        <w:tc>
          <w:tcPr>
            <w:tcW w:w="4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92,597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Perquisites:</w:t>
            </w:r>
          </w:p>
        </w:tc>
        <w:tc>
          <w:tcPr>
            <w:tcW w:w="4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preparation</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Vacation travel allowance</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2,071</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Child education</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Vacation payout</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236,446</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Medical dependent coverage</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340,021</w:t>
            </w:r>
          </w:p>
        </w:tc>
      </w:tr>
      <w:tr>
        <w:trPr>
          <w:trHeight w:val="350"/>
        </w:trPr>
        <w:tc>
          <w:tcPr>
            <w:tcW w:w="4820" w:type="dxa"/>
            <w:vAlign w:val="bottom"/>
          </w:tcPr>
          <w:p>
            <w:pPr>
              <w:spacing w:after="0"/>
              <w:rPr>
                <w:sz w:val="24"/>
                <w:szCs w:val="24"/>
                <w:color w:val="auto"/>
              </w:rPr>
            </w:pPr>
          </w:p>
        </w:tc>
        <w:tc>
          <w:tcPr>
            <w:tcW w:w="4300" w:type="dxa"/>
            <w:vAlign w:val="bottom"/>
          </w:tcPr>
          <w:p>
            <w:pPr>
              <w:jc w:val="right"/>
              <w:ind w:right="3690"/>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amount disclosed for Mr. Belani consists of the following:</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9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6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42,435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Profit-Sharing Plans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100,170</w:t>
            </w:r>
          </w:p>
        </w:tc>
      </w:tr>
    </w:tbl>
    <w:p>
      <w:pPr>
        <w:spacing w:after="0" w:line="229" w:lineRule="exact"/>
        <w:rPr>
          <w:sz w:val="20"/>
          <w:szCs w:val="20"/>
          <w:color w:val="auto"/>
        </w:rPr>
      </w:pPr>
    </w:p>
    <w:p>
      <w:pPr>
        <w:ind w:left="460" w:hanging="452"/>
        <w:spacing w:after="0" w:line="31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net change in actuarial present value of Mr. Oestdahl’s accumulated benefits under relevant benefit and actuarial pension plans is -49,987, due to the non-accrual of additional amounts in the International Staff Pension Plan and an increase in the discount rate under such Plan from 4.25% to 4.85%. Since negative figures are not included in this column according to the SEC’s rules, the figure reflected above for 2013 is zero ($0).</w:t>
      </w:r>
    </w:p>
    <w:p>
      <w:pPr>
        <w:spacing w:after="0" w:line="173" w:lineRule="exact"/>
        <w:rPr>
          <w:rFonts w:ascii="Arial" w:cs="Arial" w:eastAsia="Arial" w:hAnsi="Arial"/>
          <w:sz w:val="16"/>
          <w:szCs w:val="16"/>
          <w:color w:val="auto"/>
        </w:rPr>
      </w:pPr>
    </w:p>
    <w:p>
      <w:pPr>
        <w:ind w:left="460" w:right="500" w:hanging="452"/>
        <w:spacing w:after="0" w:line="30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disclosed for Mr. Oestdahl consists of the following (contributions into the Norway DC Pension Plan were made in Kronor, with the amount disclosed below being determined by using the 2013 full-year average exchange rate of 1 U.S. Dollar = 5.868 Kronor):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80" w:type="dxa"/>
            <w:vAlign w:val="bottom"/>
            <w:gridSpan w:val="2"/>
          </w:tcPr>
          <w:p>
            <w:pPr>
              <w:ind w:left="460"/>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0"/>
        </w:trPr>
        <w:tc>
          <w:tcPr>
            <w:tcW w:w="46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740" w:type="dxa"/>
            <w:vAlign w:val="bottom"/>
            <w:tcBorders>
              <w:top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58,521</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Contributions to the Norway DC Pension Plan</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9,714</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20" w:type="dxa"/>
            <w:vAlign w:val="bottom"/>
          </w:tcPr>
          <w:p>
            <w:pPr>
              <w:ind w:left="360"/>
              <w:spacing w:after="0"/>
              <w:rPr>
                <w:sz w:val="20"/>
                <w:szCs w:val="20"/>
                <w:color w:val="auto"/>
              </w:rPr>
            </w:pPr>
            <w:r>
              <w:rPr>
                <w:rFonts w:ascii="Arial" w:cs="Arial" w:eastAsia="Arial" w:hAnsi="Arial"/>
                <w:sz w:val="18"/>
                <w:szCs w:val="18"/>
                <w:color w:val="auto"/>
              </w:rPr>
              <w:t>Tax preparation</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2,649</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Vacation travel allowance</w:t>
            </w: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16"/>
        </w:trPr>
        <w:tc>
          <w:tcPr>
            <w:tcW w:w="460" w:type="dxa"/>
            <w:vAlign w:val="bottom"/>
          </w:tcPr>
          <w:p>
            <w:pPr>
              <w:spacing w:after="0"/>
              <w:rPr>
                <w:sz w:val="18"/>
                <w:szCs w:val="18"/>
                <w:color w:val="auto"/>
              </w:rPr>
            </w:pPr>
          </w:p>
        </w:tc>
        <w:tc>
          <w:tcPr>
            <w:tcW w:w="9120" w:type="dxa"/>
            <w:vAlign w:val="bottom"/>
          </w:tcPr>
          <w:p>
            <w:pPr>
              <w:ind w:left="360"/>
              <w:spacing w:after="0"/>
              <w:rPr>
                <w:sz w:val="20"/>
                <w:szCs w:val="20"/>
                <w:color w:val="auto"/>
              </w:rPr>
            </w:pPr>
            <w:r>
              <w:rPr>
                <w:rFonts w:ascii="Arial" w:cs="Arial" w:eastAsia="Arial" w:hAnsi="Arial"/>
                <w:sz w:val="18"/>
                <w:szCs w:val="18"/>
                <w:color w:val="auto"/>
              </w:rPr>
              <w:t>Relocation — movement of household goods</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20,418</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Vacation payout</w:t>
            </w: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96,581</w:t>
            </w:r>
          </w:p>
        </w:tc>
      </w:tr>
      <w:tr>
        <w:trPr>
          <w:trHeight w:val="230"/>
        </w:trPr>
        <w:tc>
          <w:tcPr>
            <w:tcW w:w="46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$ 188,657</w:t>
            </w:r>
          </w:p>
        </w:tc>
      </w:tr>
      <w:tr>
        <w:trPr>
          <w:trHeight w:val="445"/>
        </w:trPr>
        <w:tc>
          <w:tcPr>
            <w:tcW w:w="9580" w:type="dxa"/>
            <w:vAlign w:val="bottom"/>
            <w:gridSpan w:val="2"/>
          </w:tcPr>
          <w:p>
            <w:pPr>
              <w:spacing w:after="0"/>
              <w:rPr>
                <w:sz w:val="20"/>
                <w:szCs w:val="20"/>
                <w:color w:val="auto"/>
              </w:rPr>
            </w:pPr>
            <w:r>
              <w:rPr>
                <w:rFonts w:ascii="Arial" w:cs="Arial" w:eastAsia="Arial" w:hAnsi="Arial"/>
                <w:sz w:val="18"/>
                <w:szCs w:val="18"/>
                <w:color w:val="auto"/>
              </w:rPr>
              <w:t>(16)  The amount disclosed for Mr. Poupeau consists of the following:</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9580" w:type="dxa"/>
            <w:vAlign w:val="bottom"/>
            <w:gridSpan w:val="2"/>
          </w:tcPr>
          <w:p>
            <w:pPr>
              <w:ind w:left="460"/>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0"/>
        </w:trPr>
        <w:tc>
          <w:tcPr>
            <w:tcW w:w="46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$ 30,591</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$ 30,591</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Profit-Sharing Plans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$ 76,482</w:t>
            </w:r>
          </w:p>
        </w:tc>
      </w:tr>
      <w:tr>
        <w:trPr>
          <w:trHeight w:val="459"/>
        </w:trPr>
        <w:tc>
          <w:tcPr>
            <w:tcW w:w="9580" w:type="dxa"/>
            <w:vAlign w:val="bottom"/>
            <w:gridSpan w:val="2"/>
          </w:tcPr>
          <w:p>
            <w:pPr>
              <w:spacing w:after="0"/>
              <w:rPr>
                <w:sz w:val="20"/>
                <w:szCs w:val="20"/>
                <w:color w:val="auto"/>
              </w:rPr>
            </w:pPr>
            <w:r>
              <w:rPr>
                <w:rFonts w:ascii="Arial" w:cs="Arial" w:eastAsia="Arial" w:hAnsi="Arial"/>
                <w:sz w:val="18"/>
                <w:szCs w:val="18"/>
                <w:color w:val="auto"/>
              </w:rPr>
              <w:t>(17)  The amount disclosed for Mr. Juden consists of the following:</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9580" w:type="dxa"/>
            <w:vAlign w:val="bottom"/>
            <w:gridSpan w:val="2"/>
          </w:tcPr>
          <w:p>
            <w:pPr>
              <w:ind w:left="460"/>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0"/>
        </w:trPr>
        <w:tc>
          <w:tcPr>
            <w:tcW w:w="46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$ 29,448</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$ 29,448</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Profit-Sharing Plans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7,650</w:t>
            </w:r>
          </w:p>
        </w:tc>
      </w:tr>
      <w:tr>
        <w:trPr>
          <w:trHeight w:val="216"/>
        </w:trPr>
        <w:tc>
          <w:tcPr>
            <w:tcW w:w="46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$ 74,196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Former Executive Officers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In 2013, Messrs. Oestdahl and Pai each resigned from their positions effective February 11, 2013 and May 8, 2013, respectively, and each assumed the role of advisor to the CEO. In connection with their respective resignations, they ceased being executive officers of the Company.</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entered into an employment agreement with Mr. Oestdahl effective as of March 1, 2013. Pursuant to this agreement, Mr. Oestdahl will serve through February 28, 2015, at which time his employment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the Company will terminate. Until the earlier of the date that Mr. Oestdahl commences new employment or February 28, 2015, he is entitled to a base salary of 396,231.49 Kronor per month. He is also entitled to continue to participate in the Company’s health, welfare and insurance plans and to continue to accrue benefits under the Company’s pension plans based on an annual base salary of 4,754,777.88 Kronor through February 28, 2015. Under the terms of the agreement, Mr. Oestdahl will continue to vest in stock options previously granted to him in accordance with the terms of the Company’s stock plans.</w:t>
      </w:r>
    </w:p>
    <w:p>
      <w:pPr>
        <w:spacing w:after="0" w:line="15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entered into a similar employment agreement with Mr. Pai effective as of July 1, 2013. Pursuant to this agreement, Mr. Pai will serve through June 30, 2015, at which time his employment with the Company will automatically terminate. Mr. Pai received a €400,000.00 payment on January 29, 2014, and is also entitled to receive, on or before January 1, 2017, a payment of €308,180, being equal to his Supplementary French Defined Benefit Pension Plan earned and valued as of June 2013. Under the terms of the agreement, Mr. Pai will continue to vest in stock options previously granted to him in accordance with the terms of the Company’s stock plans.</w:t>
      </w:r>
    </w:p>
    <w:p>
      <w:pPr>
        <w:spacing w:after="0" w:line="18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Under both of Messrs. Oestdahl’s and Pai’s agreements, in the event of termination of employment on account of death or disability, the individual is entitled to any accrued base salary and benefits, including any death or disability benefits payable pursuant to Company plans. Such plans are generally available to all Company salaried employees. In the event of a termination by the Company for cause (defined as dishonesty relating to employment with the Company, conviction of a felony, or willful unauthorized disclosure of confidential information of the Company), the individual is entitled to receive only accrued base salary and benefits through his date of termination. The agreements also contain confidentiality provisions, agreements to execute a general waiver and release of claims, and non-competition provisions that apply to employment with specified competitors during the term of the agreement. If</w:t>
      </w:r>
    </w:p>
    <w:p>
      <w:pPr>
        <w:spacing w:after="0" w:line="5" w:lineRule="exact"/>
        <w:rPr>
          <w:sz w:val="20"/>
          <w:szCs w:val="20"/>
          <w:color w:val="auto"/>
        </w:rPr>
      </w:pPr>
    </w:p>
    <w:p>
      <w:pPr>
        <w:jc w:val="both"/>
        <w:ind w:right="60"/>
        <w:spacing w:after="0" w:line="323" w:lineRule="auto"/>
        <w:rPr>
          <w:sz w:val="20"/>
          <w:szCs w:val="20"/>
          <w:color w:val="auto"/>
        </w:rPr>
      </w:pPr>
      <w:r>
        <w:rPr>
          <w:rFonts w:ascii="Arial" w:cs="Arial" w:eastAsia="Arial" w:hAnsi="Arial"/>
          <w:sz w:val="16"/>
          <w:szCs w:val="16"/>
          <w:color w:val="auto"/>
        </w:rPr>
        <w:t>Mr. Pai’s or Mr. Oestdahl’s employment is terminated and he accepts employment with any of the specified competitors prior to the end of the term under his respective agreement, he must repay any amounts received under his agreement. Neither agreement provides for any severance or change in control benefits.</w:t>
      </w:r>
    </w:p>
    <w:p>
      <w:pPr>
        <w:spacing w:after="0" w:line="13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noted above in the Compensation Discussion and Analysis, Schlumberger does not have employment, severance or change-in-control agreements with any of its other named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Year 2013</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All Other</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Full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gridSpan w:val="6"/>
            <w:vMerge w:val="restart"/>
          </w:tcPr>
          <w:p>
            <w:pPr>
              <w:jc w:val="right"/>
              <w:ind w:right="440"/>
              <w:spacing w:after="0"/>
              <w:rPr>
                <w:sz w:val="20"/>
                <w:szCs w:val="20"/>
                <w:color w:val="auto"/>
              </w:rPr>
            </w:pPr>
            <w:r>
              <w:rPr>
                <w:rFonts w:ascii="Arial" w:cs="Arial" w:eastAsia="Arial" w:hAnsi="Arial"/>
                <w:sz w:val="13"/>
                <w:szCs w:val="13"/>
                <w:b w:val="1"/>
                <w:bCs w:val="1"/>
                <w:color w:val="auto"/>
                <w:w w:val="94"/>
              </w:rPr>
              <w:t>Estimated Possible Payouts Under</w:t>
            </w:r>
          </w:p>
        </w:tc>
        <w:tc>
          <w:tcPr>
            <w:tcW w:w="2320" w:type="dxa"/>
            <w:vAlign w:val="bottom"/>
            <w:gridSpan w:val="6"/>
            <w:vMerge w:val="restart"/>
          </w:tcPr>
          <w:p>
            <w:pPr>
              <w:jc w:val="center"/>
              <w:ind w:right="240"/>
              <w:spacing w:after="0"/>
              <w:rPr>
                <w:sz w:val="20"/>
                <w:szCs w:val="20"/>
                <w:color w:val="auto"/>
              </w:rPr>
            </w:pPr>
            <w:r>
              <w:rPr>
                <w:rFonts w:ascii="Arial" w:cs="Arial" w:eastAsia="Arial" w:hAnsi="Arial"/>
                <w:sz w:val="13"/>
                <w:szCs w:val="13"/>
                <w:b w:val="1"/>
                <w:bCs w:val="1"/>
                <w:color w:val="auto"/>
                <w:w w:val="85"/>
              </w:rPr>
              <w:t>Estimated Possible Payouts Under</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Closing</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gridSpan w:val="6"/>
            <w:vMerge w:val="continue"/>
          </w:tcPr>
          <w:p>
            <w:pPr>
              <w:spacing w:after="0"/>
              <w:rPr>
                <w:sz w:val="10"/>
                <w:szCs w:val="10"/>
                <w:color w:val="auto"/>
              </w:rPr>
            </w:pPr>
          </w:p>
        </w:tc>
        <w:tc>
          <w:tcPr>
            <w:tcW w:w="2320" w:type="dxa"/>
            <w:vAlign w:val="bottom"/>
            <w:gridSpan w:val="6"/>
            <w:vMerge w:val="continue"/>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9"/>
              </w:rPr>
              <w:t>Number of</w:t>
            </w:r>
          </w:p>
        </w:tc>
        <w:tc>
          <w:tcPr>
            <w:tcW w:w="70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or Base</w:t>
            </w:r>
          </w:p>
        </w:tc>
        <w:tc>
          <w:tcPr>
            <w:tcW w:w="6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5"/>
              </w:rPr>
              <w:t>Market</w:t>
            </w:r>
          </w:p>
        </w:tc>
        <w:tc>
          <w:tcPr>
            <w:tcW w:w="68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Borders>
              <w:bottom w:val="single" w:sz="8" w:color="auto"/>
            </w:tcBorders>
            <w:gridSpan w:val="5"/>
          </w:tcPr>
          <w:p>
            <w:pPr>
              <w:jc w:val="right"/>
              <w:ind w:right="57"/>
              <w:spacing w:after="0" w:line="102" w:lineRule="exact"/>
              <w:rPr>
                <w:sz w:val="20"/>
                <w:szCs w:val="20"/>
                <w:color w:val="auto"/>
              </w:rPr>
            </w:pPr>
            <w:r>
              <w:rPr>
                <w:rFonts w:ascii="Arial" w:cs="Arial" w:eastAsia="Arial" w:hAnsi="Arial"/>
                <w:sz w:val="10"/>
                <w:szCs w:val="10"/>
                <w:b w:val="1"/>
                <w:bCs w:val="1"/>
                <w:color w:val="auto"/>
              </w:rPr>
              <w:t>Non-Equity Incentive Plan Awards</w:t>
            </w:r>
            <w:r>
              <w:rPr>
                <w:rFonts w:ascii="Arial" w:cs="Arial" w:eastAsia="Arial" w:hAnsi="Arial"/>
                <w:sz w:val="8"/>
                <w:szCs w:val="8"/>
                <w:b w:val="1"/>
                <w:bCs w:val="1"/>
                <w:color w:val="auto"/>
              </w:rPr>
              <w:t>(2)</w:t>
            </w:r>
          </w:p>
        </w:tc>
        <w:tc>
          <w:tcPr>
            <w:tcW w:w="240" w:type="dxa"/>
            <w:vAlign w:val="bottom"/>
          </w:tcPr>
          <w:p>
            <w:pPr>
              <w:spacing w:after="0"/>
              <w:rPr>
                <w:sz w:val="10"/>
                <w:szCs w:val="10"/>
                <w:color w:val="auto"/>
              </w:rPr>
            </w:pPr>
          </w:p>
        </w:tc>
        <w:tc>
          <w:tcPr>
            <w:tcW w:w="2080" w:type="dxa"/>
            <w:vAlign w:val="bottom"/>
            <w:tcBorders>
              <w:bottom w:val="single" w:sz="8" w:color="auto"/>
            </w:tcBorders>
            <w:gridSpan w:val="5"/>
          </w:tcPr>
          <w:p>
            <w:pPr>
              <w:jc w:val="center"/>
              <w:spacing w:after="0" w:line="102" w:lineRule="exact"/>
              <w:rPr>
                <w:sz w:val="20"/>
                <w:szCs w:val="20"/>
                <w:color w:val="auto"/>
              </w:rPr>
            </w:pPr>
            <w:r>
              <w:rPr>
                <w:rFonts w:ascii="Arial" w:cs="Arial" w:eastAsia="Arial" w:hAnsi="Arial"/>
                <w:sz w:val="10"/>
                <w:szCs w:val="10"/>
                <w:b w:val="1"/>
                <w:bCs w:val="1"/>
                <w:color w:val="auto"/>
              </w:rPr>
              <w:t>Equity Incentive Plan Awards</w:t>
            </w:r>
            <w:r>
              <w:rPr>
                <w:rFonts w:ascii="Arial" w:cs="Arial" w:eastAsia="Arial" w:hAnsi="Arial"/>
                <w:sz w:val="8"/>
                <w:szCs w:val="8"/>
                <w:b w:val="1"/>
                <w:bCs w:val="1"/>
                <w:color w:val="auto"/>
              </w:rPr>
              <w:t>(3)</w:t>
            </w:r>
          </w:p>
        </w:tc>
        <w:tc>
          <w:tcPr>
            <w:tcW w:w="240" w:type="dxa"/>
            <w:vAlign w:val="bottom"/>
          </w:tcPr>
          <w:p>
            <w:pPr>
              <w:spacing w:after="0"/>
              <w:rPr>
                <w:sz w:val="10"/>
                <w:szCs w:val="10"/>
                <w:color w:val="auto"/>
              </w:rPr>
            </w:pPr>
          </w:p>
        </w:tc>
        <w:tc>
          <w:tcPr>
            <w:tcW w:w="8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3"/>
              </w:rPr>
              <w:t>Securities</w:t>
            </w:r>
          </w:p>
        </w:tc>
        <w:tc>
          <w:tcPr>
            <w:tcW w:w="7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Price of</w:t>
            </w:r>
          </w:p>
        </w:tc>
        <w:tc>
          <w:tcPr>
            <w:tcW w:w="680" w:type="dxa"/>
            <w:vAlign w:val="bottom"/>
            <w:gridSpan w:val="2"/>
          </w:tcPr>
          <w:p>
            <w:pPr>
              <w:jc w:val="right"/>
              <w:ind w:right="240"/>
              <w:spacing w:after="0" w:line="115" w:lineRule="exact"/>
              <w:rPr>
                <w:sz w:val="20"/>
                <w:szCs w:val="20"/>
                <w:color w:val="auto"/>
              </w:rPr>
            </w:pPr>
            <w:r>
              <w:rPr>
                <w:rFonts w:ascii="Arial" w:cs="Arial" w:eastAsia="Arial" w:hAnsi="Arial"/>
                <w:sz w:val="13"/>
                <w:szCs w:val="13"/>
                <w:b w:val="1"/>
                <w:bCs w:val="1"/>
                <w:color w:val="auto"/>
                <w:w w:val="81"/>
              </w:rPr>
              <w:t>Price on</w:t>
            </w:r>
          </w:p>
        </w:tc>
        <w:tc>
          <w:tcPr>
            <w:tcW w:w="680" w:type="dxa"/>
            <w:vAlign w:val="bottom"/>
          </w:tcPr>
          <w:p>
            <w:pPr>
              <w:jc w:val="center"/>
              <w:ind w:right="17"/>
              <w:spacing w:after="0" w:line="11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Award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1"/>
              </w:rPr>
              <w:t>Underlying</w:t>
            </w: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Option</w:t>
            </w:r>
          </w:p>
        </w:tc>
        <w:tc>
          <w:tcPr>
            <w:tcW w:w="6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Grant</w:t>
            </w: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Grant</w:t>
            </w:r>
          </w:p>
        </w:tc>
        <w:tc>
          <w:tcPr>
            <w:tcW w:w="82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85"/>
              </w:rPr>
              <w:t>Threshold</w:t>
            </w:r>
          </w:p>
        </w:tc>
        <w:tc>
          <w:tcPr>
            <w:tcW w:w="80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Target</w:t>
            </w:r>
          </w:p>
        </w:tc>
        <w:tc>
          <w:tcPr>
            <w:tcW w:w="86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6"/>
              </w:rPr>
              <w:t>Maximum</w:t>
            </w:r>
          </w:p>
        </w:tc>
        <w:tc>
          <w:tcPr>
            <w:tcW w:w="76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9"/>
              </w:rPr>
              <w:t>Threshold</w:t>
            </w:r>
          </w:p>
        </w:tc>
        <w:tc>
          <w:tcPr>
            <w:tcW w:w="66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Target</w:t>
            </w: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3"/>
              </w:rPr>
              <w:t>Maximum</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5"/>
              </w:rPr>
              <w:t>Options</w:t>
            </w:r>
          </w:p>
        </w:tc>
        <w:tc>
          <w:tcPr>
            <w:tcW w:w="70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Awards</w:t>
            </w:r>
          </w:p>
        </w:tc>
        <w:tc>
          <w:tcPr>
            <w:tcW w:w="6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5"/>
              </w:rPr>
              <w:t>Date</w:t>
            </w:r>
          </w:p>
        </w:tc>
        <w:tc>
          <w:tcPr>
            <w:tcW w:w="68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62"/>
        </w:trPr>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Arial" w:cs="Arial" w:eastAsia="Arial" w:hAnsi="Arial"/>
                <w:sz w:val="13"/>
                <w:szCs w:val="13"/>
                <w:b w:val="1"/>
                <w:bCs w:val="1"/>
                <w:color w:val="auto"/>
              </w:rPr>
              <w:t>Type</w:t>
            </w:r>
            <w:r>
              <w:rPr>
                <w:rFonts w:ascii="Arial" w:cs="Arial" w:eastAsia="Arial" w:hAnsi="Arial"/>
                <w:sz w:val="10"/>
                <w:szCs w:val="10"/>
                <w:b w:val="1"/>
                <w:bCs w:val="1"/>
                <w:color w:val="auto"/>
              </w:rPr>
              <w:t>(1)</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w:t>
            </w:r>
          </w:p>
        </w:tc>
        <w:tc>
          <w:tcPr>
            <w:tcW w:w="580" w:type="dxa"/>
            <w:vAlign w:val="bottom"/>
          </w:tcPr>
          <w:p>
            <w:pPr>
              <w:jc w:val="right"/>
              <w:ind w:right="158"/>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/Sh)</w:t>
            </w:r>
            <w:r>
              <w:rPr>
                <w:rFonts w:ascii="Arial" w:cs="Arial" w:eastAsia="Arial" w:hAnsi="Arial"/>
                <w:sz w:val="10"/>
                <w:szCs w:val="10"/>
                <w:b w:val="1"/>
                <w:bCs w:val="1"/>
                <w:color w:val="auto"/>
                <w:w w:val="90"/>
              </w:rPr>
              <w:t>(4)</w:t>
            </w: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($/Sh)</w:t>
            </w: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 Kibsgaard</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Option</w:t>
            </w:r>
          </w:p>
        </w:tc>
        <w:tc>
          <w:tcPr>
            <w:tcW w:w="160" w:type="dxa"/>
            <w:vAlign w:val="bottom"/>
            <w:vMerge w:val="restart"/>
            <w:shd w:val="clear" w:color="auto" w:fill="CCEEFF"/>
          </w:tcPr>
          <w:p>
            <w:pPr>
              <w:spacing w:after="0"/>
              <w:rPr>
                <w:sz w:val="11"/>
                <w:szCs w:val="11"/>
                <w:color w:val="auto"/>
              </w:rPr>
            </w:pP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w w:val="87"/>
              </w:rPr>
              <w:t>1/17/13</w:t>
            </w:r>
          </w:p>
        </w:tc>
        <w:tc>
          <w:tcPr>
            <w:tcW w:w="220" w:type="dxa"/>
            <w:vAlign w:val="bottom"/>
            <w:vMerge w:val="restart"/>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337,875</w:t>
            </w:r>
          </w:p>
        </w:tc>
        <w:tc>
          <w:tcPr>
            <w:tcW w:w="24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2,231,250</w:t>
            </w:r>
          </w:p>
        </w:tc>
        <w:tc>
          <w:tcPr>
            <w:tcW w:w="220" w:type="dxa"/>
            <w:vAlign w:val="bottom"/>
            <w:vMerge w:val="continue"/>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5,100,000</w:t>
            </w:r>
          </w:p>
        </w:tc>
        <w:tc>
          <w:tcPr>
            <w:tcW w:w="24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220" w:type="dxa"/>
            <w:vAlign w:val="bottom"/>
            <w:vMerge w:val="restart"/>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24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5,740,350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1-year PSU</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40,450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101,125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2,912,400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2-year PSU</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40,450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101,125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2,862,242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3-year PSU</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80,900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202,250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5,624,977</w:t>
            </w:r>
          </w:p>
        </w:tc>
        <w:tc>
          <w:tcPr>
            <w:tcW w:w="0" w:type="dxa"/>
            <w:vAlign w:val="bottom"/>
          </w:tcPr>
          <w:p>
            <w:pPr>
              <w:spacing w:after="0"/>
              <w:rPr>
                <w:sz w:val="1"/>
                <w:szCs w:val="1"/>
                <w:color w:val="auto"/>
              </w:rPr>
            </w:pPr>
          </w:p>
        </w:tc>
      </w:tr>
      <w:tr>
        <w:trPr>
          <w:trHeight w:val="335"/>
        </w:trPr>
        <w:tc>
          <w:tcPr>
            <w:tcW w:w="2000" w:type="dxa"/>
            <w:vAlign w:val="bottom"/>
            <w:gridSpan w:val="2"/>
          </w:tcPr>
          <w:p>
            <w:pPr>
              <w:spacing w:after="0"/>
              <w:rPr>
                <w:sz w:val="20"/>
                <w:szCs w:val="20"/>
                <w:color w:val="auto"/>
              </w:rPr>
            </w:pPr>
            <w:r>
              <w:rPr>
                <w:rFonts w:ascii="Arial" w:cs="Arial" w:eastAsia="Arial" w:hAnsi="Arial"/>
                <w:sz w:val="13"/>
                <w:szCs w:val="13"/>
                <w:color w:val="auto"/>
              </w:rPr>
              <w:t>S. Ayat</w:t>
            </w: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auto"/>
              </w:rPr>
              <w:t>Option</w:t>
            </w:r>
          </w:p>
        </w:tc>
        <w:tc>
          <w:tcPr>
            <w:tcW w:w="820" w:type="dxa"/>
            <w:vAlign w:val="bottom"/>
            <w:gridSpan w:val="3"/>
            <w:vMerge w:val="restart"/>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132,500</w:t>
            </w:r>
          </w:p>
        </w:tc>
        <w:tc>
          <w:tcPr>
            <w:tcW w:w="580" w:type="dxa"/>
            <w:vAlign w:val="bottom"/>
          </w:tcPr>
          <w:p>
            <w:pPr>
              <w:jc w:val="right"/>
              <w:spacing w:after="0"/>
              <w:rPr>
                <w:sz w:val="20"/>
                <w:szCs w:val="20"/>
                <w:color w:val="auto"/>
              </w:rPr>
            </w:pPr>
            <w:r>
              <w:rPr>
                <w:rFonts w:ascii="Arial" w:cs="Arial" w:eastAsia="Arial" w:hAnsi="Arial"/>
                <w:sz w:val="13"/>
                <w:szCs w:val="13"/>
                <w:color w:val="auto"/>
              </w:rPr>
              <w:t>875,000</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80,000</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73.37</w:t>
            </w:r>
          </w:p>
        </w:tc>
        <w:tc>
          <w:tcPr>
            <w:tcW w:w="2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1,988,000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1-year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14,050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35,125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1,011,600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2-year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14,050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35,125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994,178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3-year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28,100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70,250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1,953,793</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S. Pai</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97,000</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2,328,000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Option</w:t>
            </w:r>
          </w:p>
        </w:tc>
        <w:tc>
          <w:tcPr>
            <w:tcW w:w="820" w:type="dxa"/>
            <w:vAlign w:val="bottom"/>
            <w:gridSpan w:val="3"/>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1-year PSU</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42,250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1,216,800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2-year PSU</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42,250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1,195,844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3-year PSU</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33,800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84,500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2,350,114</w:t>
            </w:r>
          </w:p>
        </w:tc>
        <w:tc>
          <w:tcPr>
            <w:tcW w:w="0" w:type="dxa"/>
            <w:vAlign w:val="bottom"/>
          </w:tcPr>
          <w:p>
            <w:pPr>
              <w:spacing w:after="0"/>
              <w:rPr>
                <w:sz w:val="1"/>
                <w:szCs w:val="1"/>
                <w:color w:val="auto"/>
              </w:rPr>
            </w:pPr>
          </w:p>
        </w:tc>
      </w:tr>
      <w:tr>
        <w:trPr>
          <w:trHeight w:val="335"/>
        </w:trPr>
        <w:tc>
          <w:tcPr>
            <w:tcW w:w="2000" w:type="dxa"/>
            <w:vAlign w:val="bottom"/>
            <w:gridSpan w:val="2"/>
          </w:tcPr>
          <w:p>
            <w:pPr>
              <w:spacing w:after="0"/>
              <w:rPr>
                <w:sz w:val="20"/>
                <w:szCs w:val="20"/>
                <w:color w:val="auto"/>
              </w:rPr>
            </w:pPr>
            <w:r>
              <w:rPr>
                <w:rFonts w:ascii="Arial" w:cs="Arial" w:eastAsia="Arial" w:hAnsi="Arial"/>
                <w:sz w:val="13"/>
                <w:szCs w:val="13"/>
                <w:color w:val="auto"/>
              </w:rPr>
              <w:t>A. Belani</w:t>
            </w: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auto"/>
              </w:rPr>
              <w:t>Option</w:t>
            </w:r>
          </w:p>
        </w:tc>
        <w:tc>
          <w:tcPr>
            <w:tcW w:w="820" w:type="dxa"/>
            <w:vAlign w:val="bottom"/>
            <w:gridSpan w:val="3"/>
            <w:vMerge w:val="restart"/>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119,250</w:t>
            </w:r>
          </w:p>
        </w:tc>
        <w:tc>
          <w:tcPr>
            <w:tcW w:w="580" w:type="dxa"/>
            <w:vAlign w:val="bottom"/>
          </w:tcPr>
          <w:p>
            <w:pPr>
              <w:jc w:val="right"/>
              <w:spacing w:after="0"/>
              <w:rPr>
                <w:sz w:val="20"/>
                <w:szCs w:val="20"/>
                <w:color w:val="auto"/>
              </w:rPr>
            </w:pPr>
            <w:r>
              <w:rPr>
                <w:rFonts w:ascii="Arial" w:cs="Arial" w:eastAsia="Arial" w:hAnsi="Arial"/>
                <w:sz w:val="13"/>
                <w:szCs w:val="13"/>
                <w:color w:val="auto"/>
              </w:rPr>
              <w:t>787,500</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1,800,000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72,000</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73.37</w:t>
            </w:r>
          </w:p>
        </w:tc>
        <w:tc>
          <w:tcPr>
            <w:tcW w:w="2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1,789,200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1-year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12,650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31,625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2-year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12,650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31,625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895,114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3-year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25,300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63,250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1,759,109</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K.-E. Oestdahl</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72,000</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1,789,200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Option</w:t>
            </w:r>
          </w:p>
        </w:tc>
        <w:tc>
          <w:tcPr>
            <w:tcW w:w="820" w:type="dxa"/>
            <w:vAlign w:val="bottom"/>
            <w:gridSpan w:val="3"/>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1-year PSU</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12,650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31,625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2-year PSU</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12,650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31,625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895,114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3-year PSU</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25,300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63,250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1,759,109</w:t>
            </w:r>
          </w:p>
        </w:tc>
        <w:tc>
          <w:tcPr>
            <w:tcW w:w="0" w:type="dxa"/>
            <w:vAlign w:val="bottom"/>
          </w:tcPr>
          <w:p>
            <w:pPr>
              <w:spacing w:after="0"/>
              <w:rPr>
                <w:sz w:val="1"/>
                <w:szCs w:val="1"/>
                <w:color w:val="auto"/>
              </w:rPr>
            </w:pPr>
          </w:p>
        </w:tc>
      </w:tr>
      <w:tr>
        <w:trPr>
          <w:trHeight w:val="335"/>
        </w:trPr>
        <w:tc>
          <w:tcPr>
            <w:tcW w:w="2000" w:type="dxa"/>
            <w:vAlign w:val="bottom"/>
            <w:gridSpan w:val="2"/>
          </w:tcPr>
          <w:p>
            <w:pPr>
              <w:spacing w:after="0"/>
              <w:rPr>
                <w:sz w:val="20"/>
                <w:szCs w:val="20"/>
                <w:color w:val="auto"/>
              </w:rPr>
            </w:pPr>
            <w:r>
              <w:rPr>
                <w:rFonts w:ascii="Arial" w:cs="Arial" w:eastAsia="Arial" w:hAnsi="Arial"/>
                <w:sz w:val="13"/>
                <w:szCs w:val="13"/>
                <w:color w:val="auto"/>
              </w:rPr>
              <w:t>J.F. Poupeau</w:t>
            </w: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auto"/>
              </w:rPr>
              <w:t>Option</w:t>
            </w:r>
          </w:p>
        </w:tc>
        <w:tc>
          <w:tcPr>
            <w:tcW w:w="820" w:type="dxa"/>
            <w:vAlign w:val="bottom"/>
            <w:gridSpan w:val="3"/>
            <w:vMerge w:val="restart"/>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96,328</w:t>
            </w:r>
          </w:p>
        </w:tc>
        <w:tc>
          <w:tcPr>
            <w:tcW w:w="580" w:type="dxa"/>
            <w:vAlign w:val="bottom"/>
          </w:tcPr>
          <w:p>
            <w:pPr>
              <w:jc w:val="right"/>
              <w:spacing w:after="0"/>
              <w:rPr>
                <w:sz w:val="20"/>
                <w:szCs w:val="20"/>
                <w:color w:val="auto"/>
              </w:rPr>
            </w:pPr>
            <w:r>
              <w:rPr>
                <w:rFonts w:ascii="Arial" w:cs="Arial" w:eastAsia="Arial" w:hAnsi="Arial"/>
                <w:sz w:val="13"/>
                <w:szCs w:val="13"/>
                <w:color w:val="auto"/>
              </w:rPr>
              <w:t>636,125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1,454,000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64,000</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73.37</w:t>
            </w:r>
          </w:p>
        </w:tc>
        <w:tc>
          <w:tcPr>
            <w:tcW w:w="2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1,590,400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1-year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11,250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28,125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2-year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11,250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28,125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796,050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3-year PSU</w:t>
            </w:r>
          </w:p>
        </w:tc>
        <w:tc>
          <w:tcPr>
            <w:tcW w:w="820" w:type="dxa"/>
            <w:vAlign w:val="bottom"/>
            <w:gridSpan w:val="3"/>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22,500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56,250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1,564,425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A. Juden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74,531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492,188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1,125,000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54,000</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73.25</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1,341,900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Option</w:t>
            </w:r>
          </w:p>
        </w:tc>
        <w:tc>
          <w:tcPr>
            <w:tcW w:w="820" w:type="dxa"/>
            <w:vAlign w:val="bottom"/>
            <w:gridSpan w:val="3"/>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1-year PSU</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23,750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2-year PSU</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23,750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672,220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3-year PSU</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1/17/13</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47,500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77"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Stock options were awarded under the 2008 Incentive Plan and the 2010 Omnibus Stock Incentive Plan. PSUs were awarded under the 2010 Omnibus Stock Incentive Plan.</w:t>
      </w:r>
    </w:p>
    <w:p>
      <w:pPr>
        <w:spacing w:after="0" w:line="21"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These columns show the possible payouts for each NEO for fiscal year 2013 based on performance goals set in 2013.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Actual cash incentive amounts earned for 2013 have already been determined, will be paid in February 2014 and are reflected in the “Non-Equity Incentive Plan Compensation” column of the Summary Compensation Table. For information regarding the annual cash incentive paid to Schlumberger’s NEOs with respect to 2013 performance, please see “Compensation Discussion and Analysis—Elements of Compensation—Annual Cash Incentive Decisions for 2013.”</w:t>
      </w:r>
    </w:p>
    <w:p>
      <w:pPr>
        <w:spacing w:after="0" w:line="187"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i w:val="1"/>
          <w:iCs w:val="1"/>
          <w:color w:val="auto"/>
        </w:rPr>
        <w:t xml:space="preserve">Relative Performance Incentive. </w:t>
      </w:r>
      <w:r>
        <w:rPr>
          <w:rFonts w:ascii="Arial" w:cs="Arial" w:eastAsia="Arial" w:hAnsi="Arial"/>
          <w:sz w:val="17"/>
          <w:szCs w:val="17"/>
          <w:color w:val="auto"/>
        </w:rPr>
        <w:t>In 2013, the Compensation Committee approved the introduction of a relative performance incentive (“RPI”)</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to the financial half of the annual cash incentive component for all executive officers, as discussed in the section of the CD&amp;A entitled “Annual Cash Incentive Decisions for 2013—Introduction of Relative Performance Incentive (“RPI”).” Any RPI payouts are based on averages of the relative one-year performance of each of our business units and geographic areas worldwide, comparing year-over-year revenue growth and margin growth in each business unit and geographic area against that of our two RPI comparator companies. To determine the RPI achievement across all of our business units and geographic areas worldwide, we first determine each company’s comparative ranking in each geographic area, and then determine each business unit’s score in each GeoMarket region based on a scale from 2 (if the business unit ranked first on each measure) to 6 (if it ranked third on each measure). For these purposes, we and the two RPI comparator companies are ranked in each geographic area based on full-year 2013 revenue growth and margin growth. References to “geographic areas” generally are to the geographic areas of the Company as to which financial results are publicly reported (e.g., North America, Latin America, and Middle East &amp; Asia), and for the RPI comparator companies, the same or their nearest equivalent reported geographic area.</w:t>
      </w:r>
    </w:p>
    <w:p>
      <w:pPr>
        <w:spacing w:after="0" w:line="183"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A business unit’s score in each geographic area is determined by a combination of area ranking and business unit score based on a matrix of zero to 100%. We average a business unit’s results for all GeoMarkets within a geographic area to determine that business unit’s geographic area score, in each case weighting each GeoMarket and each segment equally. We then average the geographic area RPI scores for each business unit to determine its average global RPI score. The RPI achievement for our NEOs is the average of the global RPI scores of our global business units.</w:t>
      </w:r>
    </w:p>
    <w:p>
      <w:pPr>
        <w:spacing w:after="0" w:line="154"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Once the global RPI percentage achievement is calculated, the result is compared to the performance payout schedule/matrix established by the Committee in July 2013.</w:t>
      </w:r>
    </w:p>
    <w:p>
      <w:pPr>
        <w:spacing w:after="0" w:line="197" w:lineRule="exact"/>
        <w:rPr>
          <w:sz w:val="20"/>
          <w:szCs w:val="20"/>
          <w:color w:val="auto"/>
        </w:rPr>
      </w:pPr>
    </w:p>
    <w:p>
      <w:pPr>
        <w:ind w:left="460" w:hanging="452"/>
        <w:spacing w:after="0" w:line="288"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Relates to PSUs issued under our 2010 Omnibus Stock Incentive Plan. See “Compensation Discussion and Analysis — Long-Term Incentive Compensation— Introduction of Performance Share Units” beginning on page 38 for a detailed description of our PSUs, including the criteria to be applied in determining the amounts payable. See also “Potential Payments Upon Termination or Change in Control for Fiscal Year 2013— Termination of Employment—PSUs” and “Potential Payments Upon Termination or Change in Control for Fiscal Year 2013— Change in Control—PSUs,” beginning on page 63. We valued the PSUs by multiplying the number of PSUs (at target) and $72.00, $70.76 and $69.53, each being the grant date fair value for the 1-year, 2-year and 3-year PSUs, respectively. “Target” represents the number of PSUs awarded in 2013, and “Maximum” reflects the highest possible payout (250% of the grant). The award agreements under which the PSUs were issued do not specify a threshold. Vested PSUs are paid in shares of our common stock, and the payout, if any, with respect to PSUs will occur at the end of the performance period (for our three-year PSUs, January 2013 through December 2015), and is calculated in the manner described in the “Long-Term Incentive Compensation— Introduction of Performance Share Units” section of the CD&amp;A. PSUs do not accrue dividends or dividend equivalents prior to vesting.</w:t>
      </w:r>
    </w:p>
    <w:p>
      <w:pPr>
        <w:spacing w:after="0" w:line="196" w:lineRule="exact"/>
        <w:rPr>
          <w:rFonts w:ascii="Arial" w:cs="Arial" w:eastAsia="Arial" w:hAnsi="Arial"/>
          <w:sz w:val="16"/>
          <w:szCs w:val="16"/>
          <w:color w:val="auto"/>
        </w:rPr>
      </w:pPr>
    </w:p>
    <w:p>
      <w:pPr>
        <w:ind w:left="460" w:right="30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stock option awards have an exercise price equal to the average of the high and low per share prices of our common stock on the dates of grant. Stock options exercises may be paid in cash or by tendering shares of our common stock. Applicable tax obligations may be paid in cash or by withholding of shares of our common stock. The stock options granted in January 2013 vest in five equal annual installments, except for options granted to employees in France, which are subject to four-year cliff vesting.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2013</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provides information regarding unexercised stock options outstanding and outstanding PSU awards for each of our NEOs as of December 31,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Stock Awards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0"/>
              </w:rPr>
              <w:t>Equity</w:t>
            </w:r>
          </w:p>
        </w:tc>
        <w:tc>
          <w:tcPr>
            <w:tcW w:w="7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Incentive</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Number</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Unearned</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3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4"/>
              </w:rPr>
              <w:t>of Shares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Shares or</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Shares,</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 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3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or Units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Units or</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3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5"/>
              </w:rPr>
              <w:t>of Stock</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Option/PSU</w:t>
            </w:r>
          </w:p>
        </w:tc>
        <w:tc>
          <w:tcPr>
            <w:tcW w:w="11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3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7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That Have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That Have</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Grant</w:t>
            </w:r>
          </w:p>
        </w:tc>
        <w:tc>
          <w:tcPr>
            <w:tcW w:w="11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Options</w:t>
            </w:r>
          </w:p>
        </w:tc>
        <w:tc>
          <w:tcPr>
            <w:tcW w:w="13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Options</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Exercise</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7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2"/>
              </w:rPr>
              <w:t>Not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Not</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Not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1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 Exercisable</w:t>
            </w:r>
            <w:r>
              <w:rPr>
                <w:rFonts w:ascii="Arial" w:cs="Arial" w:eastAsia="Arial" w:hAnsi="Arial"/>
                <w:sz w:val="10"/>
                <w:szCs w:val="10"/>
                <w:b w:val="1"/>
                <w:bCs w:val="1"/>
                <w:color w:val="auto"/>
                <w:w w:val="88"/>
              </w:rPr>
              <w:t>(1)</w:t>
            </w:r>
          </w:p>
        </w:tc>
        <w:tc>
          <w:tcPr>
            <w:tcW w:w="13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 Unexercisable</w:t>
            </w:r>
            <w:r>
              <w:rPr>
                <w:rFonts w:ascii="Arial" w:cs="Arial" w:eastAsia="Arial" w:hAnsi="Arial"/>
                <w:sz w:val="10"/>
                <w:szCs w:val="10"/>
                <w:b w:val="1"/>
                <w:bCs w:val="1"/>
                <w:color w:val="auto"/>
                <w:w w:val="88"/>
              </w:rPr>
              <w:t>(1)</w:t>
            </w: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Price ($)</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Vested (#)</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Vested ($)</w:t>
            </w:r>
            <w:r>
              <w:rPr>
                <w:rFonts w:ascii="Arial" w:cs="Arial" w:eastAsia="Arial" w:hAnsi="Arial"/>
                <w:sz w:val="10"/>
                <w:szCs w:val="10"/>
                <w:b w:val="1"/>
                <w:bCs w:val="1"/>
                <w:color w:val="auto"/>
                <w:w w:val="88"/>
              </w:rPr>
              <w:t>(2)</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Vested (#)</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 xml:space="preserve">Vested </w:t>
            </w:r>
            <w:r>
              <w:rPr>
                <w:rFonts w:ascii="Arial" w:cs="Arial" w:eastAsia="Arial" w:hAnsi="Arial"/>
                <w:sz w:val="13"/>
                <w:szCs w:val="13"/>
                <w:b w:val="1"/>
                <w:bCs w:val="1"/>
                <w:u w:val="single" w:color="auto"/>
                <w:color w:val="auto"/>
                <w:w w:val="88"/>
              </w:rPr>
              <w:t>($</w:t>
            </w:r>
            <w:r>
              <w:rPr>
                <w:rFonts w:ascii="Arial" w:cs="Arial" w:eastAsia="Arial" w:hAnsi="Arial"/>
                <w:sz w:val="13"/>
                <w:szCs w:val="13"/>
                <w:b w:val="1"/>
                <w:bCs w:val="1"/>
                <w:color w:val="auto"/>
                <w:w w:val="88"/>
              </w:rPr>
              <w:t>)</w:t>
            </w:r>
            <w:r>
              <w:rPr>
                <w:rFonts w:ascii="Arial" w:cs="Arial" w:eastAsia="Arial" w:hAnsi="Arial"/>
                <w:sz w:val="10"/>
                <w:szCs w:val="10"/>
                <w:b w:val="1"/>
                <w:bCs w:val="1"/>
                <w:color w:val="auto"/>
                <w:w w:val="88"/>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P. Kibsgaard</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7/19/2006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63.545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7/19/2016</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1/17/2008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84.930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1/17/2018</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1/22/2009</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37.845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4/23/2009</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45.880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4/23/2019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1/21/2010</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18,800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68.505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2/4/2010</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25,600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63.760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1/20/2011</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55,200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83.885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1/20/2021</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7/21/2011</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89.995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7/21/2021</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1/19/2012</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85,800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343,200</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72.110</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1/19/2022</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1/17/2013</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73.250</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1/17/2023</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1/17/2013</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50,967</w:t>
            </w:r>
            <w:r>
              <w:rPr>
                <w:rFonts w:ascii="Arial" w:cs="Arial" w:eastAsia="Arial" w:hAnsi="Arial"/>
                <w:sz w:val="10"/>
                <w:szCs w:val="10"/>
                <w:color w:val="auto"/>
              </w:rPr>
              <w:t>(3)</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4,568,307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121,350</w:t>
            </w:r>
            <w:r>
              <w:rPr>
                <w:rFonts w:ascii="Arial" w:cs="Arial" w:eastAsia="Arial" w:hAnsi="Arial"/>
                <w:sz w:val="10"/>
                <w:szCs w:val="10"/>
                <w:color w:val="auto"/>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10,934,849</w:t>
            </w: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Arial" w:cs="Arial" w:eastAsia="Arial" w:hAnsi="Arial"/>
                <w:sz w:val="13"/>
                <w:szCs w:val="13"/>
                <w:color w:val="auto"/>
              </w:rPr>
              <w:t>S. Ayat</w:t>
            </w: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1/18/2006</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60,000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54.235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1/18/2016</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1/17/2007</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100,000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58.455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1/17/2017</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1/17/2008</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60,000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84.930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1/17/2018</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1/22/2009</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100,000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25,000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37.845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1/22/2019</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1/21/2010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57,000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38,000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68.505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1/21/2020</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1/20/2011</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75,200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112,800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83.885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1/20/2021</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1/19/2012</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27,400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109,600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72.110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1/19/2022</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1/17/2013</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80,000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73.250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1/17/2023</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1/17/2013</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17,703</w:t>
            </w:r>
            <w:r>
              <w:rPr>
                <w:rFonts w:ascii="Arial" w:cs="Arial" w:eastAsia="Arial" w:hAnsi="Arial"/>
                <w:sz w:val="10"/>
                <w:szCs w:val="10"/>
                <w:color w:val="auto"/>
              </w:rPr>
              <w:t>(3)</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1,595,217</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42,150</w:t>
            </w:r>
            <w:r>
              <w:rPr>
                <w:rFonts w:ascii="Arial" w:cs="Arial" w:eastAsia="Arial" w:hAnsi="Arial"/>
                <w:sz w:val="10"/>
                <w:szCs w:val="10"/>
                <w:color w:val="auto"/>
              </w:rPr>
              <w:t>(5)</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3,798,137</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380" w:type="dxa"/>
            <w:vAlign w:val="bottom"/>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 Pai</w:t>
            </w:r>
            <w:r>
              <w:rPr>
                <w:rFonts w:ascii="Arial" w:cs="Arial" w:eastAsia="Arial" w:hAnsi="Arial"/>
                <w:sz w:val="10"/>
                <w:szCs w:val="10"/>
                <w:color w:val="auto"/>
              </w:rPr>
              <w:t>(6)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1/18/2006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54.235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1/18/2016</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7/19/2006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63.545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7/19/2016</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1/17/2008</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84.930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1/17/2018</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1/22/2009</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37.845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4/23/2009</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45.880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4/23/2019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1/21/2010</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68.505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2/4/2010</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63.760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10/21/2010</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83,334</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64.225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10/21/2020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1/20/2011</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88,000</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83.885</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1/20/2021</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1/19/2012</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137,000</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72.110</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1/19/2022</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1/17/2013</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97,000</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73.250</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1/17/2023</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Arial" w:cs="Arial" w:eastAsia="Arial" w:hAnsi="Arial"/>
                <w:sz w:val="13"/>
                <w:szCs w:val="13"/>
                <w:color w:val="auto"/>
              </w:rPr>
              <w:t>A. Belani</w:t>
            </w: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1/18/2006</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92,632</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54.235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1/18/2016</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1/17/2007</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46,577</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58.455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1/17/2017</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1/17/2008</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60,000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84.930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1/17/2018</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1/22/2009</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100,000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25,000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37.845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1/22/2019</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1/21/2010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35,400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23,600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68.505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1/21/2020</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1/20/2011</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51,600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77,400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83.885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1/20/2021</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1/19/2012</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25,400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101,600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72.110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1/19/2022</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1/17/2013</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72,000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73.250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1/17/2023</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w w:val="89"/>
              </w:rPr>
              <w:t>1/17/2013</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15,939</w:t>
            </w:r>
            <w:r>
              <w:rPr>
                <w:rFonts w:ascii="Arial" w:cs="Arial" w:eastAsia="Arial" w:hAnsi="Arial"/>
                <w:sz w:val="10"/>
                <w:szCs w:val="10"/>
                <w:color w:val="auto"/>
              </w:rPr>
              <w:t>(3)</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1,436,263</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37,950</w:t>
            </w:r>
            <w:r>
              <w:rPr>
                <w:rFonts w:ascii="Arial" w:cs="Arial" w:eastAsia="Arial" w:hAnsi="Arial"/>
                <w:sz w:val="10"/>
                <w:szCs w:val="10"/>
                <w:color w:val="auto"/>
              </w:rPr>
              <w:t>(7)</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3,419,675</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380" w:type="dxa"/>
            <w:vAlign w:val="bottom"/>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K.-E. Oestdahl</w:t>
            </w:r>
            <w:r>
              <w:rPr>
                <w:rFonts w:ascii="Arial" w:cs="Arial" w:eastAsia="Arial" w:hAnsi="Arial"/>
                <w:sz w:val="10"/>
                <w:szCs w:val="10"/>
                <w:color w:val="auto"/>
              </w:rPr>
              <w:t>(8)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1/17/2008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84.930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1/17/2018</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9"/>
              </w:rPr>
              <w:t>1/22/2009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37.845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4/23/2009</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45.880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4/23/2019</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1/21/2010</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68.505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1/21/2020</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1/20/2011</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83.885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1/20/2021</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4/21/2011</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90.065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4/21/2021</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1/19/2012</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72.110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1/19/2022</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2"/>
              </w:rPr>
              <w:t>1/17/2013</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73.250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1/17/2023</w:t>
            </w: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Stock Awards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0"/>
              </w:rPr>
              <w:t>Equity</w:t>
            </w:r>
          </w:p>
        </w:tc>
        <w:tc>
          <w:tcPr>
            <w:tcW w:w="7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3"/>
              </w:rPr>
              <w:t>Number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4"/>
              </w:rPr>
              <w:t>of Shares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Shares,</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 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5"/>
              </w:rPr>
              <w:t>or Units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Units or</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1"/>
              </w:rPr>
              <w:t>of Stock</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Option/PSU</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Option</w:t>
            </w:r>
          </w:p>
        </w:tc>
        <w:tc>
          <w:tcPr>
            <w:tcW w:w="90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3"/>
              </w:rPr>
              <w:t>That Have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That Have</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Options</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Options</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Exercise</w:t>
            </w:r>
          </w:p>
        </w:tc>
        <w:tc>
          <w:tcPr>
            <w:tcW w:w="9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2"/>
              </w:rPr>
              <w:t>Not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Not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62"/>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 Exercisable</w:t>
            </w:r>
            <w:r>
              <w:rPr>
                <w:rFonts w:ascii="Arial" w:cs="Arial" w:eastAsia="Arial" w:hAnsi="Arial"/>
                <w:sz w:val="10"/>
                <w:szCs w:val="10"/>
                <w:b w:val="1"/>
                <w:bCs w:val="1"/>
                <w:color w:val="auto"/>
                <w:w w:val="88"/>
              </w:rPr>
              <w:t>(1)</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 Unexercisable</w:t>
            </w:r>
            <w:r>
              <w:rPr>
                <w:rFonts w:ascii="Arial" w:cs="Arial" w:eastAsia="Arial" w:hAnsi="Arial"/>
                <w:sz w:val="10"/>
                <w:szCs w:val="10"/>
                <w:b w:val="1"/>
                <w:bCs w:val="1"/>
                <w:color w:val="auto"/>
                <w:w w:val="88"/>
              </w:rPr>
              <w:t>(1)</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Price ($)</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Date</w:t>
            </w:r>
          </w:p>
        </w:tc>
        <w:tc>
          <w:tcPr>
            <w:tcW w:w="780" w:type="dxa"/>
            <w:vAlign w:val="bottom"/>
          </w:tcPr>
          <w:p>
            <w:pPr>
              <w:jc w:val="center"/>
              <w:ind w:right="137"/>
              <w:spacing w:after="0"/>
              <w:rPr>
                <w:sz w:val="20"/>
                <w:szCs w:val="20"/>
                <w:color w:val="auto"/>
              </w:rPr>
            </w:pPr>
            <w:r>
              <w:rPr>
                <w:rFonts w:ascii="Arial" w:cs="Arial" w:eastAsia="Arial" w:hAnsi="Arial"/>
                <w:sz w:val="13"/>
                <w:szCs w:val="13"/>
                <w:b w:val="1"/>
                <w:bCs w:val="1"/>
                <w:color w:val="auto"/>
                <w:w w:val="86"/>
              </w:rPr>
              <w:t>Vested (#)</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Vested ($)</w:t>
            </w:r>
            <w:r>
              <w:rPr>
                <w:rFonts w:ascii="Arial" w:cs="Arial" w:eastAsia="Arial" w:hAnsi="Arial"/>
                <w:sz w:val="10"/>
                <w:szCs w:val="10"/>
                <w:b w:val="1"/>
                <w:bCs w:val="1"/>
                <w:color w:val="auto"/>
                <w:w w:val="86"/>
              </w:rPr>
              <w:t>(2)</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Vested (#)</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 xml:space="preserve">Vested </w:t>
            </w:r>
            <w:r>
              <w:rPr>
                <w:rFonts w:ascii="Arial" w:cs="Arial" w:eastAsia="Arial" w:hAnsi="Arial"/>
                <w:sz w:val="13"/>
                <w:szCs w:val="13"/>
                <w:b w:val="1"/>
                <w:bCs w:val="1"/>
                <w:u w:val="single" w:color="auto"/>
                <w:color w:val="auto"/>
                <w:w w:val="88"/>
              </w:rPr>
              <w:t>($</w:t>
            </w:r>
            <w:r>
              <w:rPr>
                <w:rFonts w:ascii="Arial" w:cs="Arial" w:eastAsia="Arial" w:hAnsi="Arial"/>
                <w:sz w:val="13"/>
                <w:szCs w:val="13"/>
                <w:b w:val="1"/>
                <w:bCs w:val="1"/>
                <w:color w:val="auto"/>
                <w:w w:val="88"/>
              </w:rPr>
              <w:t>)</w:t>
            </w:r>
            <w:r>
              <w:rPr>
                <w:rFonts w:ascii="Arial" w:cs="Arial" w:eastAsia="Arial" w:hAnsi="Arial"/>
                <w:sz w:val="10"/>
                <w:szCs w:val="10"/>
                <w:b w:val="1"/>
                <w:bCs w:val="1"/>
                <w:color w:val="auto"/>
                <w:w w:val="88"/>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J.F. Poupeau</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1/18/2006</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54.235</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1/18/2016</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4/19/2006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66.030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4/19/2016</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7/19/2007</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92.700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7/19/2017</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1/22/2009</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28,000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37.845</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1/22/2019</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1/21/2010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w:t>
            </w: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68.505</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1/21/2020</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1/20/2011</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18,800</w:t>
            </w: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83.885</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1/20/2021</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1/19/2012</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72.110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1/19/2022</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7/19/2012</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68.830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7/19/2022</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0"/>
              </w:rPr>
              <w:t>73.250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1/17/2023</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14,175</w:t>
            </w:r>
            <w:r>
              <w:rPr>
                <w:rFonts w:ascii="Arial" w:cs="Arial" w:eastAsia="Arial" w:hAnsi="Arial"/>
                <w:sz w:val="10"/>
                <w:szCs w:val="10"/>
                <w:color w:val="auto"/>
              </w:rPr>
              <w:t>(3)</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1,277,309</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33,750</w:t>
            </w:r>
            <w:r>
              <w:rPr>
                <w:rFonts w:ascii="Arial" w:cs="Arial" w:eastAsia="Arial" w:hAnsi="Arial"/>
                <w:sz w:val="10"/>
                <w:szCs w:val="10"/>
                <w:color w:val="auto"/>
              </w:rPr>
              <w:t>(9)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3,041,213</w:t>
            </w:r>
          </w:p>
        </w:tc>
        <w:tc>
          <w:tcPr>
            <w:tcW w:w="0" w:type="dxa"/>
            <w:vAlign w:val="bottom"/>
          </w:tcPr>
          <w:p>
            <w:pPr>
              <w:spacing w:after="0"/>
              <w:rPr>
                <w:sz w:val="1"/>
                <w:szCs w:val="1"/>
                <w:color w:val="auto"/>
              </w:rPr>
            </w:pPr>
          </w:p>
        </w:tc>
      </w:tr>
      <w:tr>
        <w:trPr>
          <w:trHeight w:val="215"/>
        </w:trPr>
        <w:tc>
          <w:tcPr>
            <w:tcW w:w="2500" w:type="dxa"/>
            <w:vAlign w:val="bottom"/>
            <w:gridSpan w:val="2"/>
          </w:tcPr>
          <w:p>
            <w:pPr>
              <w:spacing w:after="0"/>
              <w:rPr>
                <w:sz w:val="20"/>
                <w:szCs w:val="20"/>
                <w:color w:val="auto"/>
              </w:rPr>
            </w:pPr>
            <w:r>
              <w:rPr>
                <w:rFonts w:ascii="Arial" w:cs="Arial" w:eastAsia="Arial" w:hAnsi="Arial"/>
                <w:sz w:val="13"/>
                <w:szCs w:val="13"/>
                <w:color w:val="auto"/>
              </w:rPr>
              <w:t>A. Juden</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1/22/2009</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14,000</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37.845</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1/22/2019</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1/21/2010</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31,200</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20,800</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68.505</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1/21/2020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1/20/2011</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27,600</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41,400</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83.885</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1/20/2021</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1/19/2012</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19,600</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78,400</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72.110</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1/19/2022</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1/17/2013</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54,000</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73.250</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1/17/2023</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1/17/2013</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11,970</w:t>
            </w:r>
            <w:r>
              <w:rPr>
                <w:rFonts w:ascii="Arial" w:cs="Arial" w:eastAsia="Arial" w:hAnsi="Arial"/>
                <w:sz w:val="10"/>
                <w:szCs w:val="10"/>
                <w:color w:val="auto"/>
              </w:rPr>
              <w:t>(3)</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1,078,616</w:t>
            </w:r>
          </w:p>
        </w:tc>
        <w:tc>
          <w:tcPr>
            <w:tcW w:w="1160" w:type="dxa"/>
            <w:vAlign w:val="bottom"/>
            <w:gridSpan w:val="2"/>
          </w:tcPr>
          <w:p>
            <w:pPr>
              <w:ind w:left="500"/>
              <w:spacing w:after="0"/>
              <w:rPr>
                <w:sz w:val="20"/>
                <w:szCs w:val="20"/>
                <w:color w:val="auto"/>
              </w:rPr>
            </w:pPr>
            <w:r>
              <w:rPr>
                <w:rFonts w:ascii="Arial" w:cs="Arial" w:eastAsia="Arial" w:hAnsi="Arial"/>
                <w:sz w:val="13"/>
                <w:szCs w:val="13"/>
                <w:color w:val="auto"/>
              </w:rPr>
              <w:t>28,500</w:t>
            </w:r>
            <w:r>
              <w:rPr>
                <w:rFonts w:ascii="Arial" w:cs="Arial" w:eastAsia="Arial" w:hAnsi="Arial"/>
                <w:sz w:val="10"/>
                <w:szCs w:val="10"/>
                <w:color w:val="auto"/>
              </w:rPr>
              <w:t>(10)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2,568,135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8" w:lineRule="exact"/>
        <w:rPr>
          <w:sz w:val="20"/>
          <w:szCs w:val="20"/>
          <w:color w:val="auto"/>
        </w:rPr>
      </w:pPr>
    </w:p>
    <w:p>
      <w:pPr>
        <w:jc w:val="both"/>
        <w:ind w:left="340" w:right="880" w:hanging="332"/>
        <w:spacing w:after="0" w:line="27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Options granted in January 2006 have four-year ratable vesting and stock price appreciation is capped at 125% of the exercise price on the date of grant. The grants listed in the table above that were made after January 2006 have five-year ratable vesting and no profit cap, except for options granted to employees in France, which have four-year cliff vesting.</w:t>
      </w:r>
    </w:p>
    <w:p>
      <w:pPr>
        <w:spacing w:after="0" w:line="211" w:lineRule="exact"/>
        <w:rPr>
          <w:rFonts w:ascii="Arial" w:cs="Arial" w:eastAsia="Arial" w:hAnsi="Arial"/>
          <w:sz w:val="16"/>
          <w:szCs w:val="16"/>
          <w:color w:val="auto"/>
        </w:rPr>
      </w:pPr>
    </w:p>
    <w:p>
      <w:pPr>
        <w:ind w:left="340" w:right="62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market value is equal to the product of (x) $90.11, the closing price of Schlumberger’s common stock at December 31, 2013, and (y) the number of unvested PSUs reflected in the previous column.</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Reflects the number of shares of Schlumberger common stock that were issued upon vesting, on January 17, 2014, of one-year PSUs issued in January 2013.</w:t>
      </w:r>
    </w:p>
    <w:p>
      <w:pPr>
        <w:spacing w:after="0" w:line="273" w:lineRule="exact"/>
        <w:rPr>
          <w:rFonts w:ascii="Arial" w:cs="Arial" w:eastAsia="Arial" w:hAnsi="Arial"/>
          <w:sz w:val="15"/>
          <w:szCs w:val="15"/>
          <w:color w:val="auto"/>
        </w:rPr>
      </w:pPr>
    </w:p>
    <w:p>
      <w:pPr>
        <w:ind w:left="340" w:right="104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40,450 PSUs at the target award level that vest on January 17, 2015 and 80,900 PSUs at the target award level that vest on January 17, 2016, each subject to the achievement of the applicable performance conditions.</w:t>
      </w:r>
    </w:p>
    <w:p>
      <w:pPr>
        <w:spacing w:after="0" w:line="199" w:lineRule="exact"/>
        <w:rPr>
          <w:rFonts w:ascii="Arial" w:cs="Arial" w:eastAsia="Arial" w:hAnsi="Arial"/>
          <w:sz w:val="16"/>
          <w:szCs w:val="16"/>
          <w:color w:val="auto"/>
        </w:rPr>
      </w:pPr>
    </w:p>
    <w:p>
      <w:pPr>
        <w:ind w:left="340" w:right="104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14,050 PSUs at the target award level that vest on January 17, 2015 and 28,100 PSUs at the target award level that vest on January 17, 2016, each subject to the achievement of the applicable performance conditions.</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Pai forfeited all PSUs that had been issued to him in 2013 in connection with his assumption of a non-executive advisory position with the Company.</w:t>
      </w:r>
    </w:p>
    <w:p>
      <w:pPr>
        <w:spacing w:after="0" w:line="261" w:lineRule="exact"/>
        <w:rPr>
          <w:rFonts w:ascii="Arial" w:cs="Arial" w:eastAsia="Arial" w:hAnsi="Arial"/>
          <w:sz w:val="16"/>
          <w:szCs w:val="16"/>
          <w:color w:val="auto"/>
        </w:rPr>
      </w:pPr>
    </w:p>
    <w:p>
      <w:pPr>
        <w:ind w:left="340" w:right="104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12,650 PSUs at the target award level that vest on January 17, 2015 and 25,300 PSUs at the target award level that vest on January 17, 2016, each subject to the achievement of the applicable performance conditions.</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Mr. Oestdahl forfeited all PSUs that had been issued to him in 2013 in connection with his assumption of a non-executive advisory position with the Company.</w:t>
      </w:r>
    </w:p>
    <w:p>
      <w:pPr>
        <w:spacing w:after="0" w:line="273" w:lineRule="exact"/>
        <w:rPr>
          <w:rFonts w:ascii="Arial" w:cs="Arial" w:eastAsia="Arial" w:hAnsi="Arial"/>
          <w:sz w:val="15"/>
          <w:szCs w:val="15"/>
          <w:color w:val="auto"/>
        </w:rPr>
      </w:pPr>
    </w:p>
    <w:p>
      <w:pPr>
        <w:ind w:left="340" w:right="106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11,250 PSUs at the target award level that vest on January 17, 2015 and 22,500 PSUs at the target award level that vest on January 17, 2016, each subject to the achievement of the applicable performance conditions.</w:t>
      </w:r>
    </w:p>
    <w:p>
      <w:pPr>
        <w:spacing w:after="0" w:line="199" w:lineRule="exact"/>
        <w:rPr>
          <w:rFonts w:ascii="Arial" w:cs="Arial" w:eastAsia="Arial" w:hAnsi="Arial"/>
          <w:sz w:val="16"/>
          <w:szCs w:val="16"/>
          <w:color w:val="auto"/>
        </w:rPr>
      </w:pPr>
    </w:p>
    <w:p>
      <w:pPr>
        <w:ind w:left="340" w:right="620" w:hanging="332"/>
        <w:spacing w:after="0" w:line="29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9,500 PSUs at the target award level that vest on January 17, 2015 and 19,000 PSUs at the target award level that vest on January 17, 2016, each subject to the achievement of the applicable performance conditions.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Year 2013</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options exercised and restricted stock units that vested during 2013 for our NEOs.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gridSpan w:val="2"/>
          </w:tcPr>
          <w:p>
            <w:pPr>
              <w:jc w:val="center"/>
              <w:ind w:right="88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900" w:type="dxa"/>
            <w:vAlign w:val="bottom"/>
          </w:tcPr>
          <w:p>
            <w:pPr>
              <w:spacing w:after="0"/>
              <w:rPr>
                <w:sz w:val="10"/>
                <w:szCs w:val="10"/>
                <w:color w:val="auto"/>
              </w:rPr>
            </w:pPr>
          </w:p>
        </w:tc>
        <w:tc>
          <w:tcPr>
            <w:tcW w:w="2300" w:type="dxa"/>
            <w:vAlign w:val="bottom"/>
            <w:gridSpan w:val="2"/>
          </w:tcPr>
          <w:p>
            <w:pPr>
              <w:jc w:val="right"/>
              <w:ind w:right="1040"/>
              <w:spacing w:after="0" w:line="119" w:lineRule="exact"/>
              <w:rPr>
                <w:sz w:val="20"/>
                <w:szCs w:val="20"/>
                <w:color w:val="auto"/>
              </w:rPr>
            </w:pPr>
            <w:r>
              <w:rPr>
                <w:rFonts w:ascii="Arial" w:cs="Arial" w:eastAsia="Arial" w:hAnsi="Arial"/>
                <w:sz w:val="13"/>
                <w:szCs w:val="13"/>
                <w:b w:val="1"/>
                <w:bCs w:val="1"/>
                <w:color w:val="auto"/>
              </w:rPr>
              <w:t>Number of Shares</w:t>
            </w: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20" w:type="dxa"/>
            <w:vAlign w:val="bottom"/>
            <w:gridSpan w:val="3"/>
            <w:vMerge w:val="continue"/>
          </w:tcPr>
          <w:p>
            <w:pPr>
              <w:spacing w:after="0"/>
              <w:rPr>
                <w:sz w:val="12"/>
                <w:szCs w:val="12"/>
                <w:color w:val="auto"/>
              </w:rPr>
            </w:pPr>
          </w:p>
        </w:tc>
        <w:tc>
          <w:tcPr>
            <w:tcW w:w="2380" w:type="dxa"/>
            <w:vAlign w:val="bottom"/>
            <w:gridSpan w:val="2"/>
          </w:tcPr>
          <w:p>
            <w:pPr>
              <w:jc w:val="center"/>
              <w:ind w:right="900"/>
              <w:spacing w:after="0" w:line="145" w:lineRule="exact"/>
              <w:rPr>
                <w:sz w:val="20"/>
                <w:szCs w:val="20"/>
                <w:color w:val="auto"/>
              </w:rPr>
            </w:pPr>
            <w:r>
              <w:rPr>
                <w:rFonts w:ascii="Arial" w:cs="Arial" w:eastAsia="Arial" w:hAnsi="Arial"/>
                <w:sz w:val="14"/>
                <w:szCs w:val="14"/>
                <w:b w:val="1"/>
                <w:bCs w:val="1"/>
                <w:color w:val="auto"/>
                <w:w w:val="92"/>
              </w:rPr>
              <w:t>Acquired on Exercise(#)</w:t>
            </w:r>
          </w:p>
        </w:tc>
        <w:tc>
          <w:tcPr>
            <w:tcW w:w="1820" w:type="dxa"/>
            <w:vAlign w:val="bottom"/>
            <w:gridSpan w:val="2"/>
          </w:tcPr>
          <w:p>
            <w:pPr>
              <w:jc w:val="center"/>
              <w:ind w:right="900"/>
              <w:spacing w:after="0" w:line="145" w:lineRule="exact"/>
              <w:rPr>
                <w:sz w:val="20"/>
                <w:szCs w:val="20"/>
                <w:color w:val="auto"/>
              </w:rPr>
            </w:pPr>
            <w:r>
              <w:rPr>
                <w:rFonts w:ascii="Arial" w:cs="Arial" w:eastAsia="Arial" w:hAnsi="Arial"/>
                <w:sz w:val="14"/>
                <w:szCs w:val="14"/>
                <w:b w:val="1"/>
                <w:bCs w:val="1"/>
                <w:color w:val="auto"/>
                <w:w w:val="91"/>
              </w:rPr>
              <w:t>on Exercise($)</w:t>
            </w:r>
          </w:p>
        </w:tc>
        <w:tc>
          <w:tcPr>
            <w:tcW w:w="2300" w:type="dxa"/>
            <w:vAlign w:val="bottom"/>
            <w:gridSpan w:val="2"/>
          </w:tcPr>
          <w:p>
            <w:pPr>
              <w:jc w:val="right"/>
              <w:ind w:right="900"/>
              <w:spacing w:after="0" w:line="145" w:lineRule="exact"/>
              <w:rPr>
                <w:sz w:val="20"/>
                <w:szCs w:val="20"/>
                <w:color w:val="auto"/>
              </w:rPr>
            </w:pPr>
            <w:r>
              <w:rPr>
                <w:rFonts w:ascii="Arial" w:cs="Arial" w:eastAsia="Arial" w:hAnsi="Arial"/>
                <w:sz w:val="14"/>
                <w:szCs w:val="14"/>
                <w:b w:val="1"/>
                <w:bCs w:val="1"/>
                <w:color w:val="auto"/>
                <w:w w:val="90"/>
              </w:rPr>
              <w:t>Acquired on Vesting(#)</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6"/>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2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(b)</w:t>
            </w:r>
          </w:p>
        </w:tc>
        <w:tc>
          <w:tcPr>
            <w:tcW w:w="18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w:t>
            </w:r>
          </w:p>
        </w:tc>
        <w:tc>
          <w:tcPr>
            <w:tcW w:w="230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 Kibsgaard</w:t>
            </w:r>
          </w:p>
        </w:tc>
        <w:tc>
          <w:tcPr>
            <w:tcW w:w="8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3,291,522</w:t>
            </w:r>
          </w:p>
        </w:tc>
        <w:tc>
          <w:tcPr>
            <w:tcW w:w="9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20" w:type="dxa"/>
            <w:vAlign w:val="bottom"/>
            <w:gridSpan w:val="3"/>
          </w:tcPr>
          <w:p>
            <w:pPr>
              <w:spacing w:after="0"/>
              <w:rPr>
                <w:sz w:val="20"/>
                <w:szCs w:val="20"/>
                <w:color w:val="auto"/>
              </w:rPr>
            </w:pPr>
            <w:r>
              <w:rPr>
                <w:rFonts w:ascii="Arial" w:cs="Arial" w:eastAsia="Arial" w:hAnsi="Arial"/>
                <w:sz w:val="16"/>
                <w:szCs w:val="16"/>
                <w:color w:val="auto"/>
              </w:rPr>
              <w:t>S. Ayat</w:t>
            </w:r>
          </w:p>
        </w:tc>
        <w:tc>
          <w:tcPr>
            <w:tcW w:w="2380" w:type="dxa"/>
            <w:vAlign w:val="bottom"/>
            <w:gridSpan w:val="2"/>
          </w:tcPr>
          <w:p>
            <w:pPr>
              <w:jc w:val="right"/>
              <w:ind w:right="880"/>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 Pai</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9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20" w:type="dxa"/>
            <w:vAlign w:val="bottom"/>
            <w:gridSpan w:val="3"/>
          </w:tcPr>
          <w:p>
            <w:pPr>
              <w:spacing w:after="0"/>
              <w:rPr>
                <w:sz w:val="20"/>
                <w:szCs w:val="20"/>
                <w:color w:val="auto"/>
              </w:rPr>
            </w:pPr>
            <w:r>
              <w:rPr>
                <w:rFonts w:ascii="Arial" w:cs="Arial" w:eastAsia="Arial" w:hAnsi="Arial"/>
                <w:sz w:val="16"/>
                <w:szCs w:val="16"/>
                <w:color w:val="auto"/>
              </w:rPr>
              <w:t>A. Belani</w:t>
            </w:r>
          </w:p>
        </w:tc>
        <w:tc>
          <w:tcPr>
            <w:tcW w:w="2380" w:type="dxa"/>
            <w:vAlign w:val="bottom"/>
            <w:gridSpan w:val="2"/>
          </w:tcPr>
          <w:p>
            <w:pPr>
              <w:jc w:val="right"/>
              <w:ind w:right="880"/>
              <w:spacing w:after="0"/>
              <w:rPr>
                <w:sz w:val="20"/>
                <w:szCs w:val="20"/>
                <w:color w:val="auto"/>
              </w:rPr>
            </w:pPr>
            <w:r>
              <w:rPr>
                <w:rFonts w:ascii="Arial" w:cs="Arial" w:eastAsia="Arial" w:hAnsi="Arial"/>
                <w:sz w:val="16"/>
                <w:szCs w:val="16"/>
                <w:color w:val="auto"/>
              </w:rPr>
              <w:t>10,791</w:t>
            </w:r>
          </w:p>
        </w:tc>
        <w:tc>
          <w:tcPr>
            <w:tcW w:w="920" w:type="dxa"/>
            <w:vAlign w:val="bottom"/>
          </w:tcPr>
          <w:p>
            <w:pPr>
              <w:jc w:val="right"/>
              <w:spacing w:after="0"/>
              <w:rPr>
                <w:sz w:val="20"/>
                <w:szCs w:val="20"/>
                <w:color w:val="auto"/>
              </w:rPr>
            </w:pPr>
            <w:r>
              <w:rPr>
                <w:rFonts w:ascii="Arial" w:cs="Arial" w:eastAsia="Arial" w:hAnsi="Arial"/>
                <w:sz w:val="16"/>
                <w:szCs w:val="16"/>
                <w:color w:val="auto"/>
              </w:rPr>
              <w:t>392,430</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 Oestdahl</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38,800</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967,117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476,190</w:t>
            </w:r>
          </w:p>
        </w:tc>
        <w:tc>
          <w:tcPr>
            <w:tcW w:w="0" w:type="dxa"/>
            <w:vAlign w:val="bottom"/>
          </w:tcPr>
          <w:p>
            <w:pPr>
              <w:spacing w:after="0"/>
              <w:rPr>
                <w:sz w:val="1"/>
                <w:szCs w:val="1"/>
                <w:color w:val="auto"/>
              </w:rPr>
            </w:pPr>
          </w:p>
        </w:tc>
      </w:tr>
      <w:tr>
        <w:trPr>
          <w:trHeight w:val="305"/>
        </w:trPr>
        <w:tc>
          <w:tcPr>
            <w:tcW w:w="3920" w:type="dxa"/>
            <w:vAlign w:val="bottom"/>
            <w:gridSpan w:val="3"/>
          </w:tcPr>
          <w:p>
            <w:pPr>
              <w:spacing w:after="0"/>
              <w:rPr>
                <w:sz w:val="20"/>
                <w:szCs w:val="20"/>
                <w:color w:val="auto"/>
              </w:rPr>
            </w:pPr>
            <w:r>
              <w:rPr>
                <w:rFonts w:ascii="Arial" w:cs="Arial" w:eastAsia="Arial" w:hAnsi="Arial"/>
                <w:sz w:val="16"/>
                <w:szCs w:val="16"/>
                <w:color w:val="auto"/>
              </w:rPr>
              <w:t>J.-F. Poupeau</w:t>
            </w:r>
          </w:p>
        </w:tc>
        <w:tc>
          <w:tcPr>
            <w:tcW w:w="2380" w:type="dxa"/>
            <w:vAlign w:val="bottom"/>
            <w:gridSpan w:val="2"/>
          </w:tcPr>
          <w:p>
            <w:pPr>
              <w:jc w:val="right"/>
              <w:ind w:right="880"/>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8,000</w:t>
            </w:r>
          </w:p>
        </w:tc>
        <w:tc>
          <w:tcPr>
            <w:tcW w:w="9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634,920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 Juden</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57,999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2,657,712</w:t>
            </w:r>
          </w:p>
        </w:tc>
        <w:tc>
          <w:tcPr>
            <w:tcW w:w="9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 (Columns (d) and (e))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stock awards vested and value realized in 2013.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Grant Date</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Release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Stock Price on</w:t>
            </w: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Value Realized</w:t>
            </w:r>
          </w:p>
        </w:tc>
        <w:tc>
          <w:tcPr>
            <w:tcW w:w="22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6"/>
        </w:trPr>
        <w:tc>
          <w:tcPr>
            <w:tcW w:w="28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of Shares</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Release Date</w:t>
            </w:r>
            <w:r>
              <w:rPr>
                <w:rFonts w:ascii="Arial" w:cs="Arial" w:eastAsia="Arial" w:hAnsi="Arial"/>
                <w:sz w:val="12"/>
                <w:szCs w:val="12"/>
                <w:b w:val="1"/>
                <w:bCs w:val="1"/>
                <w:color w:val="auto"/>
                <w:w w:val="92"/>
              </w:rPr>
              <w:t>(1)</w:t>
            </w: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on Release</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K.-E. Oestdahl</w:t>
            </w: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7"/>
              </w:rPr>
              <w:t>02/04/2010</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02/04/2013</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3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$79.37</w:t>
            </w: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$476,190</w:t>
            </w:r>
          </w:p>
        </w:tc>
        <w:tc>
          <w:tcPr>
            <w:tcW w:w="4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Shares underlying vested RSUs</w:t>
            </w:r>
          </w:p>
        </w:tc>
        <w:tc>
          <w:tcPr>
            <w:tcW w:w="0" w:type="dxa"/>
            <w:vAlign w:val="bottom"/>
          </w:tcPr>
          <w:p>
            <w:pPr>
              <w:spacing w:after="0"/>
              <w:rPr>
                <w:sz w:val="1"/>
                <w:szCs w:val="1"/>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J.-F. Poupeau</w:t>
            </w:r>
          </w:p>
        </w:tc>
        <w:tc>
          <w:tcPr>
            <w:tcW w:w="1240" w:type="dxa"/>
            <w:vAlign w:val="bottom"/>
            <w:gridSpan w:val="2"/>
          </w:tcPr>
          <w:p>
            <w:pPr>
              <w:ind w:left="180"/>
              <w:spacing w:after="0"/>
              <w:rPr>
                <w:sz w:val="20"/>
                <w:szCs w:val="20"/>
                <w:color w:val="auto"/>
              </w:rPr>
            </w:pPr>
            <w:r>
              <w:rPr>
                <w:rFonts w:ascii="Arial" w:cs="Arial" w:eastAsia="Arial" w:hAnsi="Arial"/>
                <w:sz w:val="16"/>
                <w:szCs w:val="16"/>
                <w:color w:val="auto"/>
              </w:rPr>
              <w:t>02/04/2010</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02/04/2013</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8,000</w:t>
            </w:r>
          </w:p>
        </w:tc>
        <w:tc>
          <w:tcPr>
            <w:tcW w:w="1400" w:type="dxa"/>
            <w:vAlign w:val="bottom"/>
            <w:gridSpan w:val="2"/>
          </w:tcPr>
          <w:p>
            <w:pPr>
              <w:jc w:val="right"/>
              <w:ind w:right="420"/>
              <w:spacing w:after="0"/>
              <w:rPr>
                <w:sz w:val="20"/>
                <w:szCs w:val="20"/>
                <w:color w:val="auto"/>
              </w:rPr>
            </w:pPr>
            <w:r>
              <w:rPr>
                <w:rFonts w:ascii="Arial" w:cs="Arial" w:eastAsia="Arial" w:hAnsi="Arial"/>
                <w:sz w:val="16"/>
                <w:szCs w:val="16"/>
                <w:color w:val="auto"/>
              </w:rPr>
              <w:t>$79.37</w:t>
            </w:r>
          </w:p>
        </w:tc>
        <w:tc>
          <w:tcPr>
            <w:tcW w:w="960" w:type="dxa"/>
            <w:vAlign w:val="bottom"/>
          </w:tcPr>
          <w:p>
            <w:pPr>
              <w:jc w:val="right"/>
              <w:spacing w:after="0"/>
              <w:rPr>
                <w:sz w:val="20"/>
                <w:szCs w:val="20"/>
                <w:color w:val="auto"/>
              </w:rPr>
            </w:pPr>
            <w:r>
              <w:rPr>
                <w:rFonts w:ascii="Arial" w:cs="Arial" w:eastAsia="Arial" w:hAnsi="Arial"/>
                <w:sz w:val="16"/>
                <w:szCs w:val="16"/>
                <w:color w:val="auto"/>
              </w:rPr>
              <w:t>$634,920</w:t>
            </w:r>
          </w:p>
        </w:tc>
        <w:tc>
          <w:tcPr>
            <w:tcW w:w="44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w w:val="99"/>
              </w:rPr>
              <w:t>Shares underlying vested RSUs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the average of the high and low prices of Schlumberger common stock on the applicable release date.</w:t>
      </w:r>
    </w:p>
    <w:p>
      <w:pPr>
        <w:spacing w:after="0" w:line="226" w:lineRule="exact"/>
        <w:rPr>
          <w:rFonts w:ascii="Arial" w:cs="Arial" w:eastAsia="Arial" w:hAnsi="Arial"/>
          <w:sz w:val="16"/>
          <w:szCs w:val="16"/>
          <w:color w:val="auto"/>
        </w:rPr>
      </w:pPr>
    </w:p>
    <w:p>
      <w:pPr>
        <w:ind w:left="4300"/>
        <w:spacing w:after="0"/>
        <w:rPr>
          <w:rFonts w:ascii="Arial" w:cs="Arial" w:eastAsia="Arial" w:hAnsi="Arial"/>
          <w:sz w:val="16"/>
          <w:szCs w:val="16"/>
          <w:color w:val="auto"/>
        </w:rPr>
      </w:pPr>
      <w:r>
        <w:rPr>
          <w:rFonts w:ascii="Arial" w:cs="Arial" w:eastAsia="Arial" w:hAnsi="Arial"/>
          <w:sz w:val="18"/>
          <w:szCs w:val="18"/>
          <w:b w:val="1"/>
          <w:bCs w:val="1"/>
          <w:color w:val="auto"/>
        </w:rPr>
        <w:t>Pension Benefits for Fiscal Year 2013</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197"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and narrative disclosure set forth certain information with respect to pension benefits payable to the named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Present Value</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Years of</w:t>
            </w:r>
          </w:p>
        </w:tc>
        <w:tc>
          <w:tcPr>
            <w:tcW w:w="1340" w:type="dxa"/>
            <w:vAlign w:val="bottom"/>
            <w:gridSpan w:val="2"/>
            <w:vMerge w:val="continue"/>
          </w:tcPr>
          <w:p>
            <w:pPr>
              <w:spacing w:after="0"/>
              <w:rPr>
                <w:sz w:val="12"/>
                <w:szCs w:val="12"/>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55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Plan Name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Credited</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Accumulated</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Service (#)</w:t>
            </w:r>
            <w:r>
              <w:rPr>
                <w:rFonts w:ascii="Arial" w:cs="Arial" w:eastAsia="Arial" w:hAnsi="Arial"/>
                <w:sz w:val="12"/>
                <w:szCs w:val="12"/>
                <w:b w:val="1"/>
                <w:bCs w:val="1"/>
                <w:color w:val="auto"/>
                <w:w w:val="93"/>
              </w:rPr>
              <w:t>(1)</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Benefits ($)</w:t>
            </w:r>
            <w:r>
              <w:rPr>
                <w:rFonts w:ascii="Arial" w:cs="Arial" w:eastAsia="Arial" w:hAnsi="Arial"/>
                <w:sz w:val="12"/>
                <w:szCs w:val="12"/>
                <w:b w:val="1"/>
                <w:bCs w:val="1"/>
                <w:color w:val="auto"/>
                <w:w w:val="92"/>
              </w:rPr>
              <w:t>(2)</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186,719</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STC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172,625</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1,873,336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STC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244,754</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172,994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498,807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240" w:type="dxa"/>
            <w:vAlign w:val="bottom"/>
          </w:tcPr>
          <w:p>
            <w:pPr>
              <w:jc w:val="right"/>
              <w:spacing w:after="0"/>
              <w:rPr>
                <w:sz w:val="20"/>
                <w:szCs w:val="20"/>
                <w:color w:val="auto"/>
              </w:rPr>
            </w:pPr>
            <w:r>
              <w:rPr>
                <w:rFonts w:ascii="Arial" w:cs="Arial" w:eastAsia="Arial" w:hAnsi="Arial"/>
                <w:sz w:val="18"/>
                <w:szCs w:val="18"/>
                <w:color w:val="auto"/>
              </w:rPr>
              <w:t>2,547,972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Supplementary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French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182,649</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777,364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S. Pai</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302,614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276,433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240" w:type="dxa"/>
            <w:vAlign w:val="bottom"/>
          </w:tcPr>
          <w:p>
            <w:pPr>
              <w:jc w:val="right"/>
              <w:spacing w:after="0"/>
              <w:rPr>
                <w:sz w:val="20"/>
                <w:szCs w:val="20"/>
                <w:color w:val="auto"/>
              </w:rPr>
            </w:pPr>
            <w:r>
              <w:rPr>
                <w:rFonts w:ascii="Arial" w:cs="Arial" w:eastAsia="Arial" w:hAnsi="Arial"/>
                <w:sz w:val="18"/>
                <w:szCs w:val="18"/>
                <w:color w:val="auto"/>
              </w:rPr>
              <w:t>1,271,052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35,217</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Supplementary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394,269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French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386,311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677,817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1240" w:type="dxa"/>
            <w:vAlign w:val="bottom"/>
          </w:tcPr>
          <w:p>
            <w:pPr>
              <w:jc w:val="right"/>
              <w:spacing w:after="0"/>
              <w:rPr>
                <w:sz w:val="20"/>
                <w:szCs w:val="20"/>
                <w:color w:val="auto"/>
              </w:rPr>
            </w:pPr>
            <w:r>
              <w:rPr>
                <w:rFonts w:ascii="Arial" w:cs="Arial" w:eastAsia="Arial" w:hAnsi="Arial"/>
                <w:sz w:val="18"/>
                <w:szCs w:val="18"/>
                <w:color w:val="auto"/>
              </w:rPr>
              <w:t>2,313,041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Supplementary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123,105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587,993</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K.-E. Oestdahl</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2,074,985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J.-F. Poupeau</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131,326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559,735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493,732</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STC Supplementary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629,076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583,110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 Juden</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SLB Supplementary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523,377</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SLB International Staff Pension Plan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174,573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00" w:hanging="332"/>
        <w:spacing w:after="0" w:line="293"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does not grant and does not expect to grant extra years of credited service to named executive officers under the pension plans. The “Number of Years of Credited Service” column reflects each named executive officer’s actual years of service as a participant in each plan.</w:t>
      </w:r>
    </w:p>
    <w:p>
      <w:pPr>
        <w:spacing w:after="0" w:line="199" w:lineRule="exact"/>
        <w:rPr>
          <w:rFonts w:ascii="Arial" w:cs="Arial" w:eastAsia="Arial" w:hAnsi="Arial"/>
          <w:sz w:val="16"/>
          <w:szCs w:val="16"/>
          <w:color w:val="auto"/>
        </w:rPr>
      </w:pPr>
    </w:p>
    <w:p>
      <w:pPr>
        <w:ind w:left="340" w:right="80" w:hanging="332"/>
        <w:spacing w:after="0" w:line="273"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4.85% at December 31, 2013. Retirement in each case is assumed to be the earlier of normal retirement age or December 31, 2013 if the named executive officer is employed after normal retirement age, or, as to Schlumberger’s U.S. plans, the date that the sum of the named executive officer’s age plus years of service has reached, or is expected to reach, 85, but not before the named executive officer reaches 55.</w:t>
      </w:r>
    </w:p>
    <w:p>
      <w:pPr>
        <w:spacing w:after="0" w:line="216" w:lineRule="exact"/>
        <w:rPr>
          <w:rFonts w:ascii="Arial" w:cs="Arial" w:eastAsia="Arial" w:hAnsi="Arial"/>
          <w:sz w:val="16"/>
          <w:szCs w:val="16"/>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Payment distributions to Mr. Pai commenced under the terms of this supplementary plan as a result of his change in position in 2013.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Since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Messrs. Poupeau and Pai are eligible for early retirement with a reduced pension. Additionally, under the “rule of 85,” an employee or executive officer who terminates employment after age 55 and whose combined age and service is 85 or more, is eligible for retirement with an unreduced pension. Messrs. Ayat and Belani are eligible for retirement with an unreduced pension under the rule of 85. The benefits are usually paid as a lifetime annuity.</w:t>
      </w:r>
    </w:p>
    <w:p>
      <w:pPr>
        <w:spacing w:after="0" w:line="178"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NEOs were affected by this 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Both the SLB Supplementary Plan and the STC Supplementary Plan provide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with five years of service, engages in certain dishonest acts or has violated a confidentiality arrangement involving the Company or its affiliates. Messrs. Ayat and Belani are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 at the time of retirement. The benefit is equivalent to 1.5% of admissible compensation (generally base salary and cash incentive) above the earnings cap for fewer than fifteen years of service and 2% of admissible compensation for more than fifteen years of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terminated after age 55, is not subsequently employed and is otherwise entitled to a French pension, then the employee would receive a benefit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grant and does not expect to grant extra years of credited service under the tax-qualified pension plans to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Messrs. Ayat and Belani are eligible for normal retirement with no reduction. Messrs. Poupeau and Pai are eligible for early retirement with a reduced pension.</w:t>
      </w:r>
    </w:p>
    <w:p>
      <w:pPr>
        <w:spacing w:after="0" w:line="189"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2013</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and narrative disclosure set forth certain information with respect to nonqualified deferred compensation payable to the NEOs.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Executive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66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Plan Name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85"/>
        </w:trPr>
        <w:tc>
          <w:tcPr>
            <w:tcW w:w="1960" w:type="dxa"/>
            <w:vAlign w:val="bottom"/>
            <w:gridSpan w:val="3"/>
            <w:vMerge w:val="continue"/>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 Kibsgaard</w:t>
            </w:r>
          </w:p>
        </w:tc>
        <w:tc>
          <w:tcPr>
            <w:tcW w:w="24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SLB Supplementary Plan</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112,200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146,931</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-365</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14,145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1960" w:type="dxa"/>
            <w:vAlign w:val="bottom"/>
            <w:gridSpan w:val="3"/>
          </w:tcPr>
          <w:p>
            <w:pPr>
              <w:spacing w:after="0"/>
              <w:rPr>
                <w:sz w:val="20"/>
                <w:szCs w:val="20"/>
                <w:color w:val="auto"/>
              </w:rPr>
            </w:pPr>
            <w:r>
              <w:rPr>
                <w:rFonts w:ascii="Arial" w:cs="Arial" w:eastAsia="Arial" w:hAnsi="Arial"/>
                <w:sz w:val="16"/>
                <w:szCs w:val="16"/>
                <w:color w:val="auto"/>
              </w:rPr>
              <w:t>S. Ayat</w:t>
            </w:r>
          </w:p>
        </w:tc>
        <w:tc>
          <w:tcPr>
            <w:tcW w:w="3660" w:type="dxa"/>
            <w:vAlign w:val="bottom"/>
            <w:gridSpan w:val="2"/>
          </w:tcPr>
          <w:p>
            <w:pPr>
              <w:spacing w:after="0"/>
              <w:rPr>
                <w:sz w:val="20"/>
                <w:szCs w:val="20"/>
                <w:color w:val="auto"/>
              </w:rPr>
            </w:pPr>
            <w:r>
              <w:rPr>
                <w:rFonts w:ascii="Arial" w:cs="Arial" w:eastAsia="Arial" w:hAnsi="Arial"/>
                <w:sz w:val="16"/>
                <w:szCs w:val="16"/>
                <w:color w:val="auto"/>
              </w:rPr>
              <w:t>SLB Supplementary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48,750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93,133</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390,075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48,750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43,525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157,391</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1,267,253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 Pai</w:t>
            </w: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SLB Supplementary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52,654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-5,824</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1,354,150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92,597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81,582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1960" w:type="dxa"/>
            <w:vAlign w:val="bottom"/>
            <w:gridSpan w:val="3"/>
          </w:tcPr>
          <w:p>
            <w:pPr>
              <w:spacing w:after="0"/>
              <w:rPr>
                <w:sz w:val="20"/>
                <w:szCs w:val="20"/>
                <w:color w:val="auto"/>
              </w:rPr>
            </w:pPr>
            <w:r>
              <w:rPr>
                <w:rFonts w:ascii="Arial" w:cs="Arial" w:eastAsia="Arial" w:hAnsi="Arial"/>
                <w:sz w:val="16"/>
                <w:szCs w:val="16"/>
                <w:color w:val="auto"/>
              </w:rPr>
              <w:t>A. Belani</w:t>
            </w:r>
          </w:p>
        </w:tc>
        <w:tc>
          <w:tcPr>
            <w:tcW w:w="3660" w:type="dxa"/>
            <w:vAlign w:val="bottom"/>
            <w:gridSpan w:val="2"/>
          </w:tcPr>
          <w:p>
            <w:pPr>
              <w:spacing w:after="0"/>
              <w:rPr>
                <w:sz w:val="20"/>
                <w:szCs w:val="20"/>
                <w:color w:val="auto"/>
              </w:rPr>
            </w:pPr>
            <w:r>
              <w:rPr>
                <w:rFonts w:ascii="Arial" w:cs="Arial" w:eastAsia="Arial" w:hAnsi="Arial"/>
                <w:sz w:val="16"/>
                <w:szCs w:val="16"/>
                <w:color w:val="auto"/>
              </w:rPr>
              <w:t>SLB Supplementary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42,435</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80,202</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347,299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212,175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42,435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77,673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160,172</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997,327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 Oestdahl</w:t>
            </w: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58,521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54,351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Norway DC Pension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9,714</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r>
              <w:rPr>
                <w:rFonts w:ascii="Arial" w:cs="Arial" w:eastAsia="Arial" w:hAnsi="Arial"/>
                <w:sz w:val="13"/>
                <w:szCs w:val="13"/>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26,015</w:t>
            </w:r>
            <w:r>
              <w:rPr>
                <w:rFonts w:ascii="Arial" w:cs="Arial" w:eastAsia="Arial" w:hAnsi="Arial"/>
                <w:sz w:val="27"/>
                <w:szCs w:val="27"/>
                <w:color w:val="auto"/>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J.-F. Poupeau</w:t>
            </w: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SLB Supplementary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30,591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46,534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tcPr>
          <w:p>
            <w:pPr>
              <w:jc w:val="right"/>
              <w:spacing w:after="0"/>
              <w:rPr>
                <w:sz w:val="20"/>
                <w:szCs w:val="20"/>
                <w:color w:val="auto"/>
              </w:rPr>
            </w:pPr>
            <w:r>
              <w:rPr>
                <w:rFonts w:ascii="Arial" w:cs="Arial" w:eastAsia="Arial" w:hAnsi="Arial"/>
                <w:sz w:val="16"/>
                <w:szCs w:val="16"/>
                <w:color w:val="auto"/>
              </w:rPr>
              <w:t>152,955</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30,591</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52,120</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872,615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2,567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1960" w:type="dxa"/>
            <w:vAlign w:val="bottom"/>
            <w:gridSpan w:val="3"/>
          </w:tcPr>
          <w:p>
            <w:pPr>
              <w:spacing w:after="0"/>
              <w:rPr>
                <w:sz w:val="20"/>
                <w:szCs w:val="20"/>
                <w:color w:val="auto"/>
              </w:rPr>
            </w:pPr>
            <w:r>
              <w:rPr>
                <w:rFonts w:ascii="Arial" w:cs="Arial" w:eastAsia="Arial" w:hAnsi="Arial"/>
                <w:sz w:val="16"/>
                <w:szCs w:val="16"/>
                <w:color w:val="auto"/>
              </w:rPr>
              <w:t>A. Juden</w:t>
            </w:r>
          </w:p>
        </w:tc>
        <w:tc>
          <w:tcPr>
            <w:tcW w:w="3660" w:type="dxa"/>
            <w:vAlign w:val="bottom"/>
            <w:gridSpan w:val="2"/>
          </w:tcPr>
          <w:p>
            <w:pPr>
              <w:spacing w:after="0"/>
              <w:rPr>
                <w:sz w:val="20"/>
                <w:szCs w:val="20"/>
                <w:color w:val="auto"/>
              </w:rPr>
            </w:pPr>
            <w:r>
              <w:rPr>
                <w:rFonts w:ascii="Arial" w:cs="Arial" w:eastAsia="Arial" w:hAnsi="Arial"/>
                <w:sz w:val="16"/>
                <w:szCs w:val="16"/>
                <w:color w:val="auto"/>
              </w:rPr>
              <w:t>SLB Supplementary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29,448</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46,171</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158,861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SLB Restoration Savings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29,448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54,822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International Staff Plan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220" w:hanging="332"/>
        <w:spacing w:after="0" w:line="278"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reported in the “Executive Contributions in Last FY” column represent elective contributions of a portion of a named executive officer’s base salary and non-equity incentive plan compensation to the SLB Restoration Savings Plan (which amounts are also included as 2013 “Salary” and 2013 “Non-Equity Incentive Plan Compensation” in the Summary Compensation Table).</w:t>
      </w:r>
    </w:p>
    <w:p>
      <w:pPr>
        <w:spacing w:after="0" w:line="211" w:lineRule="exact"/>
        <w:rPr>
          <w:rFonts w:ascii="Arial" w:cs="Arial" w:eastAsia="Arial" w:hAnsi="Arial"/>
          <w:sz w:val="16"/>
          <w:szCs w:val="16"/>
          <w:color w:val="auto"/>
        </w:rPr>
      </w:pPr>
    </w:p>
    <w:p>
      <w:pPr>
        <w:ind w:left="340" w:right="60" w:hanging="332"/>
        <w:spacing w:after="0" w:line="278"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reported in the “Company Contributions in Last FY” column represent Schlumberger’s contributions to each named executive officer’s SLB Supplementary Plan, SLB Restoration Savings Plan, Norway DC Pension Plan and International Staff Plan accounts, as applicable, which amounts are also reported as 2013 “All Other Compensation” in the Summary Compensation Table.</w:t>
      </w:r>
    </w:p>
    <w:p>
      <w:pPr>
        <w:spacing w:after="0" w:line="211" w:lineRule="exact"/>
        <w:rPr>
          <w:rFonts w:ascii="Arial" w:cs="Arial" w:eastAsia="Arial" w:hAnsi="Arial"/>
          <w:sz w:val="16"/>
          <w:szCs w:val="16"/>
          <w:color w:val="auto"/>
        </w:rPr>
      </w:pPr>
    </w:p>
    <w:p>
      <w:pPr>
        <w:ind w:left="340" w:right="400" w:hanging="332"/>
        <w:spacing w:after="0" w:line="278"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reported in the “Aggregate Balance at Last FYE” column represent balances from the SLB Restoration Savings Plan, the SLB Supplementary Plan, the Norway DC Pension Plan and the International Staff Plan, and include various amounts previously reported in the Summary Compensation Table as All Other Compensation.</w:t>
      </w:r>
    </w:p>
    <w:p>
      <w:pPr>
        <w:spacing w:after="0" w:line="211" w:lineRule="exact"/>
        <w:rPr>
          <w:rFonts w:ascii="Arial" w:cs="Arial" w:eastAsia="Arial" w:hAnsi="Arial"/>
          <w:sz w:val="16"/>
          <w:szCs w:val="16"/>
          <w:color w:val="auto"/>
        </w:rPr>
      </w:pPr>
    </w:p>
    <w:p>
      <w:pPr>
        <w:ind w:left="340" w:right="240" w:hanging="332"/>
        <w:spacing w:after="0" w:line="278"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Norway law, the Company does not have access to an employee’s aggregate earnings/losses under the Norway DC Pension Plan. For this reason, the figure reflected above in the “Aggregate Earnings in Last FY” column is zero ($0). Also for this reason, the “Aggregate Balance at Last FYE” column reflects only Company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SLB Supplementary Plan provides certain non-tax-qualified defined contribution benefits for eligible employees, including executive officers.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Restoration Savings Plan</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SLB Restoration Savings Plan, a non-qualified deferred compensation plan, provides certain defined contribution benefits for eligible employees, including the named executive officers.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eligible employee may elect in advance to defer a percentage (from 1% to 15% or, effective January 1, 2013, up to 50%) of his or her compensation (generally base salary and cash incentive) over the Code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Historically, the Company has not made a matching contribution in non-profitable years; provided, however, that effective January 1, 2013, the match is made each payroll period and is not contingent on profits. Employees’ accounts are credited with interest, calculated to mirror the interest earnings of the Short-Term Fixed Income Fund (-0.43% in 2013) under the Schlumberger Master Profit Sharing Trust. Matching contributions and related interest vest based on the employee’s years of service, as follows:</w:t>
      </w:r>
    </w:p>
    <w:p>
      <w:pPr>
        <w:spacing w:after="0" w:line="79" w:lineRule="exact"/>
        <w:rPr>
          <w:sz w:val="20"/>
          <w:szCs w:val="20"/>
          <w:color w:val="auto"/>
        </w:rPr>
      </w:pPr>
    </w:p>
    <w:tbl>
      <w:tblPr>
        <w:tblLayout w:type="fixed"/>
        <w:tblInd w:w="1840" w:type="dxa"/>
        <w:tblCellMar>
          <w:top w:w="0" w:type="dxa"/>
          <w:left w:w="0" w:type="dxa"/>
          <w:bottom w:w="0" w:type="dxa"/>
          <w:right w:w="0" w:type="dxa"/>
        </w:tblCellMar>
      </w:tblPr>
      <w:tr>
        <w:trPr>
          <w:trHeight w:val="345"/>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 years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vested</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3 years</w:t>
            </w:r>
          </w:p>
        </w:tc>
        <w:tc>
          <w:tcPr>
            <w:tcW w:w="418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66 </w:t>
            </w:r>
            <w:r>
              <w:rPr>
                <w:rFonts w:ascii="Arial" w:cs="Arial" w:eastAsia="Arial" w:hAnsi="Arial"/>
                <w:sz w:val="25"/>
                <w:szCs w:val="25"/>
                <w:color w:val="auto"/>
                <w:vertAlign w:val="superscript"/>
              </w:rPr>
              <w:t>2</w:t>
            </w:r>
            <w:r>
              <w:rPr>
                <w:rFonts w:ascii="Arial" w:cs="Arial" w:eastAsia="Arial" w:hAnsi="Arial"/>
                <w:sz w:val="16"/>
                <w:szCs w:val="16"/>
                <w:color w:val="auto"/>
              </w:rPr>
              <w:t>⁄</w:t>
            </w:r>
            <w:r>
              <w:rPr>
                <w:rFonts w:ascii="Arial" w:cs="Arial" w:eastAsia="Arial" w:hAnsi="Arial"/>
                <w:sz w:val="25"/>
                <w:szCs w:val="25"/>
                <w:color w:val="auto"/>
                <w:vertAlign w:val="subscript"/>
              </w:rPr>
              <w:t>3</w:t>
            </w:r>
            <w:r>
              <w:rPr>
                <w:rFonts w:ascii="Arial" w:cs="Arial" w:eastAsia="Arial" w:hAnsi="Arial"/>
                <w:sz w:val="16"/>
                <w:szCs w:val="16"/>
                <w:color w:val="auto"/>
              </w:rPr>
              <w:t>% vested</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4 years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vested</w:t>
            </w: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International Staff Profit-Sharing Plan</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for Fiscal Year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Additional Payments Upon Termination or Change in Control</w:t>
      </w:r>
    </w:p>
    <w:p>
      <w:pPr>
        <w:spacing w:after="0" w:line="22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Schlumberger’s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employment agreements in connection with phased retirement.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salaried employees who receive stock options, and all senior executives who receive PSUs, are subject to the same terms and conditions in the event of a termination or change in control, except for certain stock options assumed in connection with our 2010 acquisition of Smith, none of which are held by any NEO.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22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Schlumberger has a practice of phased retirement, which may be offered to executive officers (other than the CEO) approaching retirement, at the discretion of the Company. See “Compensation Discussion and Analysis—Benefits—Retirement Practices” for a more detailed discussion.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This section summarizes the consequences for NEOs and other employees under our stock option plans and standard form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award agreement in the event an option holder’s employment terminates.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340" w:type="dxa"/>
            <w:vAlign w:val="bottom"/>
          </w:tcPr>
          <w:p>
            <w:pPr>
              <w:spacing w:after="0"/>
              <w:rPr>
                <w:sz w:val="16"/>
                <w:szCs w:val="16"/>
                <w:color w:val="auto"/>
              </w:rPr>
            </w:pPr>
          </w:p>
        </w:tc>
        <w:tc>
          <w:tcPr>
            <w:tcW w:w="23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Vesting</w:t>
            </w:r>
          </w:p>
        </w:tc>
        <w:tc>
          <w:tcPr>
            <w:tcW w:w="100" w:type="dxa"/>
            <w:vAlign w:val="bottom"/>
          </w:tcPr>
          <w:p>
            <w:pPr>
              <w:spacing w:after="0"/>
              <w:rPr>
                <w:sz w:val="16"/>
                <w:szCs w:val="16"/>
                <w:color w:val="auto"/>
              </w:rPr>
            </w:pPr>
          </w:p>
        </w:tc>
        <w:tc>
          <w:tcPr>
            <w:tcW w:w="41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Post-Employment Exercise Period</w:t>
            </w:r>
          </w:p>
        </w:tc>
      </w:tr>
      <w:tr>
        <w:trPr>
          <w:trHeight w:val="249"/>
        </w:trPr>
        <w:tc>
          <w:tcPr>
            <w:tcW w:w="4540" w:type="dxa"/>
            <w:vAlign w:val="bottom"/>
          </w:tcPr>
          <w:p>
            <w:pPr>
              <w:spacing w:after="0"/>
              <w:rPr>
                <w:sz w:val="20"/>
                <w:szCs w:val="20"/>
                <w:color w:val="auto"/>
              </w:rPr>
            </w:pPr>
            <w:r>
              <w:rPr>
                <w:rFonts w:ascii="Arial" w:cs="Arial" w:eastAsia="Arial" w:hAnsi="Arial"/>
                <w:sz w:val="18"/>
                <w:szCs w:val="18"/>
                <w:color w:val="auto"/>
              </w:rPr>
              <w:t>Voluntary termination with consent of the Company or</w:t>
            </w: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No additional vesting</w:t>
            </w: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2"/>
              </w:rPr>
              <w:t>Exercisable (to the extent exercisable at termination) at</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termination by the Company other than for cause</w:t>
            </w: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any time within three months after termination.</w:t>
            </w:r>
          </w:p>
        </w:tc>
      </w:tr>
      <w:tr>
        <w:trPr>
          <w:trHeight w:val="284"/>
        </w:trPr>
        <w:tc>
          <w:tcPr>
            <w:tcW w:w="454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9"/>
              </w:rPr>
              <w:t>Vested and unvested options forfeited immediately.</w:t>
            </w:r>
          </w:p>
        </w:tc>
      </w:tr>
      <w:tr>
        <w:trPr>
          <w:trHeight w:val="269"/>
        </w:trPr>
        <w:tc>
          <w:tcPr>
            <w:tcW w:w="4540" w:type="dxa"/>
            <w:vAlign w:val="bottom"/>
          </w:tcPr>
          <w:p>
            <w:pPr>
              <w:spacing w:after="0"/>
              <w:rPr>
                <w:sz w:val="20"/>
                <w:szCs w:val="20"/>
                <w:color w:val="auto"/>
              </w:rPr>
            </w:pPr>
            <w:r>
              <w:rPr>
                <w:rFonts w:ascii="Arial" w:cs="Arial" w:eastAsia="Arial" w:hAnsi="Arial"/>
                <w:sz w:val="18"/>
                <w:szCs w:val="18"/>
                <w:color w:val="auto"/>
              </w:rPr>
              <w:t>Disability</w:t>
            </w: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Full vesting</w:t>
            </w: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1"/>
              </w:rPr>
              <w:t>Exercisable at any time during the 60-month period after</w:t>
            </w:r>
          </w:p>
        </w:tc>
      </w:tr>
      <w:tr>
        <w:trPr>
          <w:trHeight w:val="216"/>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4"/>
              </w:rPr>
              <w:t>termination due to disability or during the remainder of</w:t>
            </w:r>
          </w:p>
        </w:tc>
      </w:tr>
      <w:tr>
        <w:trPr>
          <w:trHeight w:val="230"/>
        </w:trPr>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the option period, whichever is shorter.*</w:t>
            </w:r>
          </w:p>
        </w:tc>
      </w:tr>
      <w:tr>
        <w:trPr>
          <w:trHeight w:val="269"/>
        </w:trPr>
        <w:tc>
          <w:tcPr>
            <w:tcW w:w="4540" w:type="dxa"/>
            <w:vAlign w:val="bottom"/>
          </w:tcPr>
          <w:p>
            <w:pPr>
              <w:spacing w:after="0"/>
              <w:rPr>
                <w:sz w:val="20"/>
                <w:szCs w:val="20"/>
                <w:color w:val="auto"/>
              </w:rPr>
            </w:pPr>
            <w:r>
              <w:rPr>
                <w:rFonts w:ascii="Arial" w:cs="Arial" w:eastAsia="Arial" w:hAnsi="Arial"/>
                <w:sz w:val="18"/>
                <w:szCs w:val="18"/>
                <w:color w:val="auto"/>
              </w:rPr>
              <w:t>Retirement (as defined in the applicable plan or award</w:t>
            </w: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No additional vesting</w:t>
            </w: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2"/>
              </w:rPr>
              <w:t>Exercisable (to the extent exercisable at termination) at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agreement)</w:t>
            </w: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6"/>
              </w:rPr>
              <w:t>any time during the 60-month period after termination</w:t>
            </w:r>
          </w:p>
        </w:tc>
      </w:tr>
      <w:tr>
        <w:trPr>
          <w:trHeight w:val="216"/>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4"/>
              </w:rPr>
              <w:t>due to retirement or during the remainder of the option</w:t>
            </w:r>
          </w:p>
        </w:tc>
      </w:tr>
      <w:tr>
        <w:trPr>
          <w:trHeight w:val="230"/>
        </w:trPr>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period, whichever is shorter.</w:t>
            </w:r>
          </w:p>
        </w:tc>
      </w:tr>
      <w:tr>
        <w:trPr>
          <w:trHeight w:val="365"/>
        </w:trPr>
        <w:tc>
          <w:tcPr>
            <w:tcW w:w="4540" w:type="dxa"/>
            <w:vAlign w:val="bottom"/>
          </w:tcPr>
          <w:p>
            <w:pPr>
              <w:spacing w:after="0"/>
              <w:rPr>
                <w:sz w:val="24"/>
                <w:szCs w:val="24"/>
                <w:color w:val="auto"/>
              </w:rPr>
            </w:pPr>
          </w:p>
        </w:tc>
        <w:tc>
          <w:tcPr>
            <w:tcW w:w="2680" w:type="dxa"/>
            <w:vAlign w:val="bottom"/>
            <w:gridSpan w:val="2"/>
          </w:tcPr>
          <w:p>
            <w:pPr>
              <w:jc w:val="right"/>
              <w:ind w:right="134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340" w:type="dxa"/>
            <w:vAlign w:val="bottom"/>
          </w:tcPr>
          <w:p>
            <w:pPr>
              <w:spacing w:after="0"/>
              <w:rPr>
                <w:sz w:val="16"/>
                <w:szCs w:val="16"/>
                <w:color w:val="auto"/>
              </w:rPr>
            </w:pPr>
          </w:p>
        </w:tc>
        <w:tc>
          <w:tcPr>
            <w:tcW w:w="23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Vesting</w:t>
            </w:r>
          </w:p>
        </w:tc>
        <w:tc>
          <w:tcPr>
            <w:tcW w:w="100" w:type="dxa"/>
            <w:vAlign w:val="bottom"/>
          </w:tcPr>
          <w:p>
            <w:pPr>
              <w:spacing w:after="0"/>
              <w:rPr>
                <w:sz w:val="16"/>
                <w:szCs w:val="16"/>
                <w:color w:val="auto"/>
              </w:rPr>
            </w:pPr>
          </w:p>
        </w:tc>
        <w:tc>
          <w:tcPr>
            <w:tcW w:w="41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Post-Employment Exercise Period</w:t>
            </w:r>
          </w:p>
        </w:tc>
      </w:tr>
      <w:tr>
        <w:trPr>
          <w:trHeight w:val="249"/>
        </w:trPr>
        <w:tc>
          <w:tcPr>
            <w:tcW w:w="4540" w:type="dxa"/>
            <w:vAlign w:val="bottom"/>
          </w:tcPr>
          <w:p>
            <w:pPr>
              <w:spacing w:after="0"/>
              <w:rPr>
                <w:sz w:val="20"/>
                <w:szCs w:val="20"/>
                <w:color w:val="auto"/>
              </w:rPr>
            </w:pPr>
            <w:r>
              <w:rPr>
                <w:rFonts w:ascii="Arial" w:cs="Arial" w:eastAsia="Arial" w:hAnsi="Arial"/>
                <w:sz w:val="18"/>
                <w:szCs w:val="18"/>
                <w:color w:val="auto"/>
              </w:rPr>
              <w:t>Death</w:t>
            </w: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Full vesting</w:t>
            </w: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1"/>
              </w:rPr>
              <w:t>Exercisable at any time during the 60-month period after</w:t>
            </w:r>
          </w:p>
        </w:tc>
      </w:tr>
      <w:tr>
        <w:trPr>
          <w:trHeight w:val="216"/>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w w:val="93"/>
              </w:rPr>
              <w:t>termination due to death or during the remainder of the</w:t>
            </w:r>
          </w:p>
        </w:tc>
      </w:tr>
      <w:tr>
        <w:trPr>
          <w:trHeight w:val="230"/>
        </w:trPr>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240" w:hanging="212"/>
        <w:spacing w:after="0" w:line="342" w:lineRule="auto"/>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three months following termination of employment.</w:t>
      </w:r>
    </w:p>
    <w:p>
      <w:pPr>
        <w:spacing w:after="0" w:line="124"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8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PSUs</w:t>
      </w:r>
      <w:r>
        <w:rPr>
          <w:rFonts w:ascii="Arial" w:cs="Arial" w:eastAsia="Arial" w:hAnsi="Arial"/>
          <w:sz w:val="17"/>
          <w:szCs w:val="17"/>
          <w:color w:val="auto"/>
        </w:rPr>
        <w:t>. This section summarizes the consequences for NEOs holding PSUs granted under the Company’s 2010 Omnibus Stock Incentive Plan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Company’s standard form of 1-year, 2-year or 3-year PSU award, in the event the PSU holder’s employment terminates.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One-year PSUs are automatically forfeited upon the holder’s termination of employment with the Company and its subsidiaries for any reason prior to the vesting date (i.e., the 1-year anniversary of the grant date).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Two-year and 3-year PSUs are treated as follows upon the holder’s termination of employment with the Company and its subsidiaries prior to the vesting date (i.e., the 2- or 3-year anniversary of the grant date as applicable).</w:t>
      </w:r>
    </w:p>
    <w:p>
      <w:pPr>
        <w:spacing w:after="0" w:line="197" w:lineRule="exact"/>
        <w:rPr>
          <w:sz w:val="20"/>
          <w:szCs w:val="20"/>
          <w:color w:val="auto"/>
        </w:rPr>
      </w:pPr>
    </w:p>
    <w:p>
      <w:pPr>
        <w:ind w:left="780" w:right="20" w:hanging="326"/>
        <w:spacing w:after="0" w:line="257"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holder’s employment terminates on account of retirement, disability, or death on or after the first anniversary of the grant date, the holder will vest on the regularly-scheduled vesting date in the number of PSUs determined by multiplying (i) the number of PSUs that would have vested as determined based on satisfaction of the specified performance conditions had the holder’s employment not terminated and (ii) a fraction, the numerator of which is the number of days that elapsed between the grant date and the date of the holder’s termination of employment and the denominator of which is 730 for 2-year PSUs and 1095 for 3-year PSUs.</w:t>
      </w:r>
    </w:p>
    <w:p>
      <w:pPr>
        <w:spacing w:after="0" w:line="215" w:lineRule="exact"/>
        <w:rPr>
          <w:rFonts w:ascii="Arial" w:cs="Arial" w:eastAsia="Arial" w:hAnsi="Arial"/>
          <w:sz w:val="18"/>
          <w:szCs w:val="18"/>
          <w:color w:val="auto"/>
        </w:rPr>
      </w:pPr>
    </w:p>
    <w:p>
      <w:pPr>
        <w:ind w:left="780" w:right="40" w:hanging="326"/>
        <w:spacing w:after="0" w:line="264"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individual terminates employment for another reason, terminates employment on account of retirement, disability, or death, or ceases to be employed in an eligible position, in each case before the first anniversary of the grant date, no additional vesting is provided and the individual will automatically forfeit all such PSUs without consideration.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these purposes “retirement” is defined as termination of employment with the Company and all subsidiaries at or after (i) age 55 or (ii) age 50 and completion of at least 10 years of service with the Company and all subsidiaries; and “disability” is defined as a disability (whether physical or mental impairment) which totally and permanently incapacitates the holder from any gainful employment in any field which the holder is suited by education, training, or experience, as determined by the Compensation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for all PSU awards, if a holder engages in “detrimental activity,” the PSU holder will automatically forfeit the PSUs without the payment of any consideration. “Detrimental activity” is defined as any activity that is determined by the Compensation Committee to be detrimental to the interests of the Company or any of its subsidiaries, including disclosures of confidential or proprietary information, engaging in certain competitive activities, soliciting Company employees or customers, or otherwise taking any action that harms the business interests, reputation, or goodwill of the Company, prior to the date the awards are settled.</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Because the 1-year, 2-year, and 3-year PSU awards held by each NEO as of December 31, 2013 were granted on January 17, 2013, the termination of an NEO’s employment for any reason (including as a result of death, disability or retirement) as of December 31, 2013, would result in the executive’s automatic forfeiture of all PSUs without consideration as of such date. As previously stated, Messrs. Pai and Oestdahl each forfeited all PSUs that had been issued to them in 2013 in connection with their assumption of non-executive advisory positions with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Pursuant to Schlumberger’s stock option plans and standard form of stock option award agreement (other than awards issued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2010 Omnibus Stock Incentive Plan and awards issued under the 2013 Omnibus Stock Incentive Plan),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17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table sets forth the intrinsic value of the unvested stock options held by each named executive officer as of December 31, 2013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r>
      <w:tr>
        <w:trPr>
          <w:trHeight w:val="210"/>
        </w:trPr>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13,598,324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6,151,395</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11,032,821</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5,341,038</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 Oestdahl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3,723,876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J.-F. Poupeau</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3,708,820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Juden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93"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Calculated based on the difference between the closing price of Schlumberger common stock on December 31, 2013 ($90.11) and the exercise price of the stock option as of such date.</w:t>
      </w:r>
    </w:p>
    <w:p>
      <w:pPr>
        <w:spacing w:after="0" w:line="168"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Under Schlumberger’s 2010 Omnibus Stock Incentive Plan, in the event of a merger, consolidation, acquisition of property or stock,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reorganization or liquidation, the Board of Directors may, in its sole discretion, (1) provide for the acceleration of the vesting of any awards, including PSUs, or (2) decide to cancel any awards, including PSUs, and deliver cash to the holders in an amount that the Board of Directors determines in its sole discretion is equal to the fair market value of such awards on the date of such event. However, no current agreement with respect to the PSUs currently provides for any definitive special treatment upon such a merger, consolidation, acquisition of property or stock, separation, spinoff, reorganization or liquidation.</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table sets forth the value of the unvested PSUs at target held by each NEO as of December 31, 2013 that would become vested upon the occurrence of a merger, consolidation, acquisition of property or stock, separation, spinoff, reorganization or liquidation assuming that the Board of Directors elects to accelerate the vesting of PSUs as provided in the previous paragraph. Due to the number of factors that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r>
      <w:tr>
        <w:trPr>
          <w:trHeight w:val="210"/>
        </w:trPr>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14,579,798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5,064,182</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4,559,566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J.-F. Poupeau</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4,054,950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Juden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jc w:val="both"/>
        <w:ind w:left="340" w:right="120" w:hanging="332"/>
        <w:spacing w:after="0" w:line="278"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Calculated based on the product of the closing price of Schlumberger common stock on December 31, 2013 ($90.11) and the number of outstanding PSUs at target as of such date. Messrs. Pai and Oestdahl forfeited all PSUs issued to them in January 2013 when they assumed their non-executive positions in 2013. Therefore, they are not included in this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2013” table and accompanying narrative above and the “Nonqualified Deferred Compensation for Fiscal 2013” table and accompanying narrative above.</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the amounts as of December 31, 2013 of benefit payments that would be accelerated under the Schlumberger Restoration Savings Plan upon a change in control.</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 ($)</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6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 Ayat</w:t>
            </w:r>
          </w:p>
        </w:tc>
        <w:tc>
          <w:tcPr>
            <w:tcW w:w="7380" w:type="dxa"/>
            <w:vAlign w:val="bottom"/>
            <w:gridSpan w:val="4"/>
          </w:tcPr>
          <w:p>
            <w:pPr>
              <w:jc w:val="right"/>
              <w:ind w:right="100"/>
              <w:spacing w:after="0"/>
              <w:rPr>
                <w:sz w:val="20"/>
                <w:szCs w:val="20"/>
                <w:color w:val="auto"/>
              </w:rPr>
            </w:pPr>
            <w:r>
              <w:rPr>
                <w:rFonts w:ascii="Arial" w:cs="Arial" w:eastAsia="Arial" w:hAnsi="Arial"/>
                <w:sz w:val="18"/>
                <w:szCs w:val="18"/>
                <w:color w:val="auto"/>
              </w:rPr>
              <w:t>482,339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7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1,354,150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 Belani</w:t>
            </w:r>
          </w:p>
        </w:tc>
        <w:tc>
          <w:tcPr>
            <w:tcW w:w="7380" w:type="dxa"/>
            <w:vAlign w:val="bottom"/>
            <w:gridSpan w:val="4"/>
          </w:tcPr>
          <w:p>
            <w:pPr>
              <w:jc w:val="right"/>
              <w:ind w:right="100"/>
              <w:spacing w:after="0"/>
              <w:rPr>
                <w:sz w:val="20"/>
                <w:szCs w:val="20"/>
                <w:color w:val="auto"/>
              </w:rPr>
            </w:pPr>
            <w:r>
              <w:rPr>
                <w:rFonts w:ascii="Arial" w:cs="Arial" w:eastAsia="Arial" w:hAnsi="Arial"/>
                <w:sz w:val="18"/>
                <w:szCs w:val="18"/>
                <w:color w:val="auto"/>
              </w:rPr>
              <w:t>1,376,319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K.-E. Oestdahl</w:t>
            </w:r>
          </w:p>
        </w:tc>
        <w:tc>
          <w:tcPr>
            <w:tcW w:w="7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J.-F. Poupeau</w:t>
            </w:r>
          </w:p>
        </w:tc>
        <w:tc>
          <w:tcPr>
            <w:tcW w:w="7380" w:type="dxa"/>
            <w:vAlign w:val="bottom"/>
            <w:gridSpan w:val="4"/>
          </w:tcPr>
          <w:p>
            <w:pPr>
              <w:jc w:val="right"/>
              <w:ind w:right="100"/>
              <w:spacing w:after="0"/>
              <w:rPr>
                <w:sz w:val="20"/>
                <w:szCs w:val="20"/>
                <w:color w:val="auto"/>
              </w:rPr>
            </w:pPr>
            <w:r>
              <w:rPr>
                <w:rFonts w:ascii="Arial" w:cs="Arial" w:eastAsia="Arial" w:hAnsi="Arial"/>
                <w:sz w:val="18"/>
                <w:szCs w:val="18"/>
                <w:color w:val="auto"/>
              </w:rPr>
              <w:t>842,024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 Juden</w:t>
            </w:r>
          </w:p>
        </w:tc>
        <w:tc>
          <w:tcPr>
            <w:tcW w:w="7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784,468</w:t>
            </w:r>
          </w:p>
        </w:tc>
      </w:tr>
      <w:tr>
        <w:trPr>
          <w:trHeight w:val="365"/>
        </w:trPr>
        <w:tc>
          <w:tcPr>
            <w:tcW w:w="3120" w:type="dxa"/>
            <w:vAlign w:val="bottom"/>
          </w:tcPr>
          <w:p>
            <w:pPr>
              <w:spacing w:after="0"/>
              <w:rPr>
                <w:sz w:val="24"/>
                <w:szCs w:val="24"/>
                <w:color w:val="auto"/>
              </w:rPr>
            </w:pPr>
          </w:p>
        </w:tc>
        <w:tc>
          <w:tcPr>
            <w:tcW w:w="6000" w:type="dxa"/>
            <w:vAlign w:val="bottom"/>
          </w:tcPr>
          <w:p>
            <w:pPr>
              <w:jc w:val="right"/>
              <w:ind w:right="369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For Schlumberger employees who turn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FISCAL YEAR 2013</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review of comparative market data provided by Pay Governance, the Compensation Committee in 2013 determined not to increase non-employee director compensation.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non-employee director shares of Schlumberger common stock each April. Effective April 30, 2013, Schlumberger granted each non-employee director 2,250 shares of Schlumberger common stock.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Schlumberger directors have never received restricted common stock or restricted stock units as director compensation.</w:t>
      </w:r>
    </w:p>
    <w:p>
      <w:pPr>
        <w:spacing w:after="0" w:line="16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Mr. Tony Isaac was elected non-executive Chairman of the Board in April 2012, having previously served as Schlumberger’s independent lead director. In January 2012, the Board, upon recommendation of the Compensation Committee and based on market data provided by Pay Governance, determined that in consideration of the additional responsibilities required of an independent non-executive Chairman of the Board, Mr. Isaac’s annual compensation for service as independent non-executive Chairman of the Board would be $400,000, in addition to amounts otherwise payable to Mr. Isaac as a director, as described in the paragraph above. Accordingly, the amount for Mr. Isaac in the Director Compensation table below (under the “Fees Earned or Paid in Cash” column) includes this increased compensation. Mr. Isaac did not participate in any discussions or in the decision regarding his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&amp; Nonqualified</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Earned or</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1320" w:type="dxa"/>
            <w:vAlign w:val="bottom"/>
            <w:gridSpan w:val="2"/>
            <w:vMerge w:val="restart"/>
          </w:tcPr>
          <w:p>
            <w:pPr>
              <w:jc w:val="center"/>
              <w:ind w:right="343"/>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Paid in</w:t>
            </w:r>
          </w:p>
        </w:tc>
        <w:tc>
          <w:tcPr>
            <w:tcW w:w="11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33,529</w:t>
            </w:r>
          </w:p>
        </w:tc>
        <w:tc>
          <w:tcPr>
            <w:tcW w:w="420" w:type="dxa"/>
            <w:vAlign w:val="bottom"/>
            <w:tcBorders>
              <w:top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87"/>
              </w:rPr>
              <w:t>(4)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320,997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530,000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3"/>
              <w:spacing w:after="0"/>
              <w:rPr>
                <w:sz w:val="20"/>
                <w:szCs w:val="20"/>
                <w:color w:val="auto"/>
              </w:rPr>
            </w:pPr>
            <w:r>
              <w:rPr>
                <w:rFonts w:ascii="Arial" w:cs="Arial" w:eastAsia="Arial" w:hAnsi="Arial"/>
                <w:sz w:val="18"/>
                <w:szCs w:val="18"/>
                <w:color w:val="auto"/>
              </w:rPr>
              <w:t>13,828</w:t>
            </w:r>
            <w:r>
              <w:rPr>
                <w:rFonts w:ascii="Arial" w:cs="Arial" w:eastAsia="Arial" w:hAnsi="Arial"/>
                <w:sz w:val="15"/>
                <w:szCs w:val="15"/>
                <w:color w:val="auto"/>
              </w:rPr>
              <w:t>(4)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711,296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35,953</w:t>
            </w:r>
            <w:r>
              <w:rPr>
                <w:rFonts w:ascii="Arial" w:cs="Arial" w:eastAsia="Arial" w:hAnsi="Arial"/>
                <w:sz w:val="15"/>
                <w:szCs w:val="15"/>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3"/>
              <w:spacing w:after="0"/>
              <w:rPr>
                <w:sz w:val="20"/>
                <w:szCs w:val="20"/>
                <w:color w:val="auto"/>
              </w:rPr>
            </w:pPr>
            <w:r>
              <w:rPr>
                <w:rFonts w:ascii="Arial" w:cs="Arial" w:eastAsia="Arial" w:hAnsi="Arial"/>
                <w:sz w:val="18"/>
                <w:szCs w:val="18"/>
                <w:color w:val="auto"/>
              </w:rPr>
              <w:t>14,807</w:t>
            </w:r>
            <w:r>
              <w:rPr>
                <w:rFonts w:ascii="Arial" w:cs="Arial" w:eastAsia="Arial" w:hAnsi="Arial"/>
                <w:sz w:val="15"/>
                <w:szCs w:val="15"/>
                <w:color w:val="auto"/>
              </w:rPr>
              <w:t>(4)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A. Moler</w:t>
            </w:r>
            <w:r>
              <w:rPr>
                <w:rFonts w:ascii="Arial" w:cs="Arial" w:eastAsia="Arial" w:hAnsi="Arial"/>
                <w:sz w:val="15"/>
                <w:szCs w:val="15"/>
                <w:color w:val="auto"/>
              </w:rPr>
              <w:t>(5)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25,237</w:t>
            </w:r>
            <w:r>
              <w:rPr>
                <w:rFonts w:ascii="Arial" w:cs="Arial" w:eastAsia="Arial" w:hAnsi="Arial"/>
                <w:sz w:val="15"/>
                <w:szCs w:val="15"/>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3"/>
              <w:spacing w:after="0"/>
              <w:rPr>
                <w:sz w:val="20"/>
                <w:szCs w:val="20"/>
                <w:color w:val="auto"/>
              </w:rPr>
            </w:pPr>
            <w:r>
              <w:rPr>
                <w:rFonts w:ascii="Arial" w:cs="Arial" w:eastAsia="Arial" w:hAnsi="Arial"/>
                <w:sz w:val="18"/>
                <w:szCs w:val="18"/>
                <w:color w:val="auto"/>
              </w:rPr>
              <w:t>21,688</w:t>
            </w:r>
            <w:r>
              <w:rPr>
                <w:rFonts w:ascii="Arial" w:cs="Arial" w:eastAsia="Arial" w:hAnsi="Arial"/>
                <w:sz w:val="15"/>
                <w:szCs w:val="15"/>
                <w:color w:val="auto"/>
              </w:rPr>
              <w:t>(4)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Seydoux</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167,468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cash fees earned, without taking into account any election to defer receipt of such fees. Ordinarily, the annual cash retainer is paid in cash, but non-employee directors can elect to have their retainer paid in stock or deferred under the Schlumberger 2004 Stock and Deferral Plan for Non-Employee Directors.</w:t>
      </w:r>
    </w:p>
    <w:p>
      <w:pPr>
        <w:spacing w:after="0" w:line="32"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If an independent director joins our Board or becomes Chair of a committee of our Board after the start of any year, he or she will receive compensation prorated according to the number of months during which he or she served in that position during that year. As a result, the fees disclosed in this column are subject to adjustment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cases where an independent director has served less than one full year or has changed committee memberships or chairmanships during the year.</w:t>
      </w:r>
    </w:p>
    <w:p>
      <w:pPr>
        <w:spacing w:after="0" w:line="113" w:lineRule="exact"/>
        <w:rPr>
          <w:sz w:val="20"/>
          <w:szCs w:val="20"/>
          <w:color w:val="auto"/>
        </w:rPr>
      </w:pPr>
    </w:p>
    <w:p>
      <w:pPr>
        <w:ind w:left="460" w:right="140" w:hanging="452"/>
        <w:spacing w:after="0" w:line="25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the stock awards granted in 2013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below under “Stock Ownership Information—Security Ownership by Management.”</w:t>
      </w:r>
    </w:p>
    <w:p>
      <w:pPr>
        <w:spacing w:after="0" w:line="53"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Schlumberger reimburses non-management directors for travel and other business expenses incurred in the performance of their services for Schlumberger.</w:t>
      </w:r>
    </w:p>
    <w:p>
      <w:pPr>
        <w:spacing w:after="0" w:line="35" w:lineRule="exact"/>
        <w:rPr>
          <w:rFonts w:ascii="Arial" w:cs="Arial" w:eastAsia="Arial" w:hAnsi="Arial"/>
          <w:sz w:val="18"/>
          <w:szCs w:val="18"/>
          <w:color w:val="auto"/>
        </w:rPr>
      </w:pPr>
    </w:p>
    <w:p>
      <w:pPr>
        <w:ind w:left="460" w:right="520" w:hanging="452"/>
        <w:spacing w:after="0" w:line="334"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amounts paid for spousal airfare in connection with Board meetings. Some of these amounts were paid in Euros. For purposes of this column, such compensation was determined using the 2013 full-year average exchange rate of 1 U.S. Dollar = 0.755 Euros.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Ms. Moler did not stand for re-election at the April 2013 annual general meeting of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 10,000 Schlumberger common shares or restricted stock units. As of December 31, 2013, each of our current non-employee directors who have been Board members for at least five years is in compliance with these stock ownership guidelines.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The table below sets forth the following information as of the end of December 31, 2013 for all equity compensation plans approved by our stockholders. Schlumberger currently has no equity compensation plans, other than 401(k) savings plans, that are not approved by our stockholders.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(b)</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 to be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Weighted-average exercise</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gridSpan w:val="2"/>
            <w:vMerge w:val="restart"/>
          </w:tcPr>
          <w:p>
            <w:pPr>
              <w:jc w:val="center"/>
              <w:ind w:right="1080"/>
              <w:spacing w:after="0" w:line="149" w:lineRule="exact"/>
              <w:rPr>
                <w:sz w:val="20"/>
                <w:szCs w:val="20"/>
                <w:color w:val="auto"/>
              </w:rPr>
            </w:pPr>
            <w:r>
              <w:rPr>
                <w:rFonts w:ascii="Arial" w:cs="Arial" w:eastAsia="Arial" w:hAnsi="Arial"/>
                <w:sz w:val="14"/>
                <w:szCs w:val="14"/>
                <w:b w:val="1"/>
                <w:bCs w:val="1"/>
                <w:color w:val="auto"/>
                <w:w w:val="91"/>
              </w:rPr>
              <w:t>price of such outstanding</w:t>
            </w:r>
          </w:p>
        </w:tc>
        <w:tc>
          <w:tcPr>
            <w:tcW w:w="2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60" w:type="dxa"/>
            <w:vAlign w:val="bottom"/>
            <w:gridSpan w:val="2"/>
            <w:vMerge w:val="continue"/>
          </w:tcPr>
          <w:p>
            <w:pPr>
              <w:spacing w:after="0"/>
              <w:rPr>
                <w:sz w:val="8"/>
                <w:szCs w:val="8"/>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960" w:type="dxa"/>
            <w:vAlign w:val="bottom"/>
          </w:tcPr>
          <w:p>
            <w:pPr>
              <w:spacing w:after="0"/>
              <w:rPr>
                <w:sz w:val="4"/>
                <w:szCs w:val="4"/>
                <w:color w:val="auto"/>
              </w:rPr>
            </w:pPr>
          </w:p>
        </w:tc>
        <w:tc>
          <w:tcPr>
            <w:tcW w:w="2860" w:type="dxa"/>
            <w:vAlign w:val="bottom"/>
            <w:gridSpan w:val="3"/>
            <w:vMerge w:val="restart"/>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options, warrants and rights</w:t>
            </w:r>
            <w:r>
              <w:rPr>
                <w:rFonts w:ascii="Arial" w:cs="Arial" w:eastAsia="Arial" w:hAnsi="Arial"/>
                <w:sz w:val="12"/>
                <w:szCs w:val="12"/>
                <w:b w:val="1"/>
                <w:bCs w:val="1"/>
                <w:color w:val="auto"/>
                <w:w w:val="92"/>
              </w:rPr>
              <w:t>(1)</w:t>
            </w:r>
          </w:p>
        </w:tc>
        <w:tc>
          <w:tcPr>
            <w:tcW w:w="2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gridSpan w:val="3"/>
            <w:vMerge w:val="continue"/>
          </w:tcPr>
          <w:p>
            <w:pPr>
              <w:spacing w:after="0"/>
              <w:rPr>
                <w:sz w:val="8"/>
                <w:szCs w:val="8"/>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Equity compensation plans approved</w:t>
            </w:r>
          </w:p>
        </w:tc>
        <w:tc>
          <w:tcPr>
            <w:tcW w:w="86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security holders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46,109,719</w:t>
            </w:r>
            <w:r>
              <w:rPr>
                <w:rFonts w:ascii="Arial" w:cs="Arial" w:eastAsia="Arial" w:hAnsi="Arial"/>
                <w:sz w:val="15"/>
                <w:szCs w:val="15"/>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70.335</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39,527,550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approved by security holders</w:t>
            </w:r>
          </w:p>
        </w:tc>
        <w:tc>
          <w:tcPr>
            <w:tcW w:w="186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46,109,719</w:t>
            </w:r>
            <w:r>
              <w:rPr>
                <w:rFonts w:ascii="Arial" w:cs="Arial" w:eastAsia="Arial" w:hAnsi="Arial"/>
                <w:sz w:val="15"/>
                <w:szCs w:val="15"/>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70.335</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39,527,550</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weighted average price does not take into account the shares issuable upon vesting of outstanding PSUs or restricted stock units (“RSUs”), which have no exercise price.</w:t>
      </w:r>
    </w:p>
    <w:p>
      <w:pPr>
        <w:spacing w:after="0" w:line="3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amount includes 4,170,783 RSUs and PSUs (with PSUs calculated at target) awarded under our equity compensation plans. The PSUs are payable in common stock after the relevant performance period is ended. RSUs are subject to three-year cliff vesting, except for RSUs granted to employees in France, which vest ratably. RSUs are forfeited upon retirement. Also includes 46,342 shares of common stock issuable upon the exercise of outstanding stock options assumed in the 2010 acquisition of Smith.</w:t>
      </w:r>
    </w:p>
    <w:p>
      <w:pPr>
        <w:spacing w:after="0" w:line="51"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159,437 shares of common stock issuable under Schlumberger’s 2004 Stock and Deferral Plan for Non-Employee Directors.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Equity compensation plans approved by Schlumberger stockholders include the 2013 Omnibus Stock Incentive Plan;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the Schlumberger 1998 Stock Option Plan, as amended; and the Schlumberger 1994 Stock Option Plan, as amended.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3. FINANCIAL STATEMENTS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197"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2013;</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2013, as audited by PricewaterhouseCoopers LLP;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items are included in the Schlumberger 2013 Annual Report to Stockholders, which is provided concurrently with this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Stockholders should refer to these items in considering this agenda item.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2013 Annual Report to Stockholders. </w:t>
      </w:r>
      <w:r>
        <w:rPr>
          <w:rFonts w:ascii="Arial" w:cs="Arial" w:eastAsia="Arial" w:hAnsi="Arial"/>
          <w:sz w:val="16"/>
          <w:szCs w:val="16"/>
          <w:i w:val="1"/>
          <w:iCs w:val="1"/>
          <w:color w:val="auto"/>
        </w:rPr>
        <w:t>Brokers have discretion to vote on this 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your instruction. If you do not instruct your broker how to vote on this proposal, your broker will vote on this proposal in its discretion.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APPOINTMENT OF INDEPENDENT REGISTERED PUBLIC ACCOUNTING FIRM</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PricewaterhouseCoopers LLP has been selected by the Audit Committee as the independent registered public accounting firm to audit the annual financial statements of the Company for the year 2014.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representative of PricewaterhouseCoopers LLP is expected to attend the 2014 annual general meeting of stockholders, will have the opportunity to make a statement if he or she desires to do so, and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252"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audit of the Company’s 2013 and 2012 annual financial statements and reviews of quarterly financial statements and other audit services, and</w:t>
      </w:r>
    </w:p>
    <w:p>
      <w:pPr>
        <w:spacing w:after="0" w:line="275"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2013 and 2012.</w:t>
      </w:r>
    </w:p>
    <w:p>
      <w:pPr>
        <w:spacing w:after="0" w:line="244"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 Ended</w:t>
      </w:r>
    </w:p>
    <w:p>
      <w:pPr>
        <w:jc w:val="center"/>
        <w:ind w:left="9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15,368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14,914</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r>
      <w:tr>
        <w:trPr>
          <w:trHeight w:val="27"/>
        </w:trPr>
        <w:tc>
          <w:tcPr>
            <w:tcW w:w="11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19,690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21,938</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fees for statutory audits. Reflects incremental fees of approximately $25,000 not previously reflected for 2012.</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fees for employee benefit plan audits and other audit-related items.</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primarily of fees for tax compliance and fees for tax advice and other permitted tax services.</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primarily of fees for permitted advisory services.</w:t>
      </w:r>
    </w:p>
    <w:p>
      <w:pPr>
        <w:spacing w:after="0" w:line="23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2013 and 2012, all audit and non-audit services were pre-approved by the Audit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 not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 your broker how to vote on this proposal, your broker will vote on this proposal in its discretion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2013,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(“PCAOB”)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 The Audit Committee also discussed with the independent registered public accounting firm the matters required to be discussed by the independent registered public accounting firm with the Audit Committee under applicable rules adopted by the PCAOB.</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Company’s independent registered public accounting firm provided the Audit Committee with the written disclosures and the letter required by applicable requirements of the PCAOB regarding the independent registered public accounting firm’s communications with the Audit Committee concerning independence, and the Committee discussed PricewaterhouseCoopers LLP’s independence with them.</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financial statements in the Company’s Annual Report on Form 10-K for the year ended December 31, 2013 filed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 BOARD OF DIRECTORS</w:t>
      </w:r>
    </w:p>
    <w:p>
      <w:pPr>
        <w:sectPr>
          <w:pgSz w:w="11900" w:h="16838" w:orient="portrait"/>
          <w:cols w:equalWidth="0" w:num="1">
            <w:col w:w="11360"/>
          </w:cols>
          <w:pgMar w:left="240" w:top="459" w:right="299" w:bottom="1440" w:gutter="0" w:footer="0" w:header="0"/>
        </w:sectPr>
      </w:pP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Peter L.S. Currie, Chair</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 Vaman Kamath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Nikolay Kudryavtsev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43" w:lineRule="exact"/>
        <w:rPr>
          <w:sz w:val="20"/>
          <w:szCs w:val="20"/>
          <w:color w:val="auto"/>
        </w:rPr>
      </w:pPr>
    </w:p>
    <w:p>
      <w:pPr>
        <w:sectPr>
          <w:pgSz w:w="11900" w:h="16838" w:orient="portrait"/>
          <w:cols w:equalWidth="0" w:num="2">
            <w:col w:w="5460" w:space="720"/>
            <w:col w:w="518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459" w:right="2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table sets forth information as of December 31, 2013 (except as otherwise noted) with respect to persons known by the Company to be the beneficial owners of more than 5% of the Company’s common stock, based on the information reported by such persons in their Schedule 13D and 13G filings with the SEC. For each entity included in the table below, percentage ownership is calculated by dividing the number of shares reported as beneficially owned by such entity by the 1,306,440,330 shares of common stock outstanding on January 31, 2014.</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Beneficial Ownership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5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980" w:type="dxa"/>
            <w:vAlign w:val="bottom"/>
            <w:gridSpan w:val="4"/>
          </w:tcPr>
          <w:p>
            <w:pPr>
              <w:jc w:val="right"/>
              <w:ind w:right="400"/>
              <w:spacing w:after="0" w:line="160"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4"/>
          </w:tcPr>
          <w:p>
            <w:pPr>
              <w:jc w:val="right"/>
              <w:ind w:right="220"/>
              <w:spacing w:after="0" w:line="160"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5"/>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2900" w:type="dxa"/>
            <w:vAlign w:val="bottom"/>
          </w:tcPr>
          <w:p>
            <w:pPr>
              <w:spacing w:after="0"/>
              <w:rPr>
                <w:sz w:val="16"/>
                <w:szCs w:val="16"/>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0"/>
              </w:rPr>
              <w:t>BlackRock, Inc.</w:t>
            </w:r>
          </w:p>
        </w:tc>
        <w:tc>
          <w:tcPr>
            <w:tcW w:w="4400" w:type="dxa"/>
            <w:vAlign w:val="bottom"/>
            <w:shd w:val="clear" w:color="auto" w:fill="CCEEFF"/>
          </w:tcPr>
          <w:p>
            <w:pPr>
              <w:jc w:val="right"/>
              <w:ind w:right="4143"/>
              <w:spacing w:after="0" w:line="169" w:lineRule="exact"/>
              <w:rPr>
                <w:sz w:val="20"/>
                <w:szCs w:val="20"/>
                <w:color w:val="auto"/>
              </w:rPr>
            </w:pPr>
            <w:r>
              <w:rPr>
                <w:rFonts w:ascii="Arial" w:cs="Arial" w:eastAsia="Arial" w:hAnsi="Arial"/>
                <w:sz w:val="15"/>
                <w:szCs w:val="15"/>
                <w:color w:val="auto"/>
                <w:w w:val="87"/>
              </w:rPr>
              <w:t>(1)</w:t>
            </w:r>
          </w:p>
        </w:tc>
        <w:tc>
          <w:tcPr>
            <w:tcW w:w="3980" w:type="dxa"/>
            <w:vAlign w:val="bottom"/>
            <w:gridSpan w:val="4"/>
            <w:shd w:val="clear" w:color="auto" w:fill="CCEEFF"/>
          </w:tcPr>
          <w:p>
            <w:pPr>
              <w:jc w:val="right"/>
              <w:ind w:right="300"/>
              <w:spacing w:after="0" w:line="169" w:lineRule="exact"/>
              <w:rPr>
                <w:sz w:val="20"/>
                <w:szCs w:val="20"/>
                <w:color w:val="auto"/>
              </w:rPr>
            </w:pPr>
            <w:r>
              <w:rPr>
                <w:rFonts w:ascii="Arial" w:cs="Arial" w:eastAsia="Arial" w:hAnsi="Arial"/>
                <w:sz w:val="18"/>
                <w:szCs w:val="18"/>
                <w:color w:val="auto"/>
              </w:rPr>
              <w:t>80,945,107</w:t>
            </w:r>
          </w:p>
        </w:tc>
        <w:tc>
          <w:tcPr>
            <w:tcW w:w="1180" w:type="dxa"/>
            <w:vAlign w:val="bottom"/>
            <w:gridSpan w:val="4"/>
            <w:shd w:val="clear" w:color="auto" w:fill="CCEEFF"/>
          </w:tcPr>
          <w:p>
            <w:pPr>
              <w:jc w:val="right"/>
              <w:ind w:right="60"/>
              <w:spacing w:after="0" w:line="169"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400" w:type="dxa"/>
            <w:vAlign w:val="bottom"/>
            <w:shd w:val="clear" w:color="auto" w:fill="CCEEFF"/>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40" w:type="dxa"/>
            <w:vAlign w:val="bottom"/>
            <w:gridSpan w:val="2"/>
          </w:tcPr>
          <w:p>
            <w:pPr>
              <w:spacing w:after="0" w:line="201" w:lineRule="exact"/>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(2)</w:t>
            </w:r>
          </w:p>
        </w:tc>
        <w:tc>
          <w:tcPr>
            <w:tcW w:w="3980" w:type="dxa"/>
            <w:vAlign w:val="bottom"/>
            <w:gridSpan w:val="4"/>
          </w:tcPr>
          <w:p>
            <w:pPr>
              <w:jc w:val="right"/>
              <w:ind w:right="300"/>
              <w:spacing w:after="0" w:line="201" w:lineRule="exact"/>
              <w:rPr>
                <w:sz w:val="20"/>
                <w:szCs w:val="20"/>
                <w:color w:val="auto"/>
              </w:rPr>
            </w:pPr>
            <w:r>
              <w:rPr>
                <w:rFonts w:ascii="Arial" w:cs="Arial" w:eastAsia="Arial" w:hAnsi="Arial"/>
                <w:sz w:val="18"/>
                <w:szCs w:val="18"/>
                <w:color w:val="auto"/>
              </w:rPr>
              <w:t>66,032,217</w:t>
            </w:r>
          </w:p>
        </w:tc>
        <w:tc>
          <w:tcPr>
            <w:tcW w:w="118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right="160" w:hanging="332"/>
        <w:spacing w:after="0" w:line="329" w:lineRule="auto"/>
        <w:tabs>
          <w:tab w:leader="none" w:pos="3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solely on a Statement on Schedule 13G/A filed on February 11, 2014. Such filing indicates that BlackRock, Inc. has sole voting power with respect to 65,876,918 shares, sole investment power with respect to 80,888,857 shares, and shared voting power and shared investment power with respect to 56,250 shares.</w:t>
      </w:r>
    </w:p>
    <w:p>
      <w:pPr>
        <w:spacing w:after="0" w:line="175" w:lineRule="exact"/>
        <w:rPr>
          <w:rFonts w:ascii="Arial" w:cs="Arial" w:eastAsia="Arial" w:hAnsi="Arial"/>
          <w:sz w:val="15"/>
          <w:szCs w:val="15"/>
          <w:color w:val="auto"/>
        </w:rPr>
      </w:pPr>
    </w:p>
    <w:p>
      <w:pPr>
        <w:ind w:left="340" w:right="20" w:hanging="332"/>
        <w:spacing w:after="0" w:line="329" w:lineRule="auto"/>
        <w:tabs>
          <w:tab w:leader="none" w:pos="3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solely on a Statement on Schedule 13G filed on February 11, 2014. Such filing indicates that The Vanguard Group - 23-1945930 has sole voting power with respect to 2,155,117 shares, sole investment power with respect to 64,019,008 shares, and shared investment power with respect to 2,013,209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Management</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following table sets forth information known to Schlumberger with respect to beneficial ownership of the Company’s common stock as of</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January 31, 2014 by (i) each director and director nominee, (ii) each of the named executive officers and (iii) all directors and executive officers as a group.</w:t>
      </w:r>
    </w:p>
    <w:p>
      <w:pPr>
        <w:spacing w:after="0" w:line="234"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Beneficial ownership is determined under the rules of the SEC and generally includes voting or investment power with respect to securities. Except as indicated in the footnotes to the table below and subject to applicable community property laws, to Schlumberger’s knowledge the persons named in the table below have sole voting and investment power with respect to the securities listed. None of the shares are subject to any pledge.</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number of shares beneficially owned by each person or group as of January 31, 2014 includes shares of common stock that such person or group has the right to acquire within 60 days of January 31, 2014, including upon the exercise of options to purchase common stock or the vesting of restricted stock units. References to options in the footnotes to the table below include only options outstanding as of January 31, 2014 that are currently exercisable or that become exercisable within 60 days of January 31, 2014, and references to any restricted stock, restricted stock units or PSUs (collectively, “restricted stock”) in the footnotes to the table below include only restricted stock outstanding as of January 31, 2014 and that are currently vested or that vest within 60 days of January 31, 2014.</w:t>
      </w:r>
    </w:p>
    <w:p>
      <w:pPr>
        <w:spacing w:after="0" w:line="19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1,306,440,330 shares of common stock outstanding on January 31, 2014, plus the number of shares of common stock that such person or group had the right to acquire on or within 60 days after January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As of January 31, 2014, no director, director nominee or named executive officer owned more than 1% of the outstanding shares of Schlumberger’s common stock. All directors and executive officers as a group owned less than 1% of the outstanding shares of our common stock at January 31,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right"/>
              <w:ind w:right="523"/>
              <w:spacing w:after="0"/>
              <w:rPr>
                <w:sz w:val="20"/>
                <w:szCs w:val="20"/>
                <w:color w:val="auto"/>
              </w:rPr>
            </w:pPr>
            <w:r>
              <w:rPr>
                <w:rFonts w:ascii="Arial" w:cs="Arial" w:eastAsia="Arial" w:hAnsi="Arial"/>
                <w:sz w:val="14"/>
                <w:szCs w:val="14"/>
                <w:b w:val="1"/>
                <w:bCs w:val="1"/>
                <w:color w:val="auto"/>
              </w:rPr>
              <w:t>Shares</w:t>
            </w:r>
          </w:p>
        </w:tc>
      </w:tr>
      <w:tr>
        <w:trPr>
          <w:trHeight w:val="210"/>
        </w:trPr>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Simon Ayat</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769,328</w:t>
            </w:r>
          </w:p>
        </w:tc>
        <w:tc>
          <w:tcPr>
            <w:tcW w:w="32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87"/>
              </w:rPr>
              <w:t>(1)</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567,125</w:t>
            </w:r>
            <w:r>
              <w:rPr>
                <w:rFonts w:ascii="Arial" w:cs="Arial" w:eastAsia="Arial" w:hAnsi="Arial"/>
                <w:sz w:val="15"/>
                <w:szCs w:val="15"/>
                <w:color w:val="auto"/>
              </w:rPr>
              <w:t>(2)</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13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29,300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23,250</w:t>
            </w:r>
            <w:r>
              <w:rPr>
                <w:rFonts w:ascii="Arial" w:cs="Arial" w:eastAsia="Arial" w:hAnsi="Arial"/>
                <w:sz w:val="15"/>
                <w:szCs w:val="15"/>
                <w:color w:val="auto"/>
              </w:rPr>
              <w:t>(3)</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13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9,000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Maureen Kempston Darkes</w:t>
            </w:r>
          </w:p>
        </w:tc>
        <w:tc>
          <w:tcPr>
            <w:tcW w:w="1320" w:type="dxa"/>
            <w:vAlign w:val="bottom"/>
            <w:gridSpan w:val="2"/>
          </w:tcPr>
          <w:p>
            <w:pPr>
              <w:jc w:val="right"/>
              <w:ind w:right="243"/>
              <w:spacing w:after="0"/>
              <w:rPr>
                <w:sz w:val="20"/>
                <w:szCs w:val="20"/>
                <w:color w:val="auto"/>
              </w:rPr>
            </w:pPr>
            <w:r>
              <w:rPr>
                <w:rFonts w:ascii="Arial" w:cs="Arial" w:eastAsia="Arial" w:hAnsi="Arial"/>
                <w:sz w:val="18"/>
                <w:szCs w:val="18"/>
                <w:color w:val="auto"/>
              </w:rPr>
              <w:t>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Paal Kibsgaard</w:t>
            </w:r>
          </w:p>
        </w:tc>
        <w:tc>
          <w:tcPr>
            <w:tcW w:w="1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683,817</w:t>
            </w:r>
            <w:r>
              <w:rPr>
                <w:rFonts w:ascii="Arial" w:cs="Arial" w:eastAsia="Arial" w:hAnsi="Arial"/>
                <w:sz w:val="15"/>
                <w:szCs w:val="15"/>
                <w:color w:val="auto"/>
              </w:rPr>
              <w:t>(4)</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1320" w:type="dxa"/>
            <w:vAlign w:val="bottom"/>
            <w:gridSpan w:val="2"/>
          </w:tcPr>
          <w:p>
            <w:pPr>
              <w:jc w:val="right"/>
              <w:ind w:right="243"/>
              <w:spacing w:after="0"/>
              <w:rPr>
                <w:sz w:val="20"/>
                <w:szCs w:val="20"/>
                <w:color w:val="auto"/>
              </w:rPr>
            </w:pPr>
            <w:r>
              <w:rPr>
                <w:rFonts w:ascii="Arial" w:cs="Arial" w:eastAsia="Arial" w:hAnsi="Arial"/>
                <w:sz w:val="18"/>
                <w:szCs w:val="18"/>
                <w:color w:val="auto"/>
              </w:rPr>
              <w:t>10,000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Juden</w:t>
            </w:r>
          </w:p>
        </w:tc>
        <w:tc>
          <w:tcPr>
            <w:tcW w:w="1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181,529</w:t>
            </w:r>
            <w:r>
              <w:rPr>
                <w:rFonts w:ascii="Arial" w:cs="Arial" w:eastAsia="Arial" w:hAnsi="Arial"/>
                <w:sz w:val="15"/>
                <w:szCs w:val="15"/>
                <w:color w:val="auto"/>
              </w:rPr>
              <w:t>(5)</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18,732</w:t>
            </w:r>
            <w:r>
              <w:rPr>
                <w:rFonts w:ascii="Arial" w:cs="Arial" w:eastAsia="Arial" w:hAnsi="Arial"/>
                <w:sz w:val="15"/>
                <w:szCs w:val="15"/>
                <w:color w:val="auto"/>
              </w:rPr>
              <w:t>(6)</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35,000</w:t>
            </w:r>
            <w:r>
              <w:rPr>
                <w:rFonts w:ascii="Arial" w:cs="Arial" w:eastAsia="Arial" w:hAnsi="Arial"/>
                <w:sz w:val="15"/>
                <w:szCs w:val="15"/>
                <w:color w:val="auto"/>
              </w:rPr>
              <w:t>(7)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Kjell-Erik Oestdahl</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95,436</w:t>
            </w:r>
            <w:r>
              <w:rPr>
                <w:rFonts w:ascii="Arial" w:cs="Arial" w:eastAsia="Arial" w:hAnsi="Arial"/>
                <w:sz w:val="15"/>
                <w:szCs w:val="15"/>
                <w:color w:val="auto"/>
              </w:rPr>
              <w:t>(8)</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13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6,750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546,428</w:t>
            </w:r>
            <w:r>
              <w:rPr>
                <w:rFonts w:ascii="Arial" w:cs="Arial" w:eastAsia="Arial" w:hAnsi="Arial"/>
                <w:sz w:val="15"/>
                <w:szCs w:val="15"/>
                <w:color w:val="auto"/>
              </w:rPr>
              <w:t>(9)</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Jean-Francois Poupeau</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263,959</w:t>
            </w:r>
            <w:r>
              <w:rPr>
                <w:rFonts w:ascii="Arial" w:cs="Arial" w:eastAsia="Arial" w:hAnsi="Arial"/>
                <w:sz w:val="15"/>
                <w:szCs w:val="15"/>
                <w:color w:val="auto"/>
              </w:rPr>
              <w:t>(10)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1320" w:type="dxa"/>
            <w:vAlign w:val="bottom"/>
            <w:gridSpan w:val="2"/>
          </w:tcPr>
          <w:p>
            <w:pPr>
              <w:jc w:val="right"/>
              <w:ind w:right="243"/>
              <w:spacing w:after="0"/>
              <w:rPr>
                <w:sz w:val="20"/>
                <w:szCs w:val="20"/>
                <w:color w:val="auto"/>
              </w:rPr>
            </w:pPr>
            <w:r>
              <w:rPr>
                <w:rFonts w:ascii="Arial" w:cs="Arial" w:eastAsia="Arial" w:hAnsi="Arial"/>
                <w:sz w:val="18"/>
                <w:szCs w:val="18"/>
                <w:color w:val="auto"/>
              </w:rPr>
              <w:t>15,250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3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27,250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1320" w:type="dxa"/>
            <w:vAlign w:val="bottom"/>
            <w:gridSpan w:val="2"/>
          </w:tcPr>
          <w:p>
            <w:pPr>
              <w:jc w:val="right"/>
              <w:ind w:right="243"/>
              <w:spacing w:after="0"/>
              <w:rPr>
                <w:sz w:val="20"/>
                <w:szCs w:val="20"/>
                <w:color w:val="auto"/>
              </w:rPr>
            </w:pPr>
            <w:r>
              <w:rPr>
                <w:rFonts w:ascii="Arial" w:cs="Arial" w:eastAsia="Arial" w:hAnsi="Arial"/>
                <w:sz w:val="18"/>
                <w:szCs w:val="18"/>
                <w:color w:val="auto"/>
              </w:rPr>
              <w:t>11,250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4,597,944</w:t>
            </w:r>
            <w:r>
              <w:rPr>
                <w:rFonts w:ascii="Arial" w:cs="Arial" w:eastAsia="Arial" w:hAnsi="Arial"/>
                <w:sz w:val="15"/>
                <w:szCs w:val="15"/>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618,650 shares.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526,659 shares. Also includes 3,435 shares held in Mr. Belani’s Schlumberger International Profit Sharing Plan account.</w:t>
      </w:r>
    </w:p>
    <w:p>
      <w:pPr>
        <w:spacing w:after="0" w:line="153"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shares held in the name of Mr. Isaac’s spouse. Excludes 5,000 shares the receipt of which Mr. Isaac has deferred under Schlumberger’s 2004 Stock and Deferral Plan for Non-Employee Directors.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552,850 shares. Includes 40,000 shares held in the name of Mr. Kibsgaard’s spouse.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156,501 shares.</w:t>
      </w:r>
    </w:p>
    <w:p>
      <w:pPr>
        <w:spacing w:after="0" w:line="130"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 standing for re-election in 2014. Includes 14,232 shares held through a limited liability company in which Mr. Lajous has an indirect interest. Excludes 14,750 shares the receipt of which Mr. Lajous has deferred under Schlumberger’s 2004 Stock and Deferral Plan for Non-Employee Directors.</w:t>
      </w:r>
    </w:p>
    <w:p>
      <w:pPr>
        <w:spacing w:after="0" w:line="29" w:lineRule="exact"/>
        <w:rPr>
          <w:rFonts w:ascii="Arial" w:cs="Arial" w:eastAsia="Arial" w:hAnsi="Arial"/>
          <w:sz w:val="16"/>
          <w:szCs w:val="16"/>
          <w:color w:val="auto"/>
        </w:rPr>
      </w:pPr>
    </w:p>
    <w:p>
      <w:pPr>
        <w:jc w:val="both"/>
        <w:ind w:left="460" w:right="140" w:hanging="452"/>
        <w:spacing w:after="0" w:line="26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27,000 shares held indirectly by a limited liability company controlled by Mr. Marks. Also includes 10,000 shares held indirectly by a family trust of which Mr. Marks is a co-trustee and co-beneficiary. Excludes 2,000 shares the receipt of which Mr. Marks has deferred under Schlumberger’s 2004 Stock and Deferral Plan for Non-Employee Directors.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94,200 shares.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358,000 shares.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227,050 shares.</w:t>
      </w:r>
    </w:p>
    <w:p>
      <w:pPr>
        <w:spacing w:after="0" w:line="252"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options to purchase 3,561,339 shares, and excludes 21,750 shares the receipt of which directors have deferred under Schlumberger’s 2004 Stock and Deferral Plan for Non-Employee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2013, all of its executive officers and directors filed on a timely basis the reports required to be filed under Section 16(a) of the Exchange Act.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2015 Annual General Meeting</w:t>
      </w:r>
    </w:p>
    <w:p>
      <w:pPr>
        <w:spacing w:after="0" w:line="229"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2015 annual general meeting of stockholders, written proposals must be received by the Secretary of the Company, 5599 San Felipe, 17th Floor, Houston, Texas 77056, no later than October 23, 2014.</w:t>
      </w:r>
    </w:p>
    <w:p>
      <w:pPr>
        <w:spacing w:after="0" w:line="12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Pursuant to the rules under the Exchange Act, the Company may use discretionary authority to vote with respect to stockholder proposals presented in person at the 2015 annual general meeting of stockholders if the stockholder making the proposal has not given notice to the Company by January 6,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14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097915"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February 12,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SCHLUMBERGER LIMITED</w:t>
      </w:r>
    </w:p>
    <w:p>
      <w:pPr>
        <w:spacing w:after="0"/>
        <w:rPr>
          <w:sz w:val="20"/>
          <w:szCs w:val="20"/>
          <w:color w:val="auto"/>
        </w:rPr>
      </w:pPr>
      <w:r>
        <w:rPr>
          <w:rFonts w:ascii="Arial" w:cs="Arial" w:eastAsia="Arial" w:hAnsi="Arial"/>
          <w:sz w:val="13"/>
          <w:szCs w:val="13"/>
          <w:b w:val="1"/>
          <w:bCs w:val="1"/>
          <w:i w:val="1"/>
          <w:iCs w:val="1"/>
          <w:color w:val="auto"/>
        </w:rPr>
        <w:t>5599 SAN FELIPE, 17TH FLOOR</w:t>
      </w:r>
    </w:p>
    <w:p>
      <w:pPr>
        <w:spacing w:after="0"/>
        <w:rPr>
          <w:sz w:val="20"/>
          <w:szCs w:val="20"/>
          <w:color w:val="auto"/>
        </w:rPr>
      </w:pPr>
      <w:r>
        <w:rPr>
          <w:rFonts w:ascii="Arial" w:cs="Arial" w:eastAsia="Arial" w:hAnsi="Arial"/>
          <w:sz w:val="14"/>
          <w:szCs w:val="14"/>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-627380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3"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13"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13" w:lineRule="exact"/>
        <w:rPr>
          <w:sz w:val="20"/>
          <w:szCs w:val="20"/>
          <w:color w:val="auto"/>
        </w:rPr>
      </w:pPr>
    </w:p>
    <w:p>
      <w:pPr>
        <w:ind w:right="320"/>
        <w:spacing w:after="0" w:line="29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6060"/>
          </w:cols>
          <w:pgMar w:left="240" w:top="459" w:right="219" w:bottom="1440" w:gutter="0" w:footer="0" w:header="0"/>
        </w:sect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920" w:type="dxa"/>
            <w:vAlign w:val="bottom"/>
            <w:gridSpan w:val="7"/>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1180"/>
              <w:spacing w:after="0"/>
              <w:rPr>
                <w:sz w:val="20"/>
                <w:szCs w:val="20"/>
                <w:color w:val="auto"/>
              </w:rPr>
            </w:pPr>
            <w:r>
              <w:rPr>
                <w:rFonts w:ascii="Arial" w:cs="Arial" w:eastAsia="Arial" w:hAnsi="Arial"/>
                <w:sz w:val="14"/>
                <w:szCs w:val="14"/>
                <w:color w:val="auto"/>
              </w:rPr>
              <w:t>M40767-P20448</w:t>
            </w:r>
          </w:p>
        </w:tc>
        <w:tc>
          <w:tcPr>
            <w:tcW w:w="2980" w:type="dxa"/>
            <w:vAlign w:val="bottom"/>
            <w:gridSpan w:val="6"/>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980" w:type="dxa"/>
            <w:vAlign w:val="bottom"/>
            <w:gridSpan w:val="6"/>
          </w:tcPr>
          <w:p>
            <w:pPr>
              <w:jc w:val="right"/>
              <w:ind w:right="20"/>
              <w:spacing w:after="0"/>
              <w:rPr>
                <w:sz w:val="20"/>
                <w:szCs w:val="20"/>
                <w:color w:val="auto"/>
              </w:rPr>
            </w:pPr>
            <w:r>
              <w:rPr>
                <w:rFonts w:ascii="Arial" w:cs="Arial" w:eastAsia="Arial" w:hAnsi="Arial"/>
                <w:sz w:val="14"/>
                <w:szCs w:val="14"/>
                <w:color w:val="auto"/>
                <w:w w:val="98"/>
              </w:rPr>
              <w:t>DETACH AND RETURN THIS PORTION ONLY</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300" w:type="dxa"/>
            <w:vAlign w:val="bottom"/>
            <w:gridSpan w:val="7"/>
          </w:tcPr>
          <w:p>
            <w:pPr>
              <w:ind w:left="3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SCHLUMBERGER LIMITED</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0" w:type="dxa"/>
            <w:vAlign w:val="bottom"/>
            <w:tcBorders>
              <w:left w:val="single" w:sz="8" w:color="auto"/>
            </w:tcBorders>
          </w:tcPr>
          <w:p>
            <w:pPr>
              <w:spacing w:after="0"/>
              <w:rPr>
                <w:sz w:val="20"/>
                <w:szCs w:val="20"/>
                <w:color w:val="auto"/>
              </w:rPr>
            </w:pPr>
          </w:p>
        </w:tc>
        <w:tc>
          <w:tcPr>
            <w:tcW w:w="41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The Board of Directors recommends you vote FOR the</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20" w:type="dxa"/>
            <w:vAlign w:val="bottom"/>
            <w:tcBorders>
              <w:left w:val="single" w:sz="8" w:color="auto"/>
            </w:tcBorders>
          </w:tcPr>
          <w:p>
            <w:pPr>
              <w:spacing w:after="0"/>
              <w:rPr>
                <w:sz w:val="16"/>
                <w:szCs w:val="16"/>
                <w:color w:val="auto"/>
              </w:rPr>
            </w:pPr>
          </w:p>
        </w:tc>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auto"/>
              </w:rPr>
              <w:t>following:</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20" w:type="dxa"/>
            <w:vAlign w:val="bottom"/>
            <w:tcBorders>
              <w:left w:val="single" w:sz="8" w:color="auto"/>
            </w:tcBorders>
          </w:tcPr>
          <w:p>
            <w:pPr>
              <w:spacing w:after="0"/>
              <w:rPr>
                <w:sz w:val="24"/>
                <w:szCs w:val="24"/>
                <w:color w:val="auto"/>
              </w:rPr>
            </w:pPr>
          </w:p>
        </w:tc>
        <w:tc>
          <w:tcPr>
            <w:tcW w:w="2940" w:type="dxa"/>
            <w:vAlign w:val="bottom"/>
            <w:gridSpan w:val="2"/>
          </w:tcPr>
          <w:p>
            <w:pPr>
              <w:ind w:left="100"/>
              <w:spacing w:after="0"/>
              <w:rPr>
                <w:sz w:val="20"/>
                <w:szCs w:val="20"/>
                <w:color w:val="auto"/>
              </w:rPr>
            </w:pPr>
            <w:r>
              <w:rPr>
                <w:rFonts w:ascii="Arial" w:cs="Arial" w:eastAsia="Arial" w:hAnsi="Arial"/>
                <w:sz w:val="14"/>
                <w:szCs w:val="14"/>
                <w:color w:val="auto"/>
              </w:rPr>
              <w:t>1.   Election of Directors</w:t>
            </w:r>
          </w:p>
        </w:tc>
        <w:tc>
          <w:tcPr>
            <w:tcW w:w="7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tcBorders>
          </w:tcPr>
          <w:p>
            <w:pPr>
              <w:spacing w:after="0"/>
              <w:rPr>
                <w:sz w:val="24"/>
                <w:szCs w:val="24"/>
                <w:color w:val="auto"/>
              </w:rPr>
            </w:pPr>
          </w:p>
        </w:tc>
        <w:tc>
          <w:tcPr>
            <w:tcW w:w="2940" w:type="dxa"/>
            <w:vAlign w:val="bottom"/>
            <w:gridSpan w:val="2"/>
          </w:tcPr>
          <w:p>
            <w:pPr>
              <w:ind w:left="380"/>
              <w:spacing w:after="0"/>
              <w:rPr>
                <w:sz w:val="20"/>
                <w:szCs w:val="20"/>
                <w:color w:val="auto"/>
              </w:rPr>
            </w:pPr>
            <w:r>
              <w:rPr>
                <w:rFonts w:ascii="Arial" w:cs="Arial" w:eastAsia="Arial" w:hAnsi="Arial"/>
                <w:sz w:val="14"/>
                <w:szCs w:val="14"/>
                <w:b w:val="1"/>
                <w:bCs w:val="1"/>
                <w:color w:val="auto"/>
              </w:rPr>
              <w:t>Nominees: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Borders>
              <w:left w:val="single" w:sz="8" w:color="auto"/>
            </w:tcBorders>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1a.</w:t>
            </w:r>
          </w:p>
        </w:tc>
        <w:tc>
          <w:tcPr>
            <w:tcW w:w="2320" w:type="dxa"/>
            <w:vAlign w:val="bottom"/>
          </w:tcPr>
          <w:p>
            <w:pPr>
              <w:ind w:left="80"/>
              <w:spacing w:after="0"/>
              <w:rPr>
                <w:sz w:val="20"/>
                <w:szCs w:val="20"/>
                <w:color w:val="auto"/>
              </w:rPr>
            </w:pPr>
            <w:r>
              <w:rPr>
                <w:rFonts w:ascii="Arial" w:cs="Arial" w:eastAsia="Arial" w:hAnsi="Arial"/>
                <w:sz w:val="14"/>
                <w:szCs w:val="14"/>
                <w:color w:val="auto"/>
              </w:rPr>
              <w:t>Peter L.S. Currie</w:t>
            </w:r>
          </w:p>
        </w:tc>
        <w:tc>
          <w:tcPr>
            <w:tcW w:w="760" w:type="dxa"/>
            <w:vAlign w:val="bottom"/>
          </w:tcPr>
          <w:p>
            <w:pPr>
              <w:spacing w:after="0"/>
              <w:rPr>
                <w:sz w:val="24"/>
                <w:szCs w:val="24"/>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auto"/>
            </w:tcBorders>
          </w:tcPr>
          <w:p>
            <w:pPr>
              <w:spacing w:after="0"/>
              <w:rPr>
                <w:sz w:val="20"/>
                <w:szCs w:val="20"/>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1b.</w:t>
            </w:r>
          </w:p>
        </w:tc>
        <w:tc>
          <w:tcPr>
            <w:tcW w:w="2320" w:type="dxa"/>
            <w:vAlign w:val="bottom"/>
          </w:tcPr>
          <w:p>
            <w:pPr>
              <w:ind w:left="60"/>
              <w:spacing w:after="0"/>
              <w:rPr>
                <w:sz w:val="20"/>
                <w:szCs w:val="20"/>
                <w:color w:val="auto"/>
              </w:rPr>
            </w:pPr>
            <w:r>
              <w:rPr>
                <w:rFonts w:ascii="Arial" w:cs="Arial" w:eastAsia="Arial" w:hAnsi="Arial"/>
                <w:sz w:val="14"/>
                <w:szCs w:val="14"/>
                <w:color w:val="auto"/>
              </w:rPr>
              <w:t>Tony Isaac</w:t>
            </w:r>
          </w:p>
        </w:tc>
        <w:tc>
          <w:tcPr>
            <w:tcW w:w="760" w:type="dxa"/>
            <w:vAlign w:val="bottom"/>
          </w:tcPr>
          <w:p>
            <w:pPr>
              <w:spacing w:after="0"/>
              <w:rPr>
                <w:sz w:val="20"/>
                <w:szCs w:val="20"/>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The Board of Directors recommends you vote FOR the</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1460" w:type="dxa"/>
            <w:vAlign w:val="bottom"/>
            <w:tcBorders>
              <w:right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86"/>
        </w:trPr>
        <w:tc>
          <w:tcPr>
            <w:tcW w:w="220" w:type="dxa"/>
            <w:vAlign w:val="bottom"/>
            <w:tcBorders>
              <w:left w:val="single" w:sz="8" w:color="auto"/>
            </w:tcBorders>
          </w:tcPr>
          <w:p>
            <w:pPr>
              <w:spacing w:after="0"/>
              <w:rPr>
                <w:sz w:val="16"/>
                <w:szCs w:val="16"/>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1c.</w:t>
            </w:r>
          </w:p>
        </w:tc>
        <w:tc>
          <w:tcPr>
            <w:tcW w:w="2320" w:type="dxa"/>
            <w:vAlign w:val="bottom"/>
            <w:vMerge w:val="restart"/>
          </w:tcPr>
          <w:p>
            <w:pPr>
              <w:ind w:left="80"/>
              <w:spacing w:after="0"/>
              <w:rPr>
                <w:sz w:val="20"/>
                <w:szCs w:val="20"/>
                <w:color w:val="auto"/>
              </w:rPr>
            </w:pPr>
            <w:r>
              <w:rPr>
                <w:rFonts w:ascii="Arial" w:cs="Arial" w:eastAsia="Arial" w:hAnsi="Arial"/>
                <w:sz w:val="14"/>
                <w:szCs w:val="14"/>
                <w:color w:val="auto"/>
              </w:rPr>
              <w:t>K. Vaman Kamath</w:t>
            </w:r>
          </w:p>
        </w:tc>
        <w:tc>
          <w:tcPr>
            <w:tcW w:w="760" w:type="dxa"/>
            <w:vAlign w:val="bottom"/>
          </w:tcPr>
          <w:p>
            <w:pPr>
              <w:spacing w:after="0"/>
              <w:rPr>
                <w:sz w:val="16"/>
                <w:szCs w:val="16"/>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vMerge w:val="restart"/>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gridSpan w:val="2"/>
          </w:tcPr>
          <w:p>
            <w:pPr>
              <w:ind w:left="60"/>
              <w:spacing w:after="0"/>
              <w:rPr>
                <w:sz w:val="20"/>
                <w:szCs w:val="20"/>
                <w:color w:val="auto"/>
              </w:rPr>
            </w:pPr>
            <w:r>
              <w:rPr>
                <w:rFonts w:ascii="Arial" w:cs="Arial" w:eastAsia="Arial" w:hAnsi="Arial"/>
                <w:sz w:val="14"/>
                <w:szCs w:val="14"/>
                <w:b w:val="1"/>
                <w:bCs w:val="1"/>
                <w:color w:val="auto"/>
              </w:rPr>
              <w:t>following proposals:</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auto"/>
            </w:tcBorders>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1d.</w:t>
            </w:r>
          </w:p>
        </w:tc>
        <w:tc>
          <w:tcPr>
            <w:tcW w:w="2320" w:type="dxa"/>
            <w:vAlign w:val="bottom"/>
          </w:tcPr>
          <w:p>
            <w:pPr>
              <w:ind w:left="60"/>
              <w:spacing w:after="0"/>
              <w:rPr>
                <w:sz w:val="20"/>
                <w:szCs w:val="20"/>
                <w:color w:val="auto"/>
              </w:rPr>
            </w:pPr>
            <w:r>
              <w:rPr>
                <w:rFonts w:ascii="Arial" w:cs="Arial" w:eastAsia="Arial" w:hAnsi="Arial"/>
                <w:sz w:val="14"/>
                <w:szCs w:val="14"/>
                <w:color w:val="auto"/>
              </w:rPr>
              <w:t>Maureen Kempston Darkes</w:t>
            </w:r>
          </w:p>
        </w:tc>
        <w:tc>
          <w:tcPr>
            <w:tcW w:w="760" w:type="dxa"/>
            <w:vAlign w:val="bottom"/>
          </w:tcPr>
          <w:p>
            <w:pPr>
              <w:spacing w:after="0"/>
              <w:rPr>
                <w:sz w:val="16"/>
                <w:szCs w:val="16"/>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ind w:left="60"/>
              <w:spacing w:after="0"/>
              <w:rPr>
                <w:sz w:val="20"/>
                <w:szCs w:val="20"/>
                <w:color w:val="auto"/>
              </w:rPr>
            </w:pPr>
            <w:r>
              <w:rPr>
                <w:rFonts w:ascii="Arial" w:cs="Arial" w:eastAsia="Arial" w:hAnsi="Arial"/>
                <w:sz w:val="13"/>
                <w:szCs w:val="13"/>
                <w:color w:val="auto"/>
                <w:w w:val="73"/>
              </w:rPr>
              <w:t>2.</w:t>
            </w:r>
          </w:p>
        </w:tc>
        <w:tc>
          <w:tcPr>
            <w:tcW w:w="3420" w:type="dxa"/>
            <w:vAlign w:val="bottom"/>
            <w:gridSpan w:val="2"/>
          </w:tcPr>
          <w:p>
            <w:pPr>
              <w:ind w:left="100"/>
              <w:spacing w:after="0"/>
              <w:rPr>
                <w:sz w:val="20"/>
                <w:szCs w:val="20"/>
                <w:color w:val="auto"/>
              </w:rPr>
            </w:pPr>
            <w:r>
              <w:rPr>
                <w:rFonts w:ascii="Arial" w:cs="Arial" w:eastAsia="Arial" w:hAnsi="Arial"/>
                <w:sz w:val="14"/>
                <w:szCs w:val="14"/>
                <w:color w:val="auto"/>
              </w:rPr>
              <w:t>To approve, on an advisory basis, the Company’s</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7"/>
        </w:trPr>
        <w:tc>
          <w:tcPr>
            <w:tcW w:w="220" w:type="dxa"/>
            <w:vAlign w:val="bottom"/>
            <w:tcBorders>
              <w:left w:val="single" w:sz="8" w:color="auto"/>
            </w:tcBorders>
          </w:tcPr>
          <w:p>
            <w:pPr>
              <w:spacing w:after="0"/>
              <w:rPr>
                <w:sz w:val="15"/>
                <w:szCs w:val="15"/>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1e.</w:t>
            </w:r>
          </w:p>
        </w:tc>
        <w:tc>
          <w:tcPr>
            <w:tcW w:w="2320" w:type="dxa"/>
            <w:vAlign w:val="bottom"/>
            <w:vMerge w:val="restart"/>
          </w:tcPr>
          <w:p>
            <w:pPr>
              <w:ind w:left="80"/>
              <w:spacing w:after="0"/>
              <w:rPr>
                <w:sz w:val="20"/>
                <w:szCs w:val="20"/>
                <w:color w:val="auto"/>
              </w:rPr>
            </w:pPr>
            <w:r>
              <w:rPr>
                <w:rFonts w:ascii="Arial" w:cs="Arial" w:eastAsia="Arial" w:hAnsi="Arial"/>
                <w:sz w:val="14"/>
                <w:szCs w:val="14"/>
                <w:color w:val="auto"/>
              </w:rPr>
              <w:t>Paal Kibsgaard</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Arial" w:cs="Arial" w:eastAsia="Arial" w:hAnsi="Arial"/>
                <w:sz w:val="14"/>
                <w:szCs w:val="14"/>
                <w:color w:val="auto"/>
              </w:rPr>
              <w:t>executive compensation.</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20" w:type="dxa"/>
            <w:vAlign w:val="bottom"/>
            <w:tcBorders>
              <w:lef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vMerge w:val="restart"/>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7"/>
                <w:szCs w:val="7"/>
                <w:color w:val="auto"/>
              </w:rPr>
            </w:pPr>
          </w:p>
        </w:tc>
        <w:tc>
          <w:tcPr>
            <w:tcW w:w="3420" w:type="dxa"/>
            <w:vAlign w:val="bottom"/>
            <w:gridSpan w:val="2"/>
            <w:vMerge w:val="restart"/>
          </w:tcPr>
          <w:p>
            <w:pPr>
              <w:ind w:left="100"/>
              <w:spacing w:after="0"/>
              <w:rPr>
                <w:sz w:val="20"/>
                <w:szCs w:val="20"/>
                <w:color w:val="auto"/>
              </w:rPr>
            </w:pPr>
            <w:r>
              <w:rPr>
                <w:rFonts w:ascii="Arial" w:cs="Arial" w:eastAsia="Arial" w:hAnsi="Arial"/>
                <w:sz w:val="14"/>
                <w:szCs w:val="14"/>
                <w:color w:val="auto"/>
                <w:w w:val="91"/>
              </w:rPr>
              <w:t>To approve the Company’s 2013 financial statements and</w:t>
            </w: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20" w:type="dxa"/>
            <w:vAlign w:val="bottom"/>
            <w:tcBorders>
              <w:left w:val="single" w:sz="8" w:color="auto"/>
            </w:tcBorders>
          </w:tcPr>
          <w:p>
            <w:pPr>
              <w:spacing w:after="0"/>
              <w:rPr>
                <w:sz w:val="11"/>
                <w:szCs w:val="11"/>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1f.</w:t>
            </w:r>
          </w:p>
        </w:tc>
        <w:tc>
          <w:tcPr>
            <w:tcW w:w="2320" w:type="dxa"/>
            <w:vAlign w:val="bottom"/>
            <w:vMerge w:val="restart"/>
          </w:tcPr>
          <w:p>
            <w:pPr>
              <w:ind w:left="60"/>
              <w:spacing w:after="0"/>
              <w:rPr>
                <w:sz w:val="20"/>
                <w:szCs w:val="20"/>
                <w:color w:val="auto"/>
              </w:rPr>
            </w:pPr>
            <w:r>
              <w:rPr>
                <w:rFonts w:ascii="Arial" w:cs="Arial" w:eastAsia="Arial" w:hAnsi="Arial"/>
                <w:sz w:val="14"/>
                <w:szCs w:val="14"/>
                <w:color w:val="auto"/>
              </w:rPr>
              <w:t>Nikolay Kudryavtsev</w:t>
            </w:r>
          </w:p>
        </w:tc>
        <w:tc>
          <w:tcPr>
            <w:tcW w:w="7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73"/>
              </w:rPr>
              <w:t>3.</w:t>
            </w:r>
          </w:p>
        </w:tc>
        <w:tc>
          <w:tcPr>
            <w:tcW w:w="3420" w:type="dxa"/>
            <w:vAlign w:val="bottom"/>
            <w:gridSpan w:val="2"/>
            <w:vMerge w:val="continue"/>
          </w:tcPr>
          <w:p>
            <w:pPr>
              <w:spacing w:after="0"/>
              <w:rPr>
                <w:sz w:val="11"/>
                <w:szCs w:val="11"/>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91"/>
        </w:trPr>
        <w:tc>
          <w:tcPr>
            <w:tcW w:w="220" w:type="dxa"/>
            <w:vAlign w:val="bottom"/>
            <w:tcBorders>
              <w:lef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42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4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vMerge w:val="restart"/>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1"/>
                <w:szCs w:val="11"/>
                <w:color w:val="auto"/>
              </w:rPr>
            </w:pPr>
          </w:p>
        </w:tc>
        <w:tc>
          <w:tcPr>
            <w:tcW w:w="2820" w:type="dxa"/>
            <w:vAlign w:val="bottom"/>
          </w:tcPr>
          <w:p>
            <w:pPr>
              <w:ind w:left="100"/>
              <w:spacing w:after="0" w:line="130" w:lineRule="exact"/>
              <w:rPr>
                <w:sz w:val="20"/>
                <w:szCs w:val="20"/>
                <w:color w:val="auto"/>
              </w:rPr>
            </w:pPr>
            <w:r>
              <w:rPr>
                <w:rFonts w:ascii="Arial" w:cs="Arial" w:eastAsia="Arial" w:hAnsi="Arial"/>
                <w:sz w:val="14"/>
                <w:szCs w:val="14"/>
                <w:color w:val="auto"/>
              </w:rPr>
              <w:t>declarations of dividends.</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0" w:type="dxa"/>
            <w:vAlign w:val="bottom"/>
            <w:tcBorders>
              <w:left w:val="single" w:sz="8" w:color="auto"/>
            </w:tcBorders>
          </w:tcPr>
          <w:p>
            <w:pPr>
              <w:spacing w:after="0"/>
              <w:rPr>
                <w:sz w:val="7"/>
                <w:szCs w:val="7"/>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1g.</w:t>
            </w:r>
          </w:p>
        </w:tc>
        <w:tc>
          <w:tcPr>
            <w:tcW w:w="2320" w:type="dxa"/>
            <w:vAlign w:val="bottom"/>
            <w:vMerge w:val="restart"/>
          </w:tcPr>
          <w:p>
            <w:pPr>
              <w:ind w:left="60"/>
              <w:spacing w:after="0"/>
              <w:rPr>
                <w:sz w:val="20"/>
                <w:szCs w:val="20"/>
                <w:color w:val="auto"/>
              </w:rPr>
            </w:pPr>
            <w:r>
              <w:rPr>
                <w:rFonts w:ascii="Arial" w:cs="Arial" w:eastAsia="Arial" w:hAnsi="Arial"/>
                <w:sz w:val="14"/>
                <w:szCs w:val="14"/>
                <w:color w:val="auto"/>
              </w:rPr>
              <w:t>Michael E. Marks</w:t>
            </w:r>
          </w:p>
        </w:tc>
        <w:tc>
          <w:tcPr>
            <w:tcW w:w="7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20" w:type="dxa"/>
            <w:vAlign w:val="bottom"/>
            <w:vMerge w:val="restart"/>
          </w:tcPr>
          <w:p>
            <w:pPr>
              <w:ind w:left="100"/>
              <w:spacing w:after="0"/>
              <w:rPr>
                <w:sz w:val="20"/>
                <w:szCs w:val="20"/>
                <w:color w:val="auto"/>
              </w:rPr>
            </w:pPr>
            <w:r>
              <w:rPr>
                <w:rFonts w:ascii="Arial" w:cs="Arial" w:eastAsia="Arial" w:hAnsi="Arial"/>
                <w:sz w:val="14"/>
                <w:szCs w:val="14"/>
                <w:color w:val="auto"/>
                <w:w w:val="91"/>
              </w:rPr>
              <w:t>To approve the appointment of the independent</w:t>
            </w: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20" w:type="dxa"/>
            <w:vAlign w:val="bottom"/>
            <w:tcBorders>
              <w:lef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vMerge w:val="restart"/>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vMerge w:val="restart"/>
          </w:tcPr>
          <w:p>
            <w:pPr>
              <w:ind w:left="60"/>
              <w:spacing w:after="0" w:line="122" w:lineRule="exact"/>
              <w:rPr>
                <w:sz w:val="20"/>
                <w:szCs w:val="20"/>
                <w:color w:val="auto"/>
              </w:rPr>
            </w:pPr>
            <w:r>
              <w:rPr>
                <w:rFonts w:ascii="Arial" w:cs="Arial" w:eastAsia="Arial" w:hAnsi="Arial"/>
                <w:sz w:val="13"/>
                <w:szCs w:val="13"/>
                <w:color w:val="auto"/>
                <w:w w:val="73"/>
              </w:rPr>
              <w:t>4.</w:t>
            </w:r>
          </w:p>
        </w:tc>
        <w:tc>
          <w:tcPr>
            <w:tcW w:w="28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6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 w:type="dxa"/>
            <w:vAlign w:val="bottom"/>
            <w:tcBorders>
              <w:left w:val="single" w:sz="8" w:color="auto"/>
            </w:tcBorders>
          </w:tcPr>
          <w:p>
            <w:pPr>
              <w:spacing w:after="0"/>
              <w:rPr>
                <w:sz w:val="15"/>
                <w:szCs w:val="15"/>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1h.</w:t>
            </w:r>
          </w:p>
        </w:tc>
        <w:tc>
          <w:tcPr>
            <w:tcW w:w="2320" w:type="dxa"/>
            <w:vAlign w:val="bottom"/>
            <w:vMerge w:val="restart"/>
          </w:tcPr>
          <w:p>
            <w:pPr>
              <w:ind w:left="60"/>
              <w:spacing w:after="0"/>
              <w:rPr>
                <w:sz w:val="20"/>
                <w:szCs w:val="20"/>
                <w:color w:val="auto"/>
              </w:rPr>
            </w:pPr>
            <w:r>
              <w:rPr>
                <w:rFonts w:ascii="Arial" w:cs="Arial" w:eastAsia="Arial" w:hAnsi="Arial"/>
                <w:sz w:val="14"/>
                <w:szCs w:val="14"/>
                <w:color w:val="auto"/>
              </w:rPr>
              <w:t>Lubna S. Olayan</w:t>
            </w:r>
          </w:p>
        </w:tc>
        <w:tc>
          <w:tcPr>
            <w:tcW w:w="7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Arial" w:cs="Arial" w:eastAsia="Arial" w:hAnsi="Arial"/>
                <w:sz w:val="14"/>
                <w:szCs w:val="14"/>
                <w:color w:val="auto"/>
              </w:rPr>
              <w:t>registered public accounting firm.</w:t>
            </w:r>
          </w:p>
        </w:tc>
        <w:tc>
          <w:tcPr>
            <w:tcW w:w="6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0" w:type="dxa"/>
            <w:vAlign w:val="bottom"/>
            <w:tcBorders>
              <w:left w:val="single" w:sz="8" w:color="auto"/>
            </w:tcBorders>
          </w:tcPr>
          <w:p>
            <w:pPr>
              <w:spacing w:after="0"/>
              <w:rPr>
                <w:sz w:val="5"/>
                <w:szCs w:val="5"/>
                <w:color w:val="auto"/>
              </w:rPr>
            </w:pPr>
          </w:p>
        </w:tc>
        <w:tc>
          <w:tcPr>
            <w:tcW w:w="620" w:type="dxa"/>
            <w:vAlign w:val="bottom"/>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vMerge w:val="restart"/>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20" w:type="dxa"/>
            <w:vAlign w:val="bottom"/>
            <w:tcBorders>
              <w:left w:val="single" w:sz="8" w:color="auto"/>
            </w:tcBorders>
          </w:tcPr>
          <w:p>
            <w:pPr>
              <w:spacing w:after="0"/>
              <w:rPr>
                <w:sz w:val="19"/>
                <w:szCs w:val="1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1i.</w:t>
            </w:r>
          </w:p>
        </w:tc>
        <w:tc>
          <w:tcPr>
            <w:tcW w:w="2320" w:type="dxa"/>
            <w:vAlign w:val="bottom"/>
            <w:vMerge w:val="restart"/>
          </w:tcPr>
          <w:p>
            <w:pPr>
              <w:ind w:left="60"/>
              <w:spacing w:after="0"/>
              <w:rPr>
                <w:sz w:val="20"/>
                <w:szCs w:val="20"/>
                <w:color w:val="auto"/>
              </w:rPr>
            </w:pPr>
            <w:r>
              <w:rPr>
                <w:rFonts w:ascii="Arial" w:cs="Arial" w:eastAsia="Arial" w:hAnsi="Arial"/>
                <w:sz w:val="14"/>
                <w:szCs w:val="14"/>
                <w:color w:val="auto"/>
              </w:rPr>
              <w:t>Leo Rafael Reif</w:t>
            </w:r>
          </w:p>
        </w:tc>
        <w:tc>
          <w:tcPr>
            <w:tcW w:w="7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20" w:type="dxa"/>
            <w:vAlign w:val="bottom"/>
            <w:tcBorders>
              <w:left w:val="single" w:sz="8" w:color="auto"/>
            </w:tcBorders>
          </w:tcPr>
          <w:p>
            <w:pPr>
              <w:spacing w:after="0"/>
              <w:rPr>
                <w:sz w:val="4"/>
                <w:szCs w:val="4"/>
                <w:color w:val="auto"/>
              </w:rPr>
            </w:pPr>
          </w:p>
        </w:tc>
        <w:tc>
          <w:tcPr>
            <w:tcW w:w="62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1j.</w:t>
            </w:r>
          </w:p>
        </w:tc>
        <w:tc>
          <w:tcPr>
            <w:tcW w:w="2320" w:type="dxa"/>
            <w:vAlign w:val="bottom"/>
          </w:tcPr>
          <w:p>
            <w:pPr>
              <w:ind w:left="60"/>
              <w:spacing w:after="0"/>
              <w:rPr>
                <w:sz w:val="20"/>
                <w:szCs w:val="20"/>
                <w:color w:val="auto"/>
              </w:rPr>
            </w:pPr>
            <w:r>
              <w:rPr>
                <w:rFonts w:ascii="Arial" w:cs="Arial" w:eastAsia="Arial" w:hAnsi="Arial"/>
                <w:sz w:val="14"/>
                <w:szCs w:val="14"/>
                <w:color w:val="auto"/>
              </w:rPr>
              <w:t>Tore I. Sandvold</w:t>
            </w:r>
          </w:p>
        </w:tc>
        <w:tc>
          <w:tcPr>
            <w:tcW w:w="760" w:type="dxa"/>
            <w:vAlign w:val="bottom"/>
          </w:tcPr>
          <w:p>
            <w:pPr>
              <w:spacing w:after="0"/>
              <w:rPr>
                <w:sz w:val="23"/>
                <w:szCs w:val="23"/>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0" w:type="dxa"/>
            <w:vAlign w:val="bottom"/>
            <w:tcBorders>
              <w:left w:val="single" w:sz="8" w:color="auto"/>
            </w:tcBorders>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1k.</w:t>
            </w:r>
          </w:p>
        </w:tc>
        <w:tc>
          <w:tcPr>
            <w:tcW w:w="2320" w:type="dxa"/>
            <w:vAlign w:val="bottom"/>
          </w:tcPr>
          <w:p>
            <w:pPr>
              <w:ind w:left="60"/>
              <w:spacing w:after="0"/>
              <w:rPr>
                <w:sz w:val="20"/>
                <w:szCs w:val="20"/>
                <w:color w:val="auto"/>
              </w:rPr>
            </w:pPr>
            <w:r>
              <w:rPr>
                <w:rFonts w:ascii="Arial" w:cs="Arial" w:eastAsia="Arial" w:hAnsi="Arial"/>
                <w:sz w:val="14"/>
                <w:szCs w:val="14"/>
                <w:color w:val="auto"/>
              </w:rPr>
              <w:t>Henri Seydoux</w:t>
            </w:r>
          </w:p>
        </w:tc>
        <w:tc>
          <w:tcPr>
            <w:tcW w:w="760" w:type="dxa"/>
            <w:vAlign w:val="bottom"/>
          </w:tcPr>
          <w:p>
            <w:pPr>
              <w:spacing w:after="0"/>
              <w:rPr>
                <w:sz w:val="23"/>
                <w:szCs w:val="23"/>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gridSpan w:val="2"/>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20" w:type="dxa"/>
            <w:vAlign w:val="bottom"/>
            <w:tcBorders>
              <w:left w:val="single" w:sz="8" w:color="auto"/>
            </w:tcBorders>
          </w:tcPr>
          <w:p>
            <w:pPr>
              <w:spacing w:after="0"/>
              <w:rPr>
                <w:sz w:val="23"/>
                <w:szCs w:val="23"/>
                <w:color w:val="auto"/>
              </w:rPr>
            </w:pPr>
          </w:p>
        </w:tc>
        <w:tc>
          <w:tcPr>
            <w:tcW w:w="11220" w:type="dxa"/>
            <w:vAlign w:val="bottom"/>
            <w:tcBorders>
              <w:right w:val="single" w:sz="8" w:color="auto"/>
            </w:tcBorders>
            <w:gridSpan w:val="15"/>
          </w:tcPr>
          <w:p>
            <w:pPr>
              <w:ind w:left="100"/>
              <w:spacing w:after="0"/>
              <w:rPr>
                <w:sz w:val="20"/>
                <w:szCs w:val="20"/>
                <w:color w:val="auto"/>
              </w:rPr>
            </w:pPr>
            <w:r>
              <w:rPr>
                <w:rFonts w:ascii="Arial" w:cs="Arial" w:eastAsia="Arial" w:hAnsi="Arial"/>
                <w:sz w:val="14"/>
                <w:szCs w:val="14"/>
                <w:color w:val="auto"/>
                <w:w w:val="97"/>
              </w:rPr>
              <w:t>Please sign exactly as your name(s) appear(s) hereon. When signing as attorney, executor, administrator, or other fiduciary, please give full title as such. Joint owners should each sign</w:t>
            </w:r>
          </w:p>
        </w:tc>
        <w:tc>
          <w:tcPr>
            <w:tcW w:w="0" w:type="dxa"/>
            <w:vAlign w:val="bottom"/>
          </w:tcPr>
          <w:p>
            <w:pPr>
              <w:spacing w:after="0"/>
              <w:rPr>
                <w:sz w:val="1"/>
                <w:szCs w:val="1"/>
                <w:color w:val="auto"/>
              </w:rPr>
            </w:pPr>
          </w:p>
        </w:tc>
      </w:tr>
      <w:tr>
        <w:trPr>
          <w:trHeight w:val="182"/>
        </w:trPr>
        <w:tc>
          <w:tcPr>
            <w:tcW w:w="220" w:type="dxa"/>
            <w:vAlign w:val="bottom"/>
            <w:tcBorders>
              <w:left w:val="single" w:sz="8" w:color="auto"/>
            </w:tcBorders>
          </w:tcPr>
          <w:p>
            <w:pPr>
              <w:spacing w:after="0"/>
              <w:rPr>
                <w:sz w:val="15"/>
                <w:szCs w:val="15"/>
                <w:color w:val="auto"/>
              </w:rPr>
            </w:pPr>
          </w:p>
        </w:tc>
        <w:tc>
          <w:tcPr>
            <w:tcW w:w="8240" w:type="dxa"/>
            <w:vAlign w:val="bottom"/>
            <w:gridSpan w:val="9"/>
          </w:tcPr>
          <w:p>
            <w:pPr>
              <w:ind w:left="100"/>
              <w:spacing w:after="0"/>
              <w:rPr>
                <w:sz w:val="20"/>
                <w:szCs w:val="20"/>
                <w:color w:val="auto"/>
              </w:rPr>
            </w:pPr>
            <w:r>
              <w:rPr>
                <w:rFonts w:ascii="Arial" w:cs="Arial" w:eastAsia="Arial" w:hAnsi="Arial"/>
                <w:sz w:val="14"/>
                <w:szCs w:val="14"/>
                <w:color w:val="auto"/>
                <w:w w:val="95"/>
              </w:rPr>
              <w:t>personally. All holders must sign. If a corporation or partnership, please sign in full corporate or partnership name by an authorized officer.</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0" w:type="dxa"/>
            <w:vAlign w:val="bottom"/>
            <w:tcBorders>
              <w:left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20" w:type="dxa"/>
            <w:vAlign w:val="bottom"/>
            <w:tcBorders>
              <w:left w:val="single" w:sz="8" w:color="auto"/>
            </w:tcBorders>
            <w:vMerge w:val="restart"/>
          </w:tcPr>
          <w:p>
            <w:pPr>
              <w:spacing w:after="0"/>
              <w:rPr>
                <w:sz w:val="24"/>
                <w:szCs w:val="24"/>
                <w:color w:val="auto"/>
              </w:rPr>
            </w:pPr>
          </w:p>
        </w:tc>
        <w:tc>
          <w:tcPr>
            <w:tcW w:w="620" w:type="dxa"/>
            <w:vAlign w:val="bottom"/>
            <w:tcBorders>
              <w:left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0" w:type="dxa"/>
            <w:vAlign w:val="bottom"/>
            <w:tcBorders>
              <w:left w:val="single" w:sz="8" w:color="auto"/>
            </w:tcBorders>
            <w:vMerge w:val="continue"/>
          </w:tcPr>
          <w:p>
            <w:pPr>
              <w:spacing w:after="0"/>
              <w:rPr>
                <w:sz w:val="15"/>
                <w:szCs w:val="15"/>
                <w:color w:val="auto"/>
              </w:rPr>
            </w:pPr>
          </w:p>
        </w:tc>
        <w:tc>
          <w:tcPr>
            <w:tcW w:w="2940" w:type="dxa"/>
            <w:vAlign w:val="bottom"/>
            <w:gridSpan w:val="2"/>
          </w:tcPr>
          <w:p>
            <w:pPr>
              <w:ind w:left="100"/>
              <w:spacing w:after="0"/>
              <w:rPr>
                <w:sz w:val="20"/>
                <w:szCs w:val="20"/>
                <w:color w:val="auto"/>
              </w:rPr>
            </w:pPr>
            <w:r>
              <w:rPr>
                <w:rFonts w:ascii="Arial" w:cs="Arial" w:eastAsia="Arial" w:hAnsi="Arial"/>
                <w:sz w:val="14"/>
                <w:szCs w:val="14"/>
                <w:color w:val="auto"/>
              </w:rPr>
              <w:t>Signature [PLEASE SIGN WITHIN BOX]</w:t>
            </w:r>
          </w:p>
        </w:tc>
        <w:tc>
          <w:tcPr>
            <w:tcW w:w="7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Arial" w:cs="Arial" w:eastAsia="Arial" w:hAnsi="Arial"/>
                <w:sz w:val="14"/>
                <w:szCs w:val="14"/>
                <w:color w:val="auto"/>
              </w:rPr>
              <w:t>Signature (Joint Owners)</w:t>
            </w:r>
          </w:p>
        </w:tc>
        <w:tc>
          <w:tcPr>
            <w:tcW w:w="6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-4128770</wp:posOffset>
            </wp:positionV>
            <wp:extent cx="72720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54875" cy="2872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872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SCHLUMBERGER LIMITED (SCHLUMBERGER N.V.)</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April 9, 2014</w:t>
      </w:r>
    </w:p>
    <w:p>
      <w:pPr>
        <w:spacing w:after="0" w:line="238"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Curaçao on April 9, 2014, at 10:00 a.m. Curaçao time, and any adjournment or postponement thereof.</w:t>
      </w:r>
    </w:p>
    <w:p>
      <w:pPr>
        <w:spacing w:after="0" w:line="181" w:lineRule="exact"/>
        <w:rPr>
          <w:sz w:val="20"/>
          <w:szCs w:val="20"/>
          <w:color w:val="auto"/>
        </w:rPr>
      </w:pPr>
    </w:p>
    <w:p>
      <w:pPr>
        <w:ind w:left="520" w:right="140" w:firstLine="36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BY THE UNDERSIGNED. IF NO SUCH DIRECTIONS ARE MADE, THIS PROXY WILL BE VOTED FOR THE ELECTION OF EACH OF THE NOMINEES LISTED IN ITEM 1 AND FOR ITEMS 2, 3 AND 4. IF ANY OTHER MATTERS PROPERLY COME BEFORE THE ANNUAL GENERAL MEETING OF STOCKHOLDERS, THE PERSONS NAMED IN THIS PROXY WILL VOTE ON SUCH MATTERS IN THEIR DISCRETION.</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lvl w:ilvl="1">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lvl w:ilvl="1">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lvl w:ilvl="1">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lvl w:ilvl="1">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lvl w:ilvl="1">
      <w:lvlJc w:val="left"/>
      <w:lvlText w:val="•"/>
      <w:numFmt w:val="bullet"/>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decimal"/>
      <w:start w:val="1"/>
    </w:lvl>
    <w:lvl w:ilvl="1">
      <w:lvlJc w:val="left"/>
      <w:lvlText w:val="•"/>
      <w:numFmt w:val="bullet"/>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lowerRoman"/>
      <w:start w:val="10"/>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3"/>
    </w:lvl>
  </w:abstractNum>
  <w:abstractNum w:abstractNumId="59">
    <w:nsid w:val="98A3148"/>
    <w:multiLevelType w:val="hybridMultilevel"/>
    <w:lvl w:ilvl="0">
      <w:lvlJc w:val="left"/>
      <w:lvlText w:val="(%1)"/>
      <w:numFmt w:val="decimal"/>
      <w:start w:val="7"/>
    </w:lvl>
  </w:abstractNum>
  <w:abstractNum w:abstractNumId="60">
    <w:nsid w:val="799D0247"/>
    <w:multiLevelType w:val="hybridMultilevel"/>
    <w:lvl w:ilvl="0">
      <w:lvlJc w:val="left"/>
      <w:lvlText w:val="(%1)"/>
      <w:numFmt w:val="decimal"/>
      <w:start w:val="11"/>
    </w:lvl>
  </w:abstractNum>
  <w:abstractNum w:abstractNumId="61">
    <w:nsid w:val="6B94764"/>
    <w:multiLevelType w:val="hybridMultilevel"/>
    <w:lvl w:ilvl="0">
      <w:lvlJc w:val="left"/>
      <w:lvlText w:val="(%1)"/>
      <w:numFmt w:val="decimal"/>
      <w:start w:val="14"/>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3"/>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2"/>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2019-12-05T13:53:39Z</dcterms:created>
  <dcterms:modified xsi:type="dcterms:W3CDTF">2019-12-05T13:53:39Z</dcterms:modified>
</cp:coreProperties>
</file>