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auto"/>
        </w:rPr>
        <w:t>Prospectus Supplement</w:t>
      </w:r>
    </w:p>
    <w:p>
      <w:pPr>
        <w:spacing w:after="0" w:line="1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 Prospectus dated November 4, 2003)</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9"/>
          <w:szCs w:val="19"/>
          <w:b w:val="1"/>
          <w:bCs w:val="1"/>
          <w:color w:val="auto"/>
        </w:rPr>
        <w:t>Filed Pursuant to Rule 424(b)(3)</w:t>
      </w:r>
    </w:p>
    <w:p>
      <w:pPr>
        <w:spacing w:after="0" w:line="49"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333-108730</w:t>
      </w:r>
    </w:p>
    <w:p>
      <w:pPr>
        <w:spacing w:after="0" w:line="101" w:lineRule="exact"/>
        <w:rPr>
          <w:sz w:val="24"/>
          <w:szCs w:val="24"/>
          <w:color w:val="auto"/>
        </w:rPr>
      </w:pPr>
    </w:p>
    <w:p>
      <w:pPr>
        <w:sectPr>
          <w:pgSz w:w="11900" w:h="16838" w:orient="portrait"/>
          <w:cols w:equalWidth="0" w:num="2">
            <w:col w:w="7720" w:space="720"/>
            <w:col w:w="2980"/>
          </w:cols>
          <w:pgMar w:left="240" w:top="220" w:right="239" w:bottom="1440" w:gutter="0" w:footer="0" w:header="0"/>
        </w:sectPr>
      </w:pPr>
    </w:p>
    <w:p>
      <w:pPr>
        <w:jc w:val="center"/>
        <w:spacing w:after="0"/>
        <w:rPr>
          <w:sz w:val="20"/>
          <w:szCs w:val="20"/>
          <w:color w:val="auto"/>
        </w:rPr>
      </w:pPr>
      <w:r>
        <w:rPr>
          <w:rFonts w:ascii="Arial" w:cs="Arial" w:eastAsia="Arial" w:hAnsi="Arial"/>
          <w:sz w:val="32"/>
          <w:szCs w:val="32"/>
          <w:b w:val="1"/>
          <w:bCs w:val="1"/>
          <w:color w:val="auto"/>
        </w:rPr>
        <w:t>$1,425,000,000</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1.500% Series A Convertible Debentures due June 1, 2023</w:t>
      </w:r>
    </w:p>
    <w:p>
      <w:pPr>
        <w:jc w:val="center"/>
        <w:spacing w:after="0" w:line="230" w:lineRule="auto"/>
        <w:rPr>
          <w:sz w:val="20"/>
          <w:szCs w:val="20"/>
          <w:color w:val="auto"/>
        </w:rPr>
      </w:pPr>
      <w:r>
        <w:rPr>
          <w:rFonts w:ascii="Arial" w:cs="Arial" w:eastAsia="Arial" w:hAnsi="Arial"/>
          <w:sz w:val="22"/>
          <w:szCs w:val="22"/>
          <w:b w:val="1"/>
          <w:bCs w:val="1"/>
          <w:color w:val="auto"/>
        </w:rPr>
        <w:t>2.125% Series B Convertible Debentures due June 1, 2023</w:t>
      </w:r>
    </w:p>
    <w:p>
      <w:pPr>
        <w:jc w:val="center"/>
        <w:spacing w:after="0" w:line="231" w:lineRule="auto"/>
        <w:rPr>
          <w:sz w:val="20"/>
          <w:szCs w:val="20"/>
          <w:color w:val="auto"/>
        </w:rPr>
      </w:pPr>
      <w:r>
        <w:rPr>
          <w:rFonts w:ascii="Arial" w:cs="Arial" w:eastAsia="Arial" w:hAnsi="Arial"/>
          <w:sz w:val="22"/>
          <w:szCs w:val="22"/>
          <w:b w:val="1"/>
          <w:bCs w:val="1"/>
          <w:color w:val="auto"/>
        </w:rPr>
        <w:t>and</w:t>
      </w:r>
    </w:p>
    <w:p>
      <w:pPr>
        <w:jc w:val="center"/>
        <w:spacing w:after="0"/>
        <w:rPr>
          <w:sz w:val="20"/>
          <w:szCs w:val="20"/>
          <w:color w:val="auto"/>
        </w:rPr>
      </w:pPr>
      <w:r>
        <w:rPr>
          <w:rFonts w:ascii="Arial" w:cs="Arial" w:eastAsia="Arial" w:hAnsi="Arial"/>
          <w:sz w:val="22"/>
          <w:szCs w:val="22"/>
          <w:b w:val="1"/>
          <w:bCs w:val="1"/>
          <w:color w:val="auto"/>
        </w:rPr>
        <w:t>Common Stock Issuable Upon Conversion of the Debentures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90170</wp:posOffset>
            </wp:positionV>
            <wp:extent cx="1260475"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0475"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right="80" w:firstLine="456"/>
        <w:spacing w:after="0" w:line="298" w:lineRule="auto"/>
        <w:rPr>
          <w:sz w:val="20"/>
          <w:szCs w:val="20"/>
          <w:color w:val="auto"/>
        </w:rPr>
      </w:pPr>
      <w:r>
        <w:rPr>
          <w:rFonts w:ascii="Arial" w:cs="Arial" w:eastAsia="Arial" w:hAnsi="Arial"/>
          <w:sz w:val="16"/>
          <w:szCs w:val="16"/>
          <w:color w:val="auto"/>
        </w:rPr>
        <w:t>This document supplements the prospectus of Schlumberger Limited dated November 4, 2003 relating to the 1.500% Series A Convertible Debentures due June 1, 2023, the 2.125% Series B Convertible Debentures due June 1, 2023 and the shares of common stock issuable upon conversion of the debentures. The information in this prospectus supplement replaces and supersedes the information set forth under the heading “Selling Securityholders” in the prospectus dated November 4, 2003 and in all prior prospectus supplements to that prospectus.</w:t>
      </w:r>
    </w:p>
    <w:p>
      <w:pPr>
        <w:spacing w:after="0" w:line="99" w:lineRule="exact"/>
        <w:rPr>
          <w:sz w:val="24"/>
          <w:szCs w:val="24"/>
          <w:color w:val="auto"/>
        </w:rPr>
      </w:pPr>
    </w:p>
    <w:p>
      <w:pPr>
        <w:ind w:right="160" w:firstLine="456"/>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“SLB.” On January 15, 2004, the closing sale price of our common stock as reported on the New York Stock Exchange was $52.69 per share.</w:t>
      </w:r>
    </w:p>
    <w:p>
      <w:pPr>
        <w:spacing w:after="0" w:line="11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Investing in the debentures and our common stock involves risks. See “Risk Factors” beginning on page 6 of the prospectus.</w:t>
      </w:r>
    </w:p>
    <w:p>
      <w:pPr>
        <w:spacing w:after="0" w:line="158" w:lineRule="exact"/>
        <w:rPr>
          <w:sz w:val="24"/>
          <w:szCs w:val="24"/>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January 16, 2004.</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SELLING SECURITYHOLDERS</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originally issued the debentures in a private placement to Citigroup Global Markets Inc. and Goldman, Sachs &amp; Co. The debentures were resold by the initial purchasers to qualified institutional buyers within the meaning of Rule 144A under the Securities Act and outside the United States in accordance with Regulation S under the Securities Act. The selling securityholders may from time to time offer and sell, pursuant to this prospectus supplement and the accompanying prospectus, any or all of the debentures listed below and our common stock issued upon conversion of the debentures. When we refer to “selling securityholders” in this prospectus supplement and the accompanying prospectus, we mean those persons listed in the table below, as well as pledges, donees, assignees, transferees, successors and others who later hold any of the selling securityholders’ interests.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sets forth certain information concerning the principal amount of debentures beneficially owned by each selling securityholder and the number of shares of common stock issuable upon conversion of the debentures that may be offered from time to time pursuant to this prospectus supplement and the accompanying prospectus. Unless set forth below, none of the selling securityholders has, or within the past three years has had, any material relationship with us or any of our predecessors or affiliates.</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prepared the table below based on information furnished to us by the selling securityholders. However, a selling securityholder may already have or may in the future offer and sell, transfer or otherwise dispose of some or all of its debentures in transactions exempt from the registration requirements of the Securities Act without notifying us. As a result, the same debentures may be included in the table below as being held by more than one holder and, therefore, the principal amount of debentures listed below may exceed the amounts that we originally issued. In no event, however, will the total principal amount of Series A debentures and Series B debentures to be sold hereunder exceed $975,000,000 and $450,000,000, respectively. Further, we cannot give an estimate as to the amount of the debentures or common stock issuable upon conversion of the debentures that will be held by the selling securityholders upon the termination of this offering because the selling securityholders may offer some or all of their debentures or the underlying common stock pursuant to the offering contemplated by this prospectus supplement and the accompanying prospectus or otherwise in transactions exempt from the registration requirements of the Securities Act. Please read “Plan of Distribution” in the accompanying prospectus.</w:t>
      </w:r>
    </w:p>
    <w:p>
      <w:pPr>
        <w:spacing w:after="0" w:line="10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Information about the selling securityholders may change over time. Any changed information will be set forth in prospectus supplements from time to time, if required.</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number of shares of common stock shown in the table below assumes conversion of the full amount of debentures held by such holder at the initial conversion rate of 13.8255 shares per $1,000 principal amount of Series A debentures and 12.5000 shares per $1,000 principal amount of Series B debentures. These conversion rates are subject to certain adjustments. Accordingly, the number of shares of common stock issuable upon conversion of the debentures may increase or decrease from time to time. Under the terms of the indenture, fractional shares will not be issued upon conversion of the debentures. Cash will be paid instead of fractional shares, if any.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27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A</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Owned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That May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10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ABC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Acuity Master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34,563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ADI Alternative Investments</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35,400,000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7.9</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442,500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AIG DKR Soundshore Strategic Holding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Alembic Limited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Allstate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31,250(2)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Allstate Life Insurance Company</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118,750(3)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 Investment D Fund (QP) LP</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7,604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 Investment E Fund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3,150,000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43,550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American Century Equity Income</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37,013,000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8.2</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462,662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American Investors Life Insurance Company</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AmerUS Life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45,738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Arbitex Master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38,500,000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532,281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w w:val="98"/>
              </w:rPr>
              <w:t>Argent Classic Convertible Arbitrage (Bermuda)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10,200,000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2.0</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256,020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Classic Convertible Arbitrage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128,142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Argent LowLev Convertible Arbitrage Fund LLC</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5,300,000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107,025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II, LLC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705,000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359,000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14,233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Argent LowLev Convertible Arbitrage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29,900,000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3.2</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594,632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Arlington County Employees’ Retirement System</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6,221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Arpeggio Fund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12,050,000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2.7</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150,625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Asset Insurance Company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470,000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6,497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Associated Electric &amp; Gas Insurance Services Limited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Atticus Global Advisors,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69,127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Attorney’s Title Insurance Fund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165,000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2,281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Aviva Life Insurance Company</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18,750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Banc of America Securities LLC</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2,200,000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30,416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Banca Del Gottardo Lugano</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3,456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Bankers Life Insurance Company of New York</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1,382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Banque Generale du Luxembourg S.A.</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20,738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Barclays Global Investors Diversified Alpha Plus Funds</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298,000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3,725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Bay State Insurance Company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170,000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2,350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BBT Fund, L.P.</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8,000,000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110,604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Bear Stearns International Limited (BSIL)</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414,765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Bear, Stearns &amp; Co. Inc.</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21,250,000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356,291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Black Diamond Convertible Offshore LDC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2,830,000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39,126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Black Diamond Offshore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1,580,000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21,844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Boilermakers Blacksmith Pension Trust</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15,346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California State Auto Association ASNF</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California State Auto Association Inter-Insurance</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7,500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60" w:type="dxa"/>
            <w:vAlign w:val="bottom"/>
            <w:gridSpan w:val="3"/>
          </w:tcPr>
          <w:p>
            <w:pPr>
              <w:spacing w:after="0"/>
              <w:rPr>
                <w:sz w:val="20"/>
                <w:szCs w:val="20"/>
                <w:color w:val="auto"/>
              </w:rPr>
            </w:pPr>
            <w:r>
              <w:rPr>
                <w:rFonts w:ascii="Arial" w:cs="Arial" w:eastAsia="Arial" w:hAnsi="Arial"/>
                <w:sz w:val="14"/>
                <w:szCs w:val="14"/>
                <w:color w:val="auto"/>
                <w:w w:val="97"/>
              </w:rPr>
              <w:t>California State Auto Association Retirement Pension Plan</w:t>
            </w:r>
          </w:p>
        </w:tc>
        <w:tc>
          <w:tcPr>
            <w:tcW w:w="1580" w:type="dxa"/>
            <w:vAlign w:val="bottom"/>
            <w:gridSpan w:val="3"/>
          </w:tcPr>
          <w:p>
            <w:pPr>
              <w:jc w:val="right"/>
              <w:ind w:right="540"/>
              <w:spacing w:after="0"/>
              <w:rPr>
                <w:sz w:val="20"/>
                <w:szCs w:val="20"/>
                <w:color w:val="auto"/>
              </w:rPr>
            </w:pPr>
            <w:r>
              <w:rPr>
                <w:rFonts w:ascii="Arial" w:cs="Arial" w:eastAsia="Arial" w:hAnsi="Arial"/>
                <w:sz w:val="14"/>
                <w:szCs w:val="14"/>
                <w:color w:val="auto"/>
              </w:rPr>
              <w:t>0</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760" w:type="dxa"/>
            <w:vAlign w:val="bottom"/>
            <w:gridSpan w:val="3"/>
          </w:tcPr>
          <w:p>
            <w:pPr>
              <w:jc w:val="right"/>
              <w:ind w:right="540"/>
              <w:spacing w:after="0"/>
              <w:rPr>
                <w:sz w:val="20"/>
                <w:szCs w:val="20"/>
                <w:color w:val="auto"/>
              </w:rPr>
            </w:pPr>
            <w:r>
              <w:rPr>
                <w:rFonts w:ascii="Arial" w:cs="Arial" w:eastAsia="Arial" w:hAnsi="Arial"/>
                <w:sz w:val="14"/>
                <w:szCs w:val="14"/>
                <w:color w:val="auto"/>
              </w:rPr>
              <w:t>110,000</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rPr>
                <w:sz w:val="20"/>
                <w:szCs w:val="20"/>
                <w:color w:val="auto"/>
              </w:rPr>
            </w:pPr>
            <w:r>
              <w:rPr>
                <w:rFonts w:ascii="Arial" w:cs="Arial" w:eastAsia="Arial" w:hAnsi="Arial"/>
                <w:sz w:val="14"/>
                <w:szCs w:val="14"/>
                <w:color w:val="auto"/>
              </w:rPr>
              <w:t>1,375</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26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50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Captive Investors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Car Reinsurance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CCI Investment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553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CDC Financial Products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Charitable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960,000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Charitable Income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270,000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3,375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Chicago Standard Insurance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414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Citigroup Global Markets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97,063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Citigroup Global Markets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Class C Trading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1,700,000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68,256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Commonwealth Professional Assurance Co.</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580,000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7,250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Concentrated Alpha Partners, L.P.</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27,651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CQS Convertible &amp; Quantatitive Strategies Master Fund</w:t>
            </w: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Limited</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15,000,000</w:t>
            </w:r>
          </w:p>
        </w:tc>
        <w:tc>
          <w:tcPr>
            <w:tcW w:w="12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3.3</w:t>
            </w:r>
          </w:p>
        </w:tc>
        <w:tc>
          <w:tcPr>
            <w:tcW w:w="162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187,500</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Credit Industriel D’Alsace et de Lorraine</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Credit Suisse First Boston Europe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CSV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2,400,000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30,000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Institutional Partners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7,788,000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107,672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Davidson Kempner International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9,633,000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133,181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Partners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4,223,500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58,391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DBAG London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14,900,000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10,000,000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2.2</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330,999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Deephaven Domestic Convertible Trading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8,874,000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7,772,000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1.7</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219,837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Defined Benefit Plan of Zeneca AG Product Holdings,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3,871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Defined Benefit Plans of ICI American Holdings,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Delta Air Lines Master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Delta Air Lines Master Trust—International</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tcPr>
          <w:p>
            <w:pPr>
              <w:spacing w:after="0" w:line="138" w:lineRule="exact"/>
              <w:rPr>
                <w:sz w:val="20"/>
                <w:szCs w:val="20"/>
                <w:color w:val="auto"/>
              </w:rPr>
            </w:pPr>
            <w:r>
              <w:rPr>
                <w:rFonts w:ascii="Arial" w:cs="Arial" w:eastAsia="Arial" w:hAnsi="Arial"/>
                <w:sz w:val="14"/>
                <w:szCs w:val="14"/>
                <w:color w:val="auto"/>
              </w:rPr>
              <w:t>Deutsche Asset Management Investmentgesellschaft Funds</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TRT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500,000</w:t>
            </w:r>
          </w:p>
        </w:tc>
        <w:tc>
          <w:tcPr>
            <w:tcW w:w="1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6,912</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Deutsche Bank Securities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20,738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DL&amp;C Insurance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967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Dodeca Fund I,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6,359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Double Black Diamond Offshore LDC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8,287,000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114,571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Duke Endowment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2,972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DWS Investment GmbH</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EB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1,480,000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18,500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Excellus Health Plan,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3,750,000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51,845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Fidelity Financial Trust: Fidelity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Field Foundation of Illinois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80,000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Fulcrum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765,000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9,562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Forest Global Convertible Fund, Ltd. Class A-5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2,738,000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34,225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Multi-Strategy Master Fund SPC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1,005,000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12,562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Forrestal Funding Master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12,500,000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172,818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Gaia Offshore Master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7,400,000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169,922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General Motors Employees Global Group Pension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1,541,000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19,262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GenCorp Foundation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tcPr>
          <w:p>
            <w:pPr>
              <w:spacing w:after="0" w:line="138" w:lineRule="exact"/>
              <w:rPr>
                <w:sz w:val="20"/>
                <w:szCs w:val="20"/>
                <w:color w:val="auto"/>
              </w:rPr>
            </w:pPr>
            <w:r>
              <w:rPr>
                <w:rFonts w:ascii="Arial" w:cs="Arial" w:eastAsia="Arial" w:hAnsi="Arial"/>
                <w:sz w:val="14"/>
                <w:szCs w:val="14"/>
                <w:color w:val="auto"/>
              </w:rPr>
              <w:t>Geode U.S. Convertible Arbitrage Fund, a series of Geode</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Investors, LLC</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2,000,000</w:t>
            </w:r>
          </w:p>
        </w:tc>
        <w:tc>
          <w:tcPr>
            <w:tcW w:w="1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27,651</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Georgia Municipal Retirement Trust Foundation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705,000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GLG Global Convertible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6,400,000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1.4</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80,000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Global Convertible UCITS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2,300,000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28,750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GLG Market Neutral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51,000,000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11.3</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637,500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Global Bermuda Limited Partnership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Goldman, Sachs &amp; Co.</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8,280,000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114,475(4)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Hamburger Pensionskasse von 1905 VvaG</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6,428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26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0" w:type="dxa"/>
            <w:vAlign w:val="bottom"/>
            <w:gridSpan w:val="2"/>
          </w:tcPr>
          <w:p>
            <w:pPr>
              <w:jc w:val="center"/>
              <w:ind w:left="672"/>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of Series A</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B</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4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94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00" w:type="dxa"/>
            <w:vAlign w:val="bottom"/>
          </w:tcPr>
          <w:p>
            <w:pPr>
              <w:spacing w:after="0"/>
              <w:rPr>
                <w:sz w:val="15"/>
                <w:szCs w:val="15"/>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Outstanding</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Offered Hereby</w:t>
            </w:r>
          </w:p>
        </w:tc>
        <w:tc>
          <w:tcPr>
            <w:tcW w:w="48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HBK Master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Health Foundation of Greater Cincinnati</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HFR CA Global Select Master Trust Account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HFR CA Select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Highbridge 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796,392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HSH Nordbank International S.A. Luxembourg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345,637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ICI Canada, Inc. Pension Trust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IL Annuity and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245,167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IMF Convertible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Inflective Convertible Opportunity Fund I,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553</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Invesco</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15,600,000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Jersey (IMA)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33,901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JMG Capital Partners,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41,250,000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776,551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JMG Triton Offshore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5.8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32,750,000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1,190,515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J.W. McConnell Family Foundation</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10,092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KBC Financial Products USA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KD Convertible Arbitrage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Kenwood 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4,838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Key Trust Convertible Securities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Key Trust Fixed Income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360,000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Key-Royal Reinsurance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829</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Lakeshore International Limited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4.9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663,624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Lehman Brothers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LibertyView Funds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11,500,000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199,052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LibertyView Global Volatility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67,802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LLT Limited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255,000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3,187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Lyxor/Forest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1,399,000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17,487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 Master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98,862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 Zola Fund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Lyxor/AM Investment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11,751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Lyxor/Gaia II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43,958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M.H. Davidson &amp; Co.</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355,500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4,914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Man Convertible Bond Master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73,125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Marathon Global Convertible Master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McMahan Securities Co.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13,162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MedAmerica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1,750,000</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24,194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Mellon HBV Master Multi-Strategy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6,912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Mellon HBV Master Convertible Arbitrage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14,516</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Merrill Lynch, Pierce, Fenner &amp; Smith,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166,191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Microsoft Corporation—International</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1,005,000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13,894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Mint Master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MLQA Convertible Securities Arbitrage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MRM Performa International Convertible Bond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8,848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MVI Investment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7,327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Nabisco Inc. Defined Benefit Master Trust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4,095,000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56,615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NGSC 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NMS Services (Cayman)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256,342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Nomura Securities International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3.1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414,765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OCM International Convertible Trust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9,055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Oconnor Global Convertible Arbitrage Master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3.9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594,781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Oppenheimer Convertible Securities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Palo Verde 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3,318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Partner Reinsurance Company, Ltd.—International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26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A</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Owned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That May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18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Pioneer U.S. High Yield Corp. Bond Sub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Polygon Global Opportunities Master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75,000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Potlach</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11,125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Quattro Fund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60,000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Relay 11 Holdings Co.</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192,000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2,400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Rhapsody Fund, L.P.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4.4</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250,000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S.A.C. Capital Associates,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135,604(5)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San Diego County Employee Retirement Association</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22,500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Satellite Asset Management, L.P.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414,765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Satellite Convertible Arbitrage Master Fund,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14,000,000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193,557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Silver Convertible Arbitrage Fund, LDC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75,302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South Dakota Retirement System</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69,127(6)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Southern Farm Bureau Life Insurance</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1,225,000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16,936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Sphinx Convertible Arbitrage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126,000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128,000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3,342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Sphinx Convertible Arbitrage SPC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176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116,000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3"/>
          </w:tcPr>
          <w:p>
            <w:pPr>
              <w:spacing w:after="0" w:line="138" w:lineRule="exact"/>
              <w:rPr>
                <w:sz w:val="20"/>
                <w:szCs w:val="20"/>
                <w:color w:val="auto"/>
              </w:rPr>
            </w:pPr>
            <w:r>
              <w:rPr>
                <w:rFonts w:ascii="Arial" w:cs="Arial" w:eastAsia="Arial" w:hAnsi="Arial"/>
                <w:sz w:val="14"/>
                <w:szCs w:val="14"/>
                <w:color w:val="auto"/>
                <w:w w:val="93"/>
              </w:rPr>
              <w:t>State Employees’ Retirement Fund of the State of Delaware—</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4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International</w:t>
            </w:r>
          </w:p>
        </w:tc>
        <w:tc>
          <w:tcPr>
            <w:tcW w:w="1500" w:type="dxa"/>
            <w:vAlign w:val="bottom"/>
            <w:gridSpan w:val="3"/>
          </w:tcPr>
          <w:p>
            <w:pPr>
              <w:jc w:val="right"/>
              <w:ind w:right="540"/>
              <w:spacing w:after="0" w:line="159" w:lineRule="exact"/>
              <w:rPr>
                <w:sz w:val="20"/>
                <w:szCs w:val="20"/>
                <w:color w:val="auto"/>
              </w:rPr>
            </w:pPr>
            <w:r>
              <w:rPr>
                <w:rFonts w:ascii="Arial" w:cs="Arial" w:eastAsia="Arial" w:hAnsi="Arial"/>
                <w:sz w:val="14"/>
                <w:szCs w:val="14"/>
                <w:color w:val="auto"/>
              </w:rPr>
              <w:t>2,965,000</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3"/>
                <w:szCs w:val="13"/>
                <w:color w:val="auto"/>
              </w:rPr>
            </w:pP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40,992</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State of Florida Division of Treasury</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4,555,000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3,225,000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103,287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St. Thomas Trading,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9,150,000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2.0</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114,375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Stamford Police Pension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SunAmerica Value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2,846,000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35,575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Sunrise Partners Limited Partnership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207,382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Swiss ReFinancial Products Corporation</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12,000,000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Teachers Insurance and Annuity Association of America</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27,500,000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380,201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The Captive Fixed Income Fund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1,030,000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14,240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The Northwestern Mutual Life Insurance Company</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138,255(7)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Thrivent Financial for Lutherans</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750,000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10,369(8)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Topanga XI</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2,300,000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55,548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Tribeca Investments,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17,500,000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241,946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Tricor Re Investment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Tufts Associated Health Plans</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2,525,000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31,562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UBS AG London Branch</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UBS Securities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7,087,000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97,981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UMASS Memorial HealthCare</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UMASS Memorial Investment Partnership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University of Massachusetts</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Univest Convertible Arbitrage Fund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164,000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Victory Convertible Securities Fund Investment Company</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Wachovia Capital Markets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16,250,000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224,664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Wachovia Securities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3,089,000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38,612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Waterstone Market Neutral Fund, LP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942,000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13,023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Waterstone Market Neutral Offshore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4,463,000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61,703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White River Securities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21,250,000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356,291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Windmill Master Fund, LP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17,000,000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235,033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Worldwide Transactions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303,000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4,189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2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2,600,000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49,696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Xavex Convertible Arbitrage 4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10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2,300,000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46,798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gridSpan w:val="3"/>
          </w:tcPr>
          <w:p>
            <w:pPr>
              <w:spacing w:after="0"/>
              <w:rPr>
                <w:sz w:val="20"/>
                <w:szCs w:val="20"/>
                <w:color w:val="auto"/>
              </w:rPr>
            </w:pPr>
            <w:r>
              <w:rPr>
                <w:rFonts w:ascii="Arial" w:cs="Arial" w:eastAsia="Arial" w:hAnsi="Arial"/>
                <w:sz w:val="14"/>
                <w:szCs w:val="14"/>
                <w:color w:val="auto"/>
              </w:rPr>
              <w:t>Zazove Convertible Arbitrage Fund L.P.</w:t>
            </w:r>
          </w:p>
        </w:tc>
        <w:tc>
          <w:tcPr>
            <w:tcW w:w="1500" w:type="dxa"/>
            <w:vAlign w:val="bottom"/>
            <w:gridSpan w:val="3"/>
          </w:tcPr>
          <w:p>
            <w:pPr>
              <w:jc w:val="right"/>
              <w:ind w:right="540"/>
              <w:spacing w:after="0"/>
              <w:rPr>
                <w:sz w:val="20"/>
                <w:szCs w:val="20"/>
                <w:color w:val="auto"/>
              </w:rPr>
            </w:pPr>
            <w:r>
              <w:rPr>
                <w:rFonts w:ascii="Arial" w:cs="Arial" w:eastAsia="Arial" w:hAnsi="Arial"/>
                <w:sz w:val="14"/>
                <w:szCs w:val="14"/>
                <w:color w:val="auto"/>
              </w:rPr>
              <w:t>0</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6,500,000</w:t>
            </w:r>
          </w:p>
        </w:tc>
        <w:tc>
          <w:tcPr>
            <w:tcW w:w="54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1.4</w:t>
            </w:r>
          </w:p>
        </w:tc>
        <w:tc>
          <w:tcPr>
            <w:tcW w:w="1620" w:type="dxa"/>
            <w:vAlign w:val="bottom"/>
            <w:gridSpan w:val="2"/>
          </w:tcPr>
          <w:p>
            <w:pPr>
              <w:jc w:val="right"/>
              <w:ind w:right="700"/>
              <w:spacing w:after="0"/>
              <w:rPr>
                <w:sz w:val="20"/>
                <w:szCs w:val="20"/>
                <w:color w:val="auto"/>
              </w:rPr>
            </w:pPr>
            <w:r>
              <w:rPr>
                <w:rFonts w:ascii="Arial" w:cs="Arial" w:eastAsia="Arial" w:hAnsi="Arial"/>
                <w:sz w:val="14"/>
                <w:szCs w:val="14"/>
                <w:color w:val="auto"/>
              </w:rPr>
              <w:t>81,250</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26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B</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6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Owned</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Series B</w:t>
            </w: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May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14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54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0"/>
              </w:rPr>
              <w:t>Be Sold</w:t>
            </w:r>
          </w:p>
        </w:tc>
        <w:tc>
          <w:tcPr>
            <w:tcW w:w="5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60" w:type="dxa"/>
            <w:vAlign w:val="bottom"/>
          </w:tcPr>
          <w:p>
            <w:pPr>
              <w:spacing w:after="0"/>
              <w:rPr>
                <w:sz w:val="15"/>
                <w:szCs w:val="15"/>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6"/>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Zazove Hedged Convertible Fund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52,500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Zazove Income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31,250</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Zeneca Holdings Pension Trust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2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Zola Partners,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13,825</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Zurich Institutional Benchmark Management c/o Quattro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gridSpan w:val="3"/>
          </w:tcPr>
          <w:p>
            <w:pPr>
              <w:spacing w:after="0"/>
              <w:rPr>
                <w:sz w:val="20"/>
                <w:szCs w:val="20"/>
                <w:color w:val="auto"/>
              </w:rPr>
            </w:pPr>
            <w:r>
              <w:rPr>
                <w:rFonts w:ascii="Arial" w:cs="Arial" w:eastAsia="Arial" w:hAnsi="Arial"/>
                <w:sz w:val="14"/>
                <w:szCs w:val="14"/>
                <w:color w:val="auto"/>
              </w:rPr>
              <w:t>Zurich Institutional Benchmarks Master Fund Ltd.</w:t>
            </w: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2,300,000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28,750</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600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77" w:lineRule="exact"/>
        <w:rPr>
          <w:sz w:val="20"/>
          <w:szCs w:val="20"/>
          <w:color w:val="auto"/>
        </w:rPr>
      </w:pPr>
    </w:p>
    <w:p>
      <w:pPr>
        <w:ind w:left="460" w:hanging="36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46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Calculated pursuant to Rule 13d-3(d)(i) of the Exchange Act using 585,444,115 shares of common stock outstanding as of September 30, 2003. In calculating this amount, we treated as outstanding the number of shares of common stock issuable upon conversion of all of a selling securityholder’s debentures. However, we did not assume the conversion of any other selling securityholder’s debentures.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Life Insurance Company also beneficially owns 249,200 shares of our common stock.</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Goldman, Sachs &amp; Co. also beneficially owns (i) 302,006 shares of our common stock, (ii) options to purchase 246,800 shares of our common stock that are exercisable within 60 days of the date of this prospectus supplement, (iii) $5,780,000 of our Series A debentures and (iv) $7,878,000 of our Series B debentures.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S.A.C. Capital Associates, LLC also beneficially owns 15,000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South Dakota Retirement System also beneficially owns 99,100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Northwestern Mutual Life Insurance Company also beneficially owns 184,300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Thrivent Financial for Lutherans also beneficially owns 5,350 shares of our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sectPr>
      <w:pgSz w:w="11900" w:h="16838" w:orient="portrait"/>
      <w:cols w:equalWidth="0" w:num="1">
        <w:col w:w="11420"/>
      </w:cols>
      <w:pgMar w:left="240" w:top="2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2019-12-12T10:26:21Z</dcterms:created>
  <dcterms:modified xsi:type="dcterms:W3CDTF">2019-12-12T10:26:21Z</dcterms:modified>
</cp:coreProperties>
</file>