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39"/>
        <w:spacing w:after="0"/>
        <w:rPr>
          <w:sz w:val="20"/>
          <w:szCs w:val="20"/>
          <w:color w:val="auto"/>
        </w:rPr>
      </w:pPr>
      <w:r>
        <w:rPr>
          <w:rFonts w:ascii="Arial" w:cs="Arial" w:eastAsia="Arial" w:hAnsi="Arial"/>
          <w:sz w:val="22"/>
          <w:szCs w:val="22"/>
          <w:b w:val="1"/>
          <w:bCs w:val="1"/>
          <w:color w:val="auto"/>
        </w:rPr>
        <w:t>Pursuant to Section 13 or 15(d)</w:t>
      </w:r>
    </w:p>
    <w:p>
      <w:pPr>
        <w:jc w:val="center"/>
        <w:ind w:right="-3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1940"/>
          </w:cols>
          <w:pgMar w:left="240" w:top="368" w:right="5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940"/>
        <w:spacing w:after="0"/>
        <w:rPr>
          <w:sz w:val="20"/>
          <w:szCs w:val="20"/>
          <w:color w:val="auto"/>
        </w:rPr>
      </w:pPr>
      <w:r>
        <w:rPr>
          <w:rFonts w:ascii="Arial" w:cs="Arial" w:eastAsia="Arial" w:hAnsi="Arial"/>
          <w:sz w:val="14"/>
          <w:szCs w:val="14"/>
          <w:b w:val="1"/>
          <w:bCs w:val="1"/>
          <w:color w:val="auto"/>
        </w:rPr>
        <w:t>(IRS Employer</w:t>
      </w:r>
    </w:p>
    <w:p>
      <w:pPr>
        <w:jc w:val="center"/>
        <w:ind w:right="9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060"/>
          </w:cols>
          <w:pgMar w:left="240" w:top="368" w:right="559" w:bottom="1440" w:gutter="0" w:footer="0" w:header="0"/>
          <w:type w:val="continuous"/>
        </w:sectPr>
      </w:pPr>
    </w:p>
    <w:p>
      <w:pPr>
        <w:spacing w:after="0" w:line="6"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5599 San Felipe, Houston, Texas 77056</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3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100"/>
          </w:cols>
          <w:pgMar w:left="240" w:top="368" w:right="559" w:bottom="1440" w:gutter="0" w:footer="0" w:header="0"/>
          <w:type w:val="continuous"/>
        </w:sectPr>
      </w:pPr>
    </w:p>
    <w:p>
      <w:pPr>
        <w:spacing w:after="0" w:line="215" w:lineRule="exact"/>
        <w:rPr>
          <w:sz w:val="24"/>
          <w:szCs w:val="24"/>
          <w:color w:val="auto"/>
        </w:rPr>
      </w:pPr>
    </w:p>
    <w:p>
      <w:pPr>
        <w:ind w:left="234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80" w:firstLine="456"/>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00"/>
          </w:cols>
          <w:pgMar w:left="240" w:top="368" w:right="559" w:bottom="1440" w:gutter="0" w:footer="0" w:header="0"/>
          <w:type w:val="continuous"/>
        </w:sectPr>
      </w:pPr>
    </w:p>
    <w:bookmarkStart w:id="1" w:name="page2"/>
    <w:bookmarkEnd w:id="1"/>
    <w:p>
      <w:pPr>
        <w:spacing w:after="0"/>
        <w:tabs>
          <w:tab w:leader="none" w:pos="136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6"/>
          <w:szCs w:val="16"/>
          <w:b w:val="1"/>
          <w:bCs w:val="1"/>
          <w:u w:val="single" w:color="auto"/>
          <w:color w:val="auto"/>
        </w:rPr>
        <w:t>Regulation FD Disclosure.</w:t>
      </w:r>
    </w:p>
    <w:p>
      <w:pPr>
        <w:spacing w:after="0" w:line="121"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On March 27, 2017, Paal Kibsgaard, Chairman and Chief Executive Officer of Schlumberger, presented at the Scotia Howard Weil 2017 Energy Conference in New Orleans, Louisiana, to discuss, among other things, the current business outlook. The presentation and slides are available on the Schlumberger Investor Relations website at http://investorcenter.slb.com/phoenix.zhtml?c=97513&amp;p=irol-presentations and at http://www.slb.com/news/presentations.aspx.</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21"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The presentation referred to above contains “forward-looking statements” within the meaning of the federal securities laws — that is, statements about the future, not about past events. Such statements often contain words such as “expect,” “may,” “believe,” “plan,” “estimate,” “intend,” “anticipate,” “should,” “could,” “will,” “see,” “likely,” and other similar words.</w:t>
      </w:r>
    </w:p>
    <w:p>
      <w:pPr>
        <w:spacing w:after="0" w:line="181"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Forward-looking statements address matters that are, to varying degrees, uncertain, such as statements about our financial and performance targets and other forecasts or expectations regarding business outlook, including in North America land; growth for Schlumberger as a whole and for each of its Groups and segments (and for specified products or geographic areas within a segment); oil and natural gas demand and production growth; rig count; oil and natural gas prices; improvements in operating procedures and technology; capital expenditures by Schlumberger and the oil and gas industry; the business strategies of Schlumberger’s customers; targeted mergers and acquisitions; the success of Schlumberger’s joint ventures and alliances, including the Weatherford joint venture; the anticipated benefits of our transformation efforts;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the inability to reduce the cost-per-barrel of hydrocarbon developments; Schlumberger’s future cash flows; the success of Schlumberger’s transformation efforts; general economic, political, security and business conditions in key regions of the world; country risk; pricing erosion; foreign exchange rates;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challenges in exploration and production; the inability to realize expected value from SPM and other projects; the inability to realize expected benefits from the Weatherford joint venture, the inability to retain key employees; and other risks and uncertainties detailed in our most recent Forms 10-K, 10-Q, and 8-K filed with or furnished to the U.S.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attached presentation, and Schlumberger disclaims any intention or obligation to update publicly or revise such statements, whether as a result of new information, future events or otherwise.</w:t>
      </w:r>
    </w:p>
    <w:p>
      <w:pPr>
        <w:sectPr>
          <w:pgSz w:w="11900" w:h="16838" w:orient="portrait"/>
          <w:cols w:equalWidth="0" w:num="1">
            <w:col w:w="11400"/>
          </w:cols>
          <w:pgMar w:left="240" w:top="270" w:right="2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Saul R. Laureles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Saul R. Laureles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Assistant Secretary</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Deputy General Counsel</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2017</w:t>
      </w:r>
    </w:p>
    <w:sectPr>
      <w:pgSz w:w="11900" w:h="16838" w:orient="portrait"/>
      <w:cols w:equalWidth="0" w:num="1">
        <w:col w:w="11260"/>
      </w:cols>
      <w:pgMar w:left="240" w:top="27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2019-12-05T06:48:12Z</dcterms:created>
  <dcterms:modified xsi:type="dcterms:W3CDTF">2019-12-05T06:48:12Z</dcterms:modified>
</cp:coreProperties>
</file>