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4"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1440" w:gutter="0" w:footer="0" w:header="0"/>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 ENDED:</w:t>
      </w:r>
    </w:p>
    <w:p>
      <w:pPr>
        <w:ind w:left="420"/>
        <w:spacing w:after="0" w:line="238" w:lineRule="auto"/>
        <w:rPr>
          <w:sz w:val="20"/>
          <w:szCs w:val="20"/>
          <w:color w:val="auto"/>
        </w:rPr>
      </w:pPr>
      <w:r>
        <w:rPr>
          <w:rFonts w:ascii="Courier New" w:cs="Courier New" w:eastAsia="Courier New" w:hAnsi="Courier New"/>
          <w:sz w:val="18"/>
          <w:szCs w:val="18"/>
          <w:color w:val="auto"/>
        </w:rPr>
        <w:t>MARCH 31, 1996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w:t>
      </w:r>
    </w:p>
    <w:p>
      <w:pPr>
        <w:ind w:left="740"/>
        <w:spacing w:after="0" w:line="238" w:lineRule="auto"/>
        <w:rPr>
          <w:sz w:val="20"/>
          <w:szCs w:val="20"/>
          <w:color w:val="auto"/>
        </w:rPr>
      </w:pPr>
      <w:r>
        <w:rPr>
          <w:rFonts w:ascii="Courier New" w:cs="Courier New" w:eastAsia="Courier New" w:hAnsi="Courier New"/>
          <w:sz w:val="18"/>
          <w:szCs w:val="18"/>
          <w:color w:val="auto"/>
        </w:rPr>
        <w:t>1-4601</w:t>
      </w:r>
    </w:p>
    <w:p>
      <w:pPr>
        <w:spacing w:after="0" w:line="5"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80" w:space="720"/>
            <w:col w:w="4419"/>
          </w:cols>
          <w:pgMar w:left="240" w:top="649" w:right="1440" w:bottom="1440" w:gutter="0" w:footer="0" w:header="0"/>
          <w:type w:val="continuous"/>
        </w:sectPr>
      </w:pPr>
    </w:p>
    <w:p>
      <w:pPr>
        <w:spacing w:after="0" w:line="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ind w:left="306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280" w:firstLine="421"/>
        <w:spacing w:after="0" w:line="237" w:lineRule="auto"/>
        <w:rPr>
          <w:sz w:val="20"/>
          <w:szCs w:val="20"/>
          <w:color w:val="auto"/>
        </w:rPr>
      </w:pPr>
      <w:r>
        <w:rPr>
          <w:rFonts w:ascii="Courier New" w:cs="Courier New" w:eastAsia="Courier New" w:hAnsi="Courier New"/>
          <w:sz w:val="18"/>
          <w:szCs w:val="18"/>
          <w:color w:val="auto"/>
        </w:rPr>
        <w:t>NETHERLANDS ANTILLES - - ------------------------------- (STATE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52-0684746</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4980" w:space="720"/>
            <w:col w:w="4519"/>
          </w:cols>
          <w:pgMar w:left="240" w:top="649" w:right="1440" w:bottom="1440" w:gutter="0" w:footer="0" w:header="0"/>
          <w:type w:val="continuous"/>
        </w:sectPr>
      </w:pPr>
    </w:p>
    <w:p>
      <w:pPr>
        <w:spacing w:after="0" w:line="20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277 PARK AVENUE</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NEW YORK, NEW YORK, U.S.A.</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6"/>
          <w:szCs w:val="16"/>
          <w:color w:val="auto"/>
        </w:rPr>
        <w:t>10172</w:t>
      </w:r>
    </w:p>
    <w:p>
      <w:pPr>
        <w:spacing w:after="0" w:line="200" w:lineRule="exact"/>
        <w:rPr>
          <w:sz w:val="24"/>
          <w:szCs w:val="24"/>
          <w:color w:val="auto"/>
        </w:rPr>
      </w:pPr>
    </w:p>
    <w:p>
      <w:pPr>
        <w:sectPr>
          <w:pgSz w:w="11900" w:h="16838" w:orient="portrait"/>
          <w:cols w:equalWidth="0" w:num="2">
            <w:col w:w="5820" w:space="720"/>
            <w:col w:w="3679"/>
          </w:cols>
          <w:pgMar w:left="240" w:top="649" w:right="1440" w:bottom="1440" w:gutter="0" w:footer="0" w:header="0"/>
          <w:type w:val="continuous"/>
        </w:sectPr>
      </w:pPr>
    </w:p>
    <w:p>
      <w:pPr>
        <w:spacing w:after="0" w:line="2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42 RUE SAINT-DOMINIQUE</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PARIS, FRANCE</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75007</w:t>
      </w:r>
    </w:p>
    <w:p>
      <w:pPr>
        <w:spacing w:after="0" w:line="216" w:lineRule="exact"/>
        <w:rPr>
          <w:sz w:val="24"/>
          <w:szCs w:val="24"/>
          <w:color w:val="auto"/>
        </w:rPr>
      </w:pPr>
    </w:p>
    <w:p>
      <w:pPr>
        <w:sectPr>
          <w:pgSz w:w="11900" w:h="16838" w:orient="portrait"/>
          <w:cols w:equalWidth="0" w:num="2">
            <w:col w:w="5820" w:space="720"/>
            <w:col w:w="3679"/>
          </w:cols>
          <w:pgMar w:left="240" w:top="649" w:right="1440" w:bottom="1440" w:gutter="0" w:footer="0" w:header="0"/>
          <w:type w:val="continuous"/>
        </w:sectPr>
      </w:pPr>
    </w:p>
    <w:p>
      <w:pPr>
        <w:spacing w:after="0" w:line="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LAAN VAN MEERDERVOORT 55</w:t>
      </w:r>
    </w:p>
    <w:p>
      <w:pPr>
        <w:ind w:left="420"/>
        <w:spacing w:after="0" w:line="238" w:lineRule="auto"/>
        <w:rPr>
          <w:sz w:val="20"/>
          <w:szCs w:val="20"/>
          <w:color w:val="auto"/>
        </w:rPr>
      </w:pPr>
      <w:r>
        <w:rPr>
          <w:rFonts w:ascii="Courier New" w:cs="Courier New" w:eastAsia="Courier New" w:hAnsi="Courier New"/>
          <w:sz w:val="18"/>
          <w:szCs w:val="18"/>
          <w:color w:val="auto"/>
        </w:rPr>
        <w:t>THE HAGUE,</w:t>
      </w:r>
    </w:p>
    <w:p>
      <w:pPr>
        <w:ind w:left="420"/>
        <w:spacing w:after="0"/>
        <w:rPr>
          <w:sz w:val="20"/>
          <w:szCs w:val="20"/>
          <w:color w:val="auto"/>
        </w:rPr>
      </w:pPr>
      <w:r>
        <w:rPr>
          <w:rFonts w:ascii="Courier New" w:cs="Courier New" w:eastAsia="Courier New" w:hAnsi="Courier New"/>
          <w:sz w:val="18"/>
          <w:szCs w:val="18"/>
          <w:color w:val="auto"/>
        </w:rPr>
        <w:t>THE NETHERLANDS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(ADDRESSES OF PRINCIPAL EXECUTIVE</w:t>
      </w:r>
    </w:p>
    <w:p>
      <w:pPr>
        <w:ind w:left="1280"/>
        <w:spacing w:after="0" w:line="238" w:lineRule="auto"/>
        <w:rPr>
          <w:sz w:val="20"/>
          <w:szCs w:val="20"/>
          <w:color w:val="auto"/>
        </w:rPr>
      </w:pPr>
      <w:r>
        <w:rPr>
          <w:rFonts w:ascii="Courier New" w:cs="Courier New" w:eastAsia="Courier New" w:hAnsi="Courier New"/>
          <w:sz w:val="18"/>
          <w:szCs w:val="18"/>
          <w:color w:val="auto"/>
        </w:rPr>
        <w:t>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2517 AG</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CODES)</w:t>
      </w:r>
    </w:p>
    <w:p>
      <w:pPr>
        <w:spacing w:after="0" w:line="402" w:lineRule="exact"/>
        <w:rPr>
          <w:sz w:val="24"/>
          <w:szCs w:val="24"/>
          <w:color w:val="auto"/>
        </w:rPr>
      </w:pPr>
    </w:p>
    <w:p>
      <w:pPr>
        <w:sectPr>
          <w:pgSz w:w="11900" w:h="16838" w:orient="portrait"/>
          <w:cols w:equalWidth="0" w:num="2">
            <w:col w:w="5500" w:space="720"/>
            <w:col w:w="3999"/>
          </w:cols>
          <w:pgMar w:left="240" w:top="649" w:right="1440"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(212) 350-9400</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19"/>
          </w:cols>
          <w:pgMar w:left="240" w:top="649" w:right="1440" w:bottom="1440" w:gutter="0" w:footer="0" w:header="0"/>
          <w:type w:val="continuous"/>
        </w:sectPr>
      </w:pPr>
    </w:p>
    <w:p>
      <w:pPr>
        <w:spacing w:after="0" w:line="207"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4"/>
          <w:szCs w:val="24"/>
          <w:color w:val="auto"/>
        </w:rPr>
      </w:pPr>
    </w:p>
    <w:p>
      <w:pPr>
        <w:sectPr>
          <w:pgSz w:w="11900" w:h="16838" w:orient="portrait"/>
          <w:cols w:equalWidth="0" w:num="3">
            <w:col w:w="2860" w:space="520"/>
            <w:col w:w="540" w:space="720"/>
            <w:col w:w="5579"/>
          </w:cols>
          <w:pgMar w:left="240" w:top="649" w:right="1440" w:bottom="1440" w:gutter="0" w:footer="0" w:header="0"/>
          <w:type w:val="continuous"/>
        </w:sect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340" w:space="720"/>
            <w:col w:w="5159"/>
          </w:cols>
          <w:pgMar w:left="240" w:top="649" w:right="1440" w:bottom="1440" w:gutter="0" w:footer="0" w:header="0"/>
          <w:type w:val="continuous"/>
        </w:sectPr>
      </w:pPr>
    </w:p>
    <w:p>
      <w:pPr>
        <w:spacing w:after="0" w:line="226"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649" w:right="1440" w:bottom="1440" w:gutter="0" w:footer="0" w:header="0"/>
          <w:type w:val="continuous"/>
        </w:sectPr>
      </w:pPr>
    </w:p>
    <w:p>
      <w:pPr>
        <w:spacing w:after="0" w:line="203" w:lineRule="exact"/>
        <w:rPr>
          <w:sz w:val="24"/>
          <w:szCs w:val="24"/>
          <w:color w:val="auto"/>
        </w:rPr>
      </w:pPr>
    </w:p>
    <w:p>
      <w:pPr>
        <w:jc w:val="center"/>
        <w:ind w:left="40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jc w:val="center"/>
        <w:ind w:left="4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400"/>
        <w:spacing w:after="0"/>
        <w:rPr>
          <w:sz w:val="20"/>
          <w:szCs w:val="20"/>
          <w:color w:val="auto"/>
        </w:rPr>
      </w:pPr>
      <w:r>
        <w:rPr>
          <w:rFonts w:ascii="Courier New" w:cs="Courier New" w:eastAsia="Courier New" w:hAnsi="Courier New"/>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OUTSTANDING AT APRIL 30, 1996</w:t>
      </w:r>
    </w:p>
    <w:p>
      <w:pPr>
        <w:spacing w:after="0" w:line="2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244,641,500</w:t>
      </w:r>
    </w:p>
    <w:p>
      <w:pPr>
        <w:sectPr>
          <w:pgSz w:w="11900" w:h="16838" w:orient="portrait"/>
          <w:cols w:equalWidth="0" w:num="2">
            <w:col w:w="4140" w:space="720"/>
            <w:col w:w="5359"/>
          </w:cols>
          <w:pgMar w:left="240" w:top="649" w:right="1440" w:bottom="1440" w:gutter="0" w:footer="0" w:header="0"/>
          <w:type w:val="continuous"/>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PART I. FINANCIAL INFORMATION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 FINANCIAL STATEMENTS</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SCHLUMBERGER LIMITED</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(SCHLUMBERGER N.V., INCORPORATED IN THE NETHERLANDS ANTILLES)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AND SUBSIDIARY COMPANIES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CONSOLIDATED STATEMENT OF INCOME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1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3580" w:type="dxa"/>
            <w:vAlign w:val="bottom"/>
          </w:tcPr>
          <w:p>
            <w:pPr>
              <w:spacing w:after="0"/>
              <w:rPr>
                <w:sz w:val="17"/>
                <w:szCs w:val="17"/>
                <w:color w:val="auto"/>
              </w:rPr>
            </w:pPr>
          </w:p>
        </w:tc>
        <w:tc>
          <w:tcPr>
            <w:tcW w:w="2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58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w:t>
            </w: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$2,027,828</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$1,762,297</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OTHER INCOME</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17,370</w:t>
            </w: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23,878</w:t>
            </w:r>
          </w:p>
        </w:tc>
      </w:tr>
      <w:tr>
        <w:trPr>
          <w:trHeight w:val="203"/>
        </w:trPr>
        <w:tc>
          <w:tcPr>
            <w:tcW w:w="358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2,045,198</w:t>
            </w: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1,786,175</w:t>
            </w:r>
          </w:p>
        </w:tc>
      </w:tr>
      <w:tr>
        <w:trPr>
          <w:trHeight w:val="203"/>
        </w:trPr>
        <w:tc>
          <w:tcPr>
            <w:tcW w:w="358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608"/>
        </w:trPr>
        <w:tc>
          <w:tcPr>
            <w:tcW w:w="35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GOODS SOLD AND SERVICES</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1,549,603</w:t>
            </w: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1,336,462</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&amp; ENGINEERING</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110,799</w:t>
            </w: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103,285</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MARKETING</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73,190</w:t>
            </w: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65,923</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85,259</w:t>
            </w: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85,602</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17,343</w:t>
            </w: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20,526</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ON INCOME</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38,137</w:t>
            </w: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27,568</w:t>
            </w:r>
          </w:p>
        </w:tc>
      </w:tr>
      <w:tr>
        <w:trPr>
          <w:trHeight w:val="203"/>
        </w:trPr>
        <w:tc>
          <w:tcPr>
            <w:tcW w:w="358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1,874,331</w:t>
            </w: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1,639,366</w:t>
            </w:r>
          </w:p>
        </w:tc>
      </w:tr>
      <w:tr>
        <w:trPr>
          <w:trHeight w:val="203"/>
        </w:trPr>
        <w:tc>
          <w:tcPr>
            <w:tcW w:w="358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170,867</w:t>
            </w:r>
          </w:p>
        </w:tc>
        <w:tc>
          <w:tcPr>
            <w:tcW w:w="140" w:type="dxa"/>
            <w:vAlign w:val="bottom"/>
          </w:tcPr>
          <w:p>
            <w:pPr>
              <w:ind w:left="4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146,809</w:t>
            </w:r>
          </w:p>
        </w:tc>
      </w:tr>
      <w:tr>
        <w:trPr>
          <w:trHeight w:val="203"/>
        </w:trPr>
        <w:tc>
          <w:tcPr>
            <w:tcW w:w="358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810"/>
        </w:trPr>
        <w:tc>
          <w:tcPr>
            <w:tcW w:w="358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0.70</w:t>
            </w:r>
          </w:p>
        </w:tc>
        <w:tc>
          <w:tcPr>
            <w:tcW w:w="140" w:type="dxa"/>
            <w:vAlign w:val="bottom"/>
          </w:tcPr>
          <w:p>
            <w:pPr>
              <w:ind w:left="4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0.61</w:t>
            </w:r>
          </w:p>
        </w:tc>
      </w:tr>
      <w:tr>
        <w:trPr>
          <w:trHeight w:val="203"/>
        </w:trPr>
        <w:tc>
          <w:tcPr>
            <w:tcW w:w="358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(THOUSANDS)</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243,358</w:t>
            </w: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242,052</w:t>
            </w:r>
          </w:p>
        </w:tc>
      </w:tr>
      <w:tr>
        <w:trPr>
          <w:trHeight w:val="203"/>
        </w:trPr>
        <w:tc>
          <w:tcPr>
            <w:tcW w:w="358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810"/>
        </w:trPr>
        <w:tc>
          <w:tcPr>
            <w:tcW w:w="3580" w:type="dxa"/>
            <w:vAlign w:val="bottom"/>
          </w:tcPr>
          <w:p>
            <w:pPr>
              <w:spacing w:after="0"/>
              <w:rPr>
                <w:sz w:val="20"/>
                <w:szCs w:val="20"/>
                <w:color w:val="auto"/>
              </w:rPr>
            </w:pPr>
            <w:r>
              <w:rPr>
                <w:rFonts w:ascii="Courier New" w:cs="Courier New" w:eastAsia="Courier New" w:hAnsi="Courier New"/>
                <w:sz w:val="18"/>
                <w:szCs w:val="18"/>
                <w:color w:val="auto"/>
              </w:rPr>
              <w:t>DIVIDENDS DECLARED PER SHARE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0.375</w:t>
            </w:r>
          </w:p>
        </w:tc>
        <w:tc>
          <w:tcPr>
            <w:tcW w:w="140" w:type="dxa"/>
            <w:vAlign w:val="bottom"/>
          </w:tcPr>
          <w:p>
            <w:pPr>
              <w:ind w:left="4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0.30</w:t>
            </w:r>
          </w:p>
        </w:tc>
      </w:tr>
      <w:tr>
        <w:trPr>
          <w:trHeight w:val="203"/>
        </w:trPr>
        <w:tc>
          <w:tcPr>
            <w:tcW w:w="358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left="3160"/>
        <w:spacing w:after="0"/>
        <w:rPr>
          <w:sz w:val="20"/>
          <w:szCs w:val="20"/>
          <w:color w:val="auto"/>
        </w:rPr>
      </w:pPr>
      <w:r>
        <w:rPr>
          <w:rFonts w:ascii="Courier New" w:cs="Courier New" w:eastAsia="Courier New" w:hAnsi="Courier New"/>
          <w:sz w:val="18"/>
          <w:szCs w:val="18"/>
          <w:color w:val="auto"/>
        </w:rPr>
        <w:t>SCHLUMBERGER LIMITED</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779"/>
        <w:spacing w:after="0" w:line="237" w:lineRule="auto"/>
        <w:rPr>
          <w:sz w:val="20"/>
          <w:szCs w:val="20"/>
          <w:color w:val="auto"/>
        </w:rPr>
      </w:pPr>
      <w:r>
        <w:rPr>
          <w:rFonts w:ascii="Courier New" w:cs="Courier New" w:eastAsia="Courier New" w:hAnsi="Courier New"/>
          <w:sz w:val="18"/>
          <w:szCs w:val="18"/>
          <w:color w:val="auto"/>
        </w:rPr>
        <w:t>AND SUBSIDIARY COMPANIES</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CONSOLIDATED BALANCE SHEET</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MAR. 31,</w:t>
            </w:r>
          </w:p>
        </w:tc>
        <w:tc>
          <w:tcPr>
            <w:tcW w:w="1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1996</w:t>
            </w:r>
          </w:p>
        </w:tc>
        <w:tc>
          <w:tcPr>
            <w:tcW w:w="17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336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608"/>
        </w:trPr>
        <w:tc>
          <w:tcPr>
            <w:tcW w:w="52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SHORT-TERM INVESTMENTS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$ 1,025,814</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$ 1,120,533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 ACCOUNTS</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(1996 - $59,999; 1995 - $58,246)</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1,988,905</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1,939,873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870,121</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782,168</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209,751</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181,129</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4,094,591</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4,023,703</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LONG-TERM INVESTMENTS, HELD TO MATURITY</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279,972</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279,950</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FIXED ASSETS:</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9,198,441</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9,108,107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(6,089,214)</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(5,989,649)</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3,109,227</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3,118,458</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INVESTMENT OVER NET ASSETS OF</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COMPANIES PURCHASED, LESS AMORTIZATION</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1,308,611</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1,330,490</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165,720</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157,499</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4"/>
                <w:szCs w:val="24"/>
                <w:color w:val="auto"/>
              </w:rPr>
            </w:pP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$ 8,958,121</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$ 8,910,100</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LIABILITIES &amp; STOCKHOLDERS' EQUITY</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$ 1,743,695</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$ 1,773,605</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 LIABILITY FOR TAXES ON INCOME</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287,058</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299,841</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BANK LOANS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530,828</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515,703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PAYABLE</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91,776</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91,706</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DUE WITHIN ONE YEAR</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86,493</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83,417</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2,739,850</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2,764,272</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568,475</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613,404</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363,207</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354,830</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198,784</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213,577</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3,870,316</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3,946,083</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753,621</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737,328</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RETAINED FOR USE IN THE BUSINESS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6,733,571</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6,654,072</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 STOCK AT COST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(2,380,412)</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(2,414,577)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TRANSLATION ADJUSTMENT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(18,975)</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(12,806)</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5,087,805</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4,964,017</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4"/>
                <w:szCs w:val="24"/>
                <w:color w:val="auto"/>
              </w:rPr>
            </w:pP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$ 8,958,121</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$ 8,910,100</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SEE NOTES TO CONSOLIDATED FINANCIAL STATEMENTS</w:t>
      </w:r>
    </w:p>
    <w:p>
      <w:pPr>
        <w:sectPr>
          <w:pgSz w:w="11900" w:h="16838" w:orient="portrait"/>
          <w:cols w:equalWidth="0" w:num="1">
            <w:col w:w="10219"/>
          </w:cols>
          <w:pgMar w:left="240" w:top="717" w:right="1440" w:bottom="0" w:gutter="0" w:footer="0" w:header="0"/>
        </w:sectPr>
      </w:pPr>
    </w:p>
    <w:bookmarkStart w:id="3" w:name="page4"/>
    <w:bookmarkEnd w:id="3"/>
    <w:p>
      <w:pPr>
        <w:ind w:left="2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SCHLUMBERGER LIMITED</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779"/>
        <w:spacing w:after="0" w:line="237" w:lineRule="auto"/>
        <w:rPr>
          <w:sz w:val="20"/>
          <w:szCs w:val="20"/>
          <w:color w:val="auto"/>
        </w:rPr>
      </w:pPr>
      <w:r>
        <w:rPr>
          <w:rFonts w:ascii="Courier New" w:cs="Courier New" w:eastAsia="Courier New" w:hAnsi="Courier New"/>
          <w:sz w:val="18"/>
          <w:szCs w:val="18"/>
          <w:color w:val="auto"/>
        </w:rPr>
        <w:t>AND SUBSIDIARY COMPANIES</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CONSOLIDATED STATEMENT OF CASH FLOWS</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(DOLLARS IN THOUSANDS)</w:t>
            </w:r>
          </w:p>
        </w:tc>
      </w:tr>
      <w:tr>
        <w:trPr>
          <w:trHeight w:val="405"/>
        </w:trPr>
        <w:tc>
          <w:tcPr>
            <w:tcW w:w="5440" w:type="dxa"/>
            <w:vAlign w:val="bottom"/>
          </w:tcPr>
          <w:p>
            <w:pPr>
              <w:spacing w:after="0"/>
              <w:rPr>
                <w:sz w:val="24"/>
                <w:szCs w:val="24"/>
                <w:color w:val="auto"/>
              </w:rPr>
            </w:pPr>
          </w:p>
        </w:tc>
        <w:tc>
          <w:tcPr>
            <w:tcW w:w="3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440" w:type="dxa"/>
            <w:vAlign w:val="bottom"/>
          </w:tcPr>
          <w:p>
            <w:pPr>
              <w:spacing w:after="0"/>
              <w:rPr>
                <w:sz w:val="17"/>
                <w:szCs w:val="17"/>
                <w:color w:val="auto"/>
              </w:rPr>
            </w:pPr>
          </w:p>
        </w:tc>
        <w:tc>
          <w:tcPr>
            <w:tcW w:w="3000" w:type="dxa"/>
            <w:vAlign w:val="bottom"/>
            <w:gridSpan w:val="2"/>
          </w:tcPr>
          <w:p>
            <w:pPr>
              <w:jc w:val="right"/>
              <w:ind w:right="117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44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1996</w:t>
            </w:r>
          </w:p>
        </w:tc>
        <w:tc>
          <w:tcPr>
            <w:tcW w:w="18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4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$ 170,867</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$ 146,809</w:t>
            </w:r>
          </w:p>
        </w:tc>
      </w:tr>
      <w:tr>
        <w:trPr>
          <w:trHeight w:val="203"/>
        </w:trPr>
        <w:tc>
          <w:tcPr>
            <w:tcW w:w="544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ADJUSTMENTS TO RECONCILE NET INCOME TO</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217,013</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198,930</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EARNINGS OF COMPANIES CARRIED AT EQUITY,</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44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LESS DIVIDENDS RECEIVED (DIVIDENDS:</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1996 - $133 ; 1995 - $0)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727</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(1,077)</w:t>
            </w:r>
          </w:p>
        </w:tc>
      </w:tr>
      <w:tr>
        <w:trPr>
          <w:trHeight w:val="203"/>
        </w:trPr>
        <w:tc>
          <w:tcPr>
            <w:tcW w:w="5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8"/>
              </w:rPr>
              <w:t>PROVISION FOR LOSSES ON ACCOUNTS RECEIVABLE</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4,318</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2,511</w:t>
            </w:r>
          </w:p>
        </w:tc>
      </w:tr>
      <w:tr>
        <w:trPr>
          <w:trHeight w:val="203"/>
        </w:trPr>
        <w:tc>
          <w:tcPr>
            <w:tcW w:w="5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ADJUSTMENTS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(652)</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(822)</w:t>
            </w:r>
          </w:p>
        </w:tc>
      </w:tr>
      <w:tr>
        <w:trPr>
          <w:trHeight w:val="203"/>
        </w:trPr>
        <w:tc>
          <w:tcPr>
            <w:tcW w:w="5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8"/>
              </w:rPr>
              <w:t>CHANGE IN OPERATING ASSETS AND LIABILITIES:</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INCREASE IN RECEIVABLES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(63,502)</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(42,001)</w:t>
            </w: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(94,459)</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(42,147)</w:t>
            </w: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DECREASE IN ACCOUNTS PAYABLE AND</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(17,639)</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(44,412)</w:t>
            </w: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(DECREASE) INCREASE IN ESTIMATED</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LIABILITY FOR TAXES ON INCOME</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(11,927)</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506</w:t>
            </w:r>
          </w:p>
        </w:tc>
      </w:tr>
      <w:tr>
        <w:trPr>
          <w:trHeight w:val="203"/>
        </w:trPr>
        <w:tc>
          <w:tcPr>
            <w:tcW w:w="5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OTHER - NET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(45,683)</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(34,129)</w:t>
            </w:r>
          </w:p>
        </w:tc>
      </w:tr>
      <w:tr>
        <w:trPr>
          <w:trHeight w:val="203"/>
        </w:trPr>
        <w:tc>
          <w:tcPr>
            <w:tcW w:w="54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159,063</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184,168</w:t>
            </w:r>
          </w:p>
        </w:tc>
      </w:tr>
      <w:tr>
        <w:trPr>
          <w:trHeight w:val="203"/>
        </w:trPr>
        <w:tc>
          <w:tcPr>
            <w:tcW w:w="54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FIXED ASSETS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(219,236)</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(201,659)</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SALES/RETIREMENTS OF FIXED ASSETS</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19,039</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18,416</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 INVESTMENTS</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112,765</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63,748</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FOR PURCHASE OF BUSINESSES</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(53,513)</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OTHER ASSETS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(422)</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6,914</w:t>
            </w:r>
          </w:p>
        </w:tc>
      </w:tr>
      <w:tr>
        <w:trPr>
          <w:trHeight w:val="203"/>
        </w:trPr>
        <w:tc>
          <w:tcPr>
            <w:tcW w:w="54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(87,854)</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(166,094)</w:t>
            </w:r>
          </w:p>
        </w:tc>
      </w:tr>
      <w:tr>
        <w:trPr>
          <w:trHeight w:val="203"/>
        </w:trPr>
        <w:tc>
          <w:tcPr>
            <w:tcW w:w="54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(91,151)</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(72,907)</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 STOCK OPTIONS</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50,534</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1,977</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TREASURY SHARES</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(19,667)</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9,095</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4,282</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OF PRINCIPAL ON LONG-TERM DEBT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(38,849)</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(4,596)</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INCREASE IN SHORT-TERM DEBT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18,135</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67,731</w:t>
            </w:r>
          </w:p>
        </w:tc>
      </w:tr>
      <w:tr>
        <w:trPr>
          <w:trHeight w:val="203"/>
        </w:trPr>
        <w:tc>
          <w:tcPr>
            <w:tcW w:w="54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(52,236)</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(23,180)</w:t>
            </w:r>
          </w:p>
        </w:tc>
      </w:tr>
      <w:tr>
        <w:trPr>
          <w:trHeight w:val="203"/>
        </w:trPr>
        <w:tc>
          <w:tcPr>
            <w:tcW w:w="54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18,973</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(5,106)</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CASH, BEGINNING OF PERIOD</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72,515</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7,671</w:t>
            </w:r>
          </w:p>
        </w:tc>
      </w:tr>
      <w:tr>
        <w:trPr>
          <w:trHeight w:val="203"/>
        </w:trPr>
        <w:tc>
          <w:tcPr>
            <w:tcW w:w="54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CASH, END OF PERIOD</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91,488</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  52,565</w:t>
            </w:r>
          </w:p>
        </w:tc>
      </w:tr>
      <w:tr>
        <w:trPr>
          <w:trHeight w:val="203"/>
        </w:trPr>
        <w:tc>
          <w:tcPr>
            <w:tcW w:w="54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564"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8"/>
          <w:szCs w:val="18"/>
          <w:color w:val="auto"/>
        </w:rPr>
        <w:t>SCHLUMBERGER LIMITED</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779"/>
        <w:spacing w:after="0" w:line="237" w:lineRule="auto"/>
        <w:rPr>
          <w:sz w:val="20"/>
          <w:szCs w:val="20"/>
          <w:color w:val="auto"/>
        </w:rPr>
      </w:pPr>
      <w:r>
        <w:rPr>
          <w:rFonts w:ascii="Courier New" w:cs="Courier New" w:eastAsia="Courier New" w:hAnsi="Courier New"/>
          <w:sz w:val="18"/>
          <w:szCs w:val="18"/>
          <w:color w:val="auto"/>
        </w:rPr>
        <w:t>AND SUBSIDIARY COMPANIES</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1995 ANNUAL REPORT. THESE POLICIES HAVE BEEN CONSISTENTLY APPLIED DURING THE INTERIM PERIOD PRESENTED IN THIS REPORT. THE RESULTS OF OPERATIONS FOR THE THREE MONTH PERIOD ENDED MARCH 31, 1996 ARE NOT NECESSARILY INDICATIVE OF THE RESULTS OF OPERATIONS THAT MAY BE EXPECTED FOR THE ENTIRE YEAR.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 EXPENSE</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AND ITS SUBSIDIARIES OPERATE IN OVER 100 TAXING JURISDICTIONS.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US CONSOLIDATED GROUP HAS A NET OPERATING LOSS CARRYFORWARD OF $520 MILLION AND NET DEDUCTIBLE TEMPORARY DIFFERENCES OF $635 MILLION AT MARCH 31, 1996. SIGNIFICANT TEMPORARY DIFFERENCES PERTAIN TO POSTRETIREMENT MEDICAL BENEFITS, FIXED ASSETS AND ENVIRONMENTAL REMEDIATION PROJECTS. MOST OF THE CARRYFORWARD WILL EXPIRE IN THE YEARS 2002-2003.</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DEFERRED TAX ASSET RELATED TO THE CARRYFORWARDS HAS BEEN RECORDED AS THE COMPANY HAS CONCLUDED THAT A FULL VALUATION ALLOWANCE REMAINS APPROPRIATE IN LIGHT OF THE COMPANY'S HISTORICAL EXPERIENCE IN ITS US OPERATIONS WHERE THERE IS UNCERTAINTY WITH RESPECT TO THE ABILITY TO FORECAST WITH ACCEPTABLE ACCURACY A SUFFICIENTLY HIGH LEVEL OF SUSTAINED PROFITABILITY TO JUSTIFY THE RECORDING OF AN INCOME TAX ASSET, THE REALIZATION OF WHICH IS DEPENDENT UPON FUTURE OPERATING RESULTS. IN ADDITION, RAPID CHANGES IN MARKET CONDITIONS AND THE FACT THAT THE US OPERATIONS HAVE BEEN IN A TAX LOSS CARRYFORWARD POSITION FOR TEN YEARS ARE OTHER FACTORS TAKEN INTO CONSIDERATION.</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EFFECT OF THE US OPERATING LOSS CARRYFORWARD IS A SIGNIFICANT RECONCILING ITEM BETWEEN THE US STATUTORY FEDERAL TAX RATE (35%) AND THE COMPANY'S EFFECTIVE TAX RATE. THE OPERATING LOSS CARRYFORWARD HAD THE EFFECT OF REDUCING MARCH 31, 1996 AND 1995 INCOME TAX EXPENSE BY $17 MILLION AND $16 MILLION, RESPECTIVELY. EXCLUDING THE EFFECT OF THE LOSS CARRYFORWARD, THE COMPANY'S EFFECTIVE TAX RATES WOULD HAVE BEEN ABOUT 26% AND 25% IN THE PERIODS ENDED MARCH 31, 1996 AND 1995, RESPECTIVELY.</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CONTINGENCIES</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ACCRUED. HOWEVER, IN THE OPINION OF MANAGEMENT, SUCH ADDITIONAL COSTS ARE NOT EXPECTED TO BE MATERIAL RELATIVE TO CONSOLIDATED LIQUIDITY, FINANCIAL POSITION OR FUTURE RESULTS OF OPERATIONS.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 CASE IN TEXAS INVOLVING THE VALIDITY OF A 1988 SETTLEMENT AND RELEASE IN CONNECTION WITH AN INCIDENTAL BUSINESS VENTURE, THE TRIAL COURT, IN 1993, RENDERED A JUDGMENT NOTWITHSTANDING THE VERDICT OF THE JURY, EXONERATING SCHLUMBERGER FROM ANY LIABILITY. IN LATE 1994, A TEXAS COURT OF APPEALS REVERSED THE TRIAL COURT JUDGMENT AND REINSTATED THE JURY AWARD OF ABOUT $75 MILLION AGAINST SCHLUMBERGER. THE TEXAS SUPREME COURT GRANTED THE SCHLUMBERGER MOTION TO HEAR THE CASE. ORAL ARGUMENT WAS HELD BEFORE THE TEXAS SUPREME COURT ON OCTOBER 11, 1995. SCHLUMBERGER AND OUTSIDE COUNSEL BELIEVE THE DECISION OF THE TRIAL COURT WAS CORRECT. CONSEQUENTLY, NO PROVISION HAS BEEN MADE IN THE CONSOLIDATED FINANCIAL STATEMENTS FOR THIS MATTER.</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1996, IN A CASE INVOLVING A $3 MILLION CONTRACT DISPUTE, THE TRIAL COURT IN JOHNSON COUNTY, TEXAS, ENTERED JUDGMENT ON JURY FINDINGS ADVERSE TO SCHLUMBERGER FOR $23 MILLION IN DAMAGES, WHICH HAS BEEN DOUBLED, PLUS ATTORNEY'S FEES AND INTEREST. THE COMPANY AND ITS OUTSIDE COUNSEL BELIEVE THE FINDINGS AND THE JUDGMENT ARE NOT SUPPORTED BY THE EVIDENCE AND LAW, AND WILL APPEAL. ACCORDINGLY, NO PROVISION HAS BEEN MADE IN THE ACCOMPANYING FINANCIAL STATEMENT FOR THIS MATTER.</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w:t>
      </w:r>
    </w:p>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OPERATIONS</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FIRST QUARTER 1996 COMPARED TO FIRST QUARTER 1995</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FIRST QUARTER NET INCOME OF $171 MILLION AND EARNINGS PER SHARE OF $0.70 WERE 16% AND 15% HIGHER, RESPECTIVELY, THAN THE SAME PERIOD LAST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REVENUE OF $2.03 BILLION WAS 15% ABOVE FIRST QUARTER 1995.</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OILFIELD SERVICES POSTED A 21% INCREASE IN REVENUE AS RIG COUNT ROSE 3%. DURING THE QUARTER, ACTIVITY INCREASED IN KEY MARKETS, MAINLY OUTSIDE NORTH AMERICA, POSITIVELY IMPACTING ALL PRODUCT LINES.</w:t>
      </w:r>
    </w:p>
    <w:p>
      <w:pPr>
        <w:spacing w:after="0" w:line="209"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MEASUREMENT &amp; SYSTEMS REVENUE WAS 5% HIGHER THAN THE SAME PERIOD LAST YEAR, WITH ELECTRONIC TRANSACTIONS AND AUTOMATIC TEST EQUIPMENT CONTRIBUTING SIGNIFICANTLY.</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BUSINESS REVIEW</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w w:val="99"/>
              </w:rPr>
              <w:t>(STATED IN MILLIONS)</w:t>
            </w:r>
          </w:p>
        </w:tc>
      </w:tr>
      <w:tr>
        <w:trPr>
          <w:trHeight w:val="405"/>
        </w:trPr>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4"/>
          </w:tcPr>
          <w:p>
            <w:pPr>
              <w:ind w:left="300"/>
              <w:spacing w:after="0"/>
              <w:rPr>
                <w:sz w:val="20"/>
                <w:szCs w:val="20"/>
                <w:color w:val="auto"/>
              </w:rPr>
            </w:pPr>
            <w:r>
              <w:rPr>
                <w:rFonts w:ascii="Courier New" w:cs="Courier New" w:eastAsia="Courier New" w:hAnsi="Courier New"/>
                <w:sz w:val="18"/>
                <w:szCs w:val="18"/>
                <w:color w:val="auto"/>
              </w:rPr>
              <w:t>OILFIELD SERVICES</w:t>
            </w:r>
          </w:p>
        </w:tc>
        <w:tc>
          <w:tcPr>
            <w:tcW w:w="2960" w:type="dxa"/>
            <w:vAlign w:val="bottom"/>
            <w:gridSpan w:val="5"/>
          </w:tcPr>
          <w:p>
            <w:pPr>
              <w:ind w:left="220"/>
              <w:spacing w:after="0"/>
              <w:rPr>
                <w:sz w:val="20"/>
                <w:szCs w:val="20"/>
                <w:color w:val="auto"/>
              </w:rPr>
            </w:pPr>
            <w:r>
              <w:rPr>
                <w:rFonts w:ascii="Courier New" w:cs="Courier New" w:eastAsia="Courier New" w:hAnsi="Courier New"/>
                <w:sz w:val="18"/>
                <w:szCs w:val="18"/>
                <w:color w:val="auto"/>
              </w:rPr>
              <w:t>MEASUREMENT &amp; SYSTEMS</w:t>
            </w:r>
          </w:p>
        </w:tc>
      </w:tr>
      <w:tr>
        <w:trPr>
          <w:trHeight w:val="203"/>
        </w:trPr>
        <w:tc>
          <w:tcPr>
            <w:tcW w:w="212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5"/>
              </w:rPr>
              <w:t>--------------------------</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QUARTER</w:t>
            </w:r>
          </w:p>
        </w:tc>
        <w:tc>
          <w:tcPr>
            <w:tcW w:w="320" w:type="dxa"/>
            <w:vAlign w:val="bottom"/>
          </w:tcPr>
          <w:p>
            <w:pPr>
              <w:spacing w:after="0"/>
              <w:rPr>
                <w:sz w:val="17"/>
                <w:szCs w:val="17"/>
                <w:color w:val="auto"/>
              </w:rPr>
            </w:pP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320" w:type="dxa"/>
            <w:vAlign w:val="bottom"/>
          </w:tcPr>
          <w:p>
            <w:pPr>
              <w:spacing w:after="0"/>
              <w:rPr>
                <w:sz w:val="17"/>
                <w:szCs w:val="17"/>
                <w:color w:val="auto"/>
              </w:rPr>
            </w:pP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CHANGE</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3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1995</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CHANGE</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320" w:type="dxa"/>
            <w:vAlign w:val="bottom"/>
          </w:tcPr>
          <w:p>
            <w:pPr>
              <w:spacing w:after="0"/>
              <w:rPr>
                <w:sz w:val="17"/>
                <w:szCs w:val="17"/>
                <w:color w:val="auto"/>
              </w:rPr>
            </w:pPr>
          </w:p>
        </w:tc>
        <w:tc>
          <w:tcPr>
            <w:tcW w:w="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w:t>
            </w:r>
          </w:p>
        </w:tc>
        <w:tc>
          <w:tcPr>
            <w:tcW w:w="20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6"/>
              </w:rPr>
              <w:t>-------  --------</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REVENUE</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1,353</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1,118</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676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646</w:t>
            </w: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INCOME(1)</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177</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137</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2739" w:hanging="421"/>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INCOME REPRESENTS INCOME BEFORE INCOME TAXES, EXCLUDING INTEREST EXPENSE AND INTEREST AND OTHER INCOME.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OILFIELD SERVICES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OILFIELD SERVICES OPERATING REVENUE INCREASED 21%, COMPARED WITH THE SAME PERIOD LAST YEAR, WITH SIGNIFICANT CONTRIBUTIONS FROM ALL PRODUCT LINES. NORTH AMERICA AND OUTSIDE NORTH AMERICA REVENUES WERE UP 6% AND 28%, RESPECTIVELY, AND REPRESENTED 18% AND 49% OF CONSOLIDATED REVENUE, RESPECTIVELY.</w:t>
      </w:r>
    </w:p>
    <w:p>
      <w:pPr>
        <w:spacing w:after="0" w:line="207" w:lineRule="exact"/>
        <w:rPr>
          <w:sz w:val="20"/>
          <w:szCs w:val="20"/>
          <w:color w:val="auto"/>
        </w:rPr>
      </w:pPr>
    </w:p>
    <w:p>
      <w:pPr>
        <w:ind w:right="2619"/>
        <w:spacing w:after="0" w:line="275" w:lineRule="auto"/>
        <w:rPr>
          <w:sz w:val="20"/>
          <w:szCs w:val="20"/>
          <w:color w:val="auto"/>
        </w:rPr>
      </w:pPr>
      <w:r>
        <w:rPr>
          <w:rFonts w:ascii="Courier New" w:cs="Courier New" w:eastAsia="Courier New" w:hAnsi="Courier New"/>
          <w:sz w:val="16"/>
          <w:szCs w:val="16"/>
          <w:color w:val="auto"/>
        </w:rPr>
        <w:t>OPERATING INCOME DECLINED $5 MILLION IN NORTH AMERICA. OUTSIDE NORTH AMERICA, OPERATING INCOME INCREASED $47 MILLION. THE QUARTER INCLUDES AN OPERATING LOSS OF $12 MILLION IN SEISMIC OPERATIONS, WHICH REPRESENTS A SIGNIFICANT IMPROVEMENT COMPARED WITH THE LAST QUARTER OF 1995.</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NORTH AMERICA, ACTIVITY IN THE GULF OF MEXICO WAS SLIGHTLY UP, WHILE LAND OPERATIONS WERE FLAT. RIG COUNT FOR THE QUARTER INCREASED 2%. RAPID DEPLOYMENT OF PLATFORM EXPRESS* WIRELINE LOGGING TECHNOLOGY CONTINUED, AND THE GEOSTEERING* TOOL WAS SUCCESSFULLY INTRODUCED IN CANADA.</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OUTSIDE NORTH AMERICA, RIG COUNT INCREASED 4%. STRONG ACTIVITY IN SOUTH AMERICA, THE NORTH SEA, EUROPE AND AFRICA CONTRIBUTED SIGNIFICANTLY TO THE GROWTH. RESULTS WERE FUELED BY THE ACCELERATED INTRODUCTION OF NEW TECHNOLOGY, INCLUDING PLATFORM EXPRESS SERVICES, WHICH CLEARLY PROVIDES ADDED VALUE TO CUSTOMERS. DEMAND INCREASED OFFSHORE WEST AFRICA FOR SEMISUBMERSIBLE DRILLING RIGS, AND DAYRATES IN THE NORTH SEA CONTINUED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8" w:name="page9"/>
    <w:bookmarkEnd w:id="8"/>
    <w:p>
      <w:pPr>
        <w:ind w:right="1879"/>
        <w:spacing w:after="0" w:line="270" w:lineRule="auto"/>
        <w:rPr>
          <w:sz w:val="20"/>
          <w:szCs w:val="20"/>
          <w:color w:val="auto"/>
        </w:rPr>
      </w:pPr>
      <w:r>
        <w:rPr>
          <w:rFonts w:ascii="Courier New" w:cs="Courier New" w:eastAsia="Courier New" w:hAnsi="Courier New"/>
          <w:sz w:val="16"/>
          <w:szCs w:val="16"/>
          <w:color w:val="auto"/>
        </w:rPr>
        <w:t>TO CLIMB. COMPARED WITH THE FIRST QUARTER 1995, OUR AVERAGE OFFSHORE RIG UTILIZATION RATE INCREASED FROM 86% TO 93%. AT MARCH 31, 1996, OUR FLEET CONSISTED OF 77 RIGS: 33 LAND AND 44 OFFSHORE, NOW INCLUDING THE LAFFIT PINCAY AND ACTINIA, WHICH ARE OPERATED UNDER MANAGEMENT CONTRACTS. DURING THE QUARTER, MARINE SEISMIC STREAMER CAPACITY WAS INCREASED WITH SIGNIFICANT UPGRADES TO THE THREE VESSELS, GECO TOPAZ, SEISRANGER AND LONGVA. FOR LAND SEISMIC, STRONG BACKLOG EXISTS IN THE MIDDLE EAST WITH NEW OPERATIONS COMMENCING IN KUWAIT. LWD AND MWD TECHNOLOGIES CONTINUED THEIR DOUBLE-DIGIT GROWTH. SLIM1* MWD SERVICES ARE SUCCESSFULLY BEING USED TO ADDRESS THE GROWING REENTRY DRILLING MARKET. DIRECTIONAL DRILLING SERVICES GREW 51%. DRILLING FLUIDS CONTINUED TO GENERATE SUPERIOR RESULTS WHILE GAINING WIDE CLIENT ACCEPTANCE WITH VISPLEX* AND ULTIDRILL* FLUIDS. SOFTWARE PRODUCTS, INCLUDING NEWLY ACQUIRED RESERVOIR TECHNOLOGIES, INCREASED 33% OVER A VERY STRONG FIRST QUARTER LAST YEAR. GAINS ACHIEVED IN SOFTWARE PRODUCTS ARE DUE TO A COMBINATION OF NEW PRODUCT RELEASES AND INCREASED SHARE OF EXISTING MARKETS.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MEASUREMENT &amp; SYSTEMS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REVENUE WAS UP 5% FROM LAST YEAR REFLECTING CONTINUED STRONG GROWTH AT ELECTRONIC TRANSACTIONS AND AUTOMATIC TEST EQUIPMENT. ORDERS WERE IN LINE WITH LAST YEAR.</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MEASUREMENT &amp; SYSTEMS OPERATING INCOME WAS FLAT, DUE PRIMARILY TO HIGHER RESEARCH EXPENSES, ESPECIALLY AT ATE, COSTS ASSOCIATED WITH THE EXPANSION OF EXISTING PRODUCTS INTO NEW MARKETS AND PRESSURE ON PRICES.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ELECTRONIC TRANSACTIONS REVENUE WAS UP 16%, REFLECTING CONTINUED STRONG GROWTH OF SMART CARDS IN CHINA AND THE ACQUISITION OF DANYL, A UNITED STATES POINT-OF-SALE TERMINAL MANUFACTURER. THE FIRST DELIVERIES OF SMART CARDS WERE MADE FOR THE ATLANTA OLYMPICS, WHERE ELECTRONIC TRANSACTIONS IS THE MAJOR CARD SUPPLIER. ORDERS INCREASED 12%, REFLECTING EXPANDED CARD DEMAND, INCLUDING LARGE ORDERS FOR SUBSCRIBER IDENTITY MODULE (SIM) CARDS IN ASIA AND THE UNITED STATES. AUTOMATIC TEST EQUIPMENT EXPERIENCED REVENUE GROWTH OF 5%, REFLECTING HIGHER SHIPMENTS AT DIAGNOSTIC SYSTEMS, PARTICULARLY OF IDS10000* UNITS. ORDERS ROSE 14% WITH SIGNIFICANTLY STRONGER DEMAND AT TEST SYSTEMS AND AUTOMATED SYSTEMS. REVENUE IN OUR ELECTRICITY MANAGEMENT, WATER MANAGEMENT AND GAS MANAGEMENT BUSINESS INCREASED 2%, PRIMARILY DUE TO THE STRONG DEMAND FOR PREPAYMENT AND MULTIFUNCTION METERS IN THE UK, AEG ELECTROMECHANICAL METERS IN GERMANY, A MORE AGGRESSIVE REPLACEMENT POLICY FROM SERVICE COMPANIES IN THE FRENCH WATER METER ALLOCATION MARKET AND A RECOVERY OF GAS PRESSURE REGULATION STATIONS. ORDERS DECLINED 4% FROM THE PRIOR YEAR, REFLECTING STRONG PRICING PRESSURES.</w:t>
      </w:r>
    </w:p>
    <w:p>
      <w:pPr>
        <w:spacing w:after="0" w:line="200" w:lineRule="exact"/>
        <w:rPr>
          <w:sz w:val="20"/>
          <w:szCs w:val="20"/>
          <w:color w:val="auto"/>
        </w:rPr>
      </w:pP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AND OTHER INCOME DECREASED $7 MILLION FROM THE FIRST QUARTER OF 1995 PRIMARILY DUE TO THE DECLINING INTEREST RATES COMBINED WITH LOWER AVERAGE INVESTMENTS. GROSS MARGIN OF 24% REMAINED FLAT COMPARED WITH THE SAME QUARTER LAST YEAR. RESEARCH AND ENGINEERING EXPENSE INCREASED 7% FROM LAST YEAR BUT DECREASED TO 5.5% OF OPERATING REVENUE FROM 5.9% IN 1995. MARKETING EXPENSE WAS UP 11%. GENERAL EXPENSE, EXPRESSED AS A PERCENTAGE OF OPERATING REVENUE, DECREASED FROM 4.9% TO 4.2%. INTEREST EXPENSE DECREASED $3 MILLION, FROM THE FIRST QUARTER LAST YEAR AS THE DECLINE IN INTEREST RATES MORE THAN OFFSET SLIGHTLY HIGHER AVERAGE DEBT BALANCES.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OF SCHLUMBERGER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9" w:name="page10"/>
    <w:bookmarkEnd w:id="9"/>
    <w:p>
      <w:pPr>
        <w:ind w:left="2627"/>
        <w:spacing w:after="0"/>
        <w:tabs>
          <w:tab w:leader="none" w:pos="3666"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ind w:left="2627"/>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ITEM 4 : SUBMISSION OF MATTERS TO A VOTE OF SECURITY HOLDERS</w:t>
      </w:r>
    </w:p>
    <w:p>
      <w:pPr>
        <w:ind w:left="7"/>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7" w:right="2739" w:hanging="427"/>
        <w:spacing w:after="0" w:line="235" w:lineRule="auto"/>
        <w:tabs>
          <w:tab w:leader="none" w:pos="4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GENERAL MEETING OF STOCKHOLDERS OF THE REGISTRANT ("THE MEETING") WAS HELD ON APRIL 10, 1996.</w:t>
      </w:r>
    </w:p>
    <w:p>
      <w:pPr>
        <w:spacing w:after="0" w:line="208" w:lineRule="exact"/>
        <w:rPr>
          <w:rFonts w:ascii="Courier New" w:cs="Courier New" w:eastAsia="Courier New" w:hAnsi="Courier New"/>
          <w:sz w:val="18"/>
          <w:szCs w:val="18"/>
          <w:color w:val="auto"/>
        </w:rPr>
      </w:pPr>
    </w:p>
    <w:p>
      <w:pPr>
        <w:ind w:left="427" w:right="1779" w:hanging="427"/>
        <w:spacing w:after="0" w:line="272" w:lineRule="auto"/>
        <w:tabs>
          <w:tab w:leader="none" w:pos="42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MEETING, THE NUMBER OF DIRECTORS WAS FIXED AT 10 AND THE FOLLOWING-NAMED 10 INDIVIDUALS WERE ELECTED TO COMPRISE THE ENTIRE BOARD OF DIRECTORS OF THE REGISTRANT, EACH TO HOLD OFFICE UNTIL THE NEXT ANNUAL GENERAL MEETING OF STOCKHOLDERS AND UNTIL A DIRECTOR'S SUCCESSOR IS ELECTED AND QUALIFIED OR UNTIL A DIRECTOR'S DEATH, RESIGNATION OR REMOVAL. ALL OF THE NOMINEES WERE DIRECTORS WHO WERE PREVIOUSLY ELECTED BY THE STOCKHOLDERS.</w:t>
      </w:r>
    </w:p>
    <w:p>
      <w:pPr>
        <w:spacing w:after="0" w:line="180" w:lineRule="exact"/>
        <w:rPr>
          <w:sz w:val="20"/>
          <w:szCs w:val="20"/>
          <w:color w:val="auto"/>
        </w:rPr>
      </w:pPr>
    </w:p>
    <w:p>
      <w:pPr>
        <w:ind w:left="427"/>
        <w:spacing w:after="0"/>
        <w:rPr>
          <w:sz w:val="20"/>
          <w:szCs w:val="20"/>
          <w:color w:val="auto"/>
        </w:rPr>
      </w:pPr>
      <w:r>
        <w:rPr>
          <w:rFonts w:ascii="Courier New" w:cs="Courier New" w:eastAsia="Courier New" w:hAnsi="Courier New"/>
          <w:sz w:val="18"/>
          <w:szCs w:val="18"/>
          <w:color w:val="auto"/>
        </w:rPr>
        <w:t>DON E. ACKERMAN</w:t>
      </w:r>
    </w:p>
    <w:p>
      <w:pPr>
        <w:ind w:left="427"/>
        <w:spacing w:after="0" w:line="238" w:lineRule="auto"/>
        <w:rPr>
          <w:sz w:val="20"/>
          <w:szCs w:val="20"/>
          <w:color w:val="auto"/>
        </w:rPr>
      </w:pPr>
      <w:r>
        <w:rPr>
          <w:rFonts w:ascii="Courier New" w:cs="Courier New" w:eastAsia="Courier New" w:hAnsi="Courier New"/>
          <w:sz w:val="18"/>
          <w:szCs w:val="18"/>
          <w:color w:val="auto"/>
        </w:rPr>
        <w:t>D. EUAN BAIRD</w:t>
      </w:r>
    </w:p>
    <w:p>
      <w:pPr>
        <w:ind w:left="427"/>
        <w:spacing w:after="0"/>
        <w:rPr>
          <w:sz w:val="20"/>
          <w:szCs w:val="20"/>
          <w:color w:val="auto"/>
        </w:rPr>
      </w:pPr>
      <w:r>
        <w:rPr>
          <w:rFonts w:ascii="Courier New" w:cs="Courier New" w:eastAsia="Courier New" w:hAnsi="Courier New"/>
          <w:sz w:val="18"/>
          <w:szCs w:val="18"/>
          <w:color w:val="auto"/>
        </w:rPr>
        <w:t>DENYS HENDERSON</w:t>
      </w:r>
    </w:p>
    <w:p>
      <w:pPr>
        <w:ind w:left="427"/>
        <w:spacing w:after="0" w:line="237" w:lineRule="auto"/>
        <w:rPr>
          <w:sz w:val="20"/>
          <w:szCs w:val="20"/>
          <w:color w:val="auto"/>
        </w:rPr>
      </w:pPr>
      <w:r>
        <w:rPr>
          <w:rFonts w:ascii="Courier New" w:cs="Courier New" w:eastAsia="Courier New" w:hAnsi="Courier New"/>
          <w:sz w:val="18"/>
          <w:szCs w:val="18"/>
          <w:color w:val="auto"/>
        </w:rPr>
        <w:t>ANDRE LEVY-LANG</w:t>
      </w:r>
    </w:p>
    <w:p>
      <w:pPr>
        <w:ind w:left="427"/>
        <w:spacing w:after="0" w:line="238" w:lineRule="auto"/>
        <w:rPr>
          <w:sz w:val="20"/>
          <w:szCs w:val="20"/>
          <w:color w:val="auto"/>
        </w:rPr>
      </w:pPr>
      <w:r>
        <w:rPr>
          <w:rFonts w:ascii="Courier New" w:cs="Courier New" w:eastAsia="Courier New" w:hAnsi="Courier New"/>
          <w:sz w:val="18"/>
          <w:szCs w:val="18"/>
          <w:color w:val="auto"/>
        </w:rPr>
        <w:t>WILLIAM T. MCCORMICK, JR.</w:t>
      </w:r>
    </w:p>
    <w:p>
      <w:pPr>
        <w:ind w:left="427"/>
        <w:spacing w:after="0"/>
        <w:rPr>
          <w:sz w:val="20"/>
          <w:szCs w:val="20"/>
          <w:color w:val="auto"/>
        </w:rPr>
      </w:pPr>
      <w:r>
        <w:rPr>
          <w:rFonts w:ascii="Courier New" w:cs="Courier New" w:eastAsia="Courier New" w:hAnsi="Courier New"/>
          <w:sz w:val="18"/>
          <w:szCs w:val="18"/>
          <w:color w:val="auto"/>
        </w:rPr>
        <w:t>DIDIER PRIMAT</w:t>
      </w:r>
    </w:p>
    <w:p>
      <w:pPr>
        <w:ind w:left="427"/>
        <w:spacing w:after="0" w:line="237" w:lineRule="auto"/>
        <w:rPr>
          <w:sz w:val="20"/>
          <w:szCs w:val="20"/>
          <w:color w:val="auto"/>
        </w:rPr>
      </w:pPr>
      <w:r>
        <w:rPr>
          <w:rFonts w:ascii="Courier New" w:cs="Courier New" w:eastAsia="Courier New" w:hAnsi="Courier New"/>
          <w:sz w:val="18"/>
          <w:szCs w:val="18"/>
          <w:color w:val="auto"/>
        </w:rPr>
        <w:t>NICOLAS SEYDOUX</w:t>
      </w:r>
    </w:p>
    <w:p>
      <w:pPr>
        <w:ind w:left="427"/>
        <w:spacing w:after="0"/>
        <w:rPr>
          <w:sz w:val="20"/>
          <w:szCs w:val="20"/>
          <w:color w:val="auto"/>
        </w:rPr>
      </w:pPr>
      <w:r>
        <w:rPr>
          <w:rFonts w:ascii="Courier New" w:cs="Courier New" w:eastAsia="Courier New" w:hAnsi="Courier New"/>
          <w:sz w:val="18"/>
          <w:szCs w:val="18"/>
          <w:color w:val="auto"/>
        </w:rPr>
        <w:t>LINDA GILLESPIE STUNTZ</w:t>
      </w:r>
    </w:p>
    <w:p>
      <w:pPr>
        <w:ind w:left="427"/>
        <w:spacing w:after="0" w:line="237" w:lineRule="auto"/>
        <w:rPr>
          <w:sz w:val="20"/>
          <w:szCs w:val="20"/>
          <w:color w:val="auto"/>
        </w:rPr>
      </w:pPr>
      <w:r>
        <w:rPr>
          <w:rFonts w:ascii="Courier New" w:cs="Courier New" w:eastAsia="Courier New" w:hAnsi="Courier New"/>
          <w:sz w:val="18"/>
          <w:szCs w:val="18"/>
          <w:color w:val="auto"/>
        </w:rPr>
        <w:t>SVEN ULLRING</w:t>
      </w:r>
    </w:p>
    <w:p>
      <w:pPr>
        <w:ind w:left="427"/>
        <w:spacing w:after="0"/>
        <w:rPr>
          <w:sz w:val="20"/>
          <w:szCs w:val="20"/>
          <w:color w:val="auto"/>
        </w:rPr>
      </w:pPr>
      <w:r>
        <w:rPr>
          <w:rFonts w:ascii="Courier New" w:cs="Courier New" w:eastAsia="Courier New" w:hAnsi="Courier New"/>
          <w:sz w:val="18"/>
          <w:szCs w:val="18"/>
          <w:color w:val="auto"/>
        </w:rPr>
        <w:t>EIJI UMENE</w:t>
      </w:r>
    </w:p>
    <w:p>
      <w:pPr>
        <w:spacing w:after="0" w:line="206" w:lineRule="exact"/>
        <w:rPr>
          <w:sz w:val="20"/>
          <w:szCs w:val="20"/>
          <w:color w:val="auto"/>
        </w:rPr>
      </w:pPr>
    </w:p>
    <w:p>
      <w:pPr>
        <w:ind w:left="427" w:right="1779" w:hanging="427"/>
        <w:spacing w:after="0" w:line="237" w:lineRule="auto"/>
        <w:tabs>
          <w:tab w:leader="none" w:pos="4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ELECTION OF DIRECTORS, THE MEETING VOTED TO APPROVE THE COMPANY'S CONSOLIDATED BALANCE SHEET AS AT DECEMBER 31, 1995, AND ITS CONSOLIDATED STATEMENT OF INCOME FOR THE YEAR ENDED DECEMBER 31, 1995 AND THE DECLARATION OF DIVIDENDS REFLECTED IN THE COMPANY'S 1995 ANNUAL REPORT TO STOCKHOLDERS AND TO APPROVE THE APPOINTMENT OF PRICE WATERHOUSE AS INDEPENDENT PUBLIC ACCOUNTANTS TO AUDIT THE ACCOUNTS OF THE COMPANY FOR THE YEAR 1996.</w:t>
      </w:r>
    </w:p>
    <w:p>
      <w:pPr>
        <w:spacing w:after="0" w:line="211" w:lineRule="exact"/>
        <w:rPr>
          <w:sz w:val="20"/>
          <w:szCs w:val="20"/>
          <w:color w:val="auto"/>
        </w:rPr>
      </w:pPr>
    </w:p>
    <w:p>
      <w:pPr>
        <w:jc w:val="both"/>
        <w:ind w:left="427" w:right="2319" w:firstLine="527"/>
        <w:spacing w:after="0" w:line="236" w:lineRule="auto"/>
        <w:rPr>
          <w:sz w:val="20"/>
          <w:szCs w:val="20"/>
          <w:color w:val="auto"/>
        </w:rPr>
      </w:pPr>
      <w:r>
        <w:rPr>
          <w:rFonts w:ascii="Courier New" w:cs="Courier New" w:eastAsia="Courier New" w:hAnsi="Courier New"/>
          <w:sz w:val="18"/>
          <w:szCs w:val="18"/>
          <w:color w:val="auto"/>
        </w:rPr>
        <w:t>THE VOTES CAST FOR THE ELECTION OF DIRECTORS, FOR THE APPROVAL OF FINANCIAL STATEMENTS, AND FOR THE APPROVAL OF THE APPOINTMENT OF PRICE WATERHOUSE WERE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27" w:type="dxa"/>
        <w:tblCellMar>
          <w:top w:w="0" w:type="dxa"/>
          <w:left w:w="0" w:type="dxa"/>
          <w:bottom w:w="0" w:type="dxa"/>
          <w:right w:w="0" w:type="dxa"/>
        </w:tblCellMar>
      </w:tblPr>
      <w:tr>
        <w:trPr>
          <w:trHeight w:val="204"/>
        </w:trPr>
        <w:tc>
          <w:tcPr>
            <w:tcW w:w="2840" w:type="dxa"/>
            <w:vAlign w:val="bottom"/>
          </w:tcPr>
          <w:p>
            <w:pPr>
              <w:spacing w:after="0"/>
              <w:rPr>
                <w:sz w:val="17"/>
                <w:szCs w:val="17"/>
                <w:color w:val="auto"/>
              </w:rPr>
            </w:pPr>
          </w:p>
        </w:tc>
        <w:tc>
          <w:tcPr>
            <w:tcW w:w="1940" w:type="dxa"/>
            <w:vAlign w:val="bottom"/>
          </w:tcPr>
          <w:p>
            <w:pPr>
              <w:ind w:left="640"/>
              <w:spacing w:after="0"/>
              <w:rPr>
                <w:sz w:val="20"/>
                <w:szCs w:val="20"/>
                <w:color w:val="auto"/>
              </w:rPr>
            </w:pPr>
            <w:r>
              <w:rPr>
                <w:rFonts w:ascii="Courier New" w:cs="Courier New" w:eastAsia="Courier New" w:hAnsi="Courier New"/>
                <w:sz w:val="18"/>
                <w:szCs w:val="18"/>
                <w:color w:val="auto"/>
              </w:rPr>
              <w:t>FOR</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WITHHELD</w:t>
            </w:r>
          </w:p>
        </w:tc>
      </w:tr>
      <w:tr>
        <w:trPr>
          <w:trHeight w:val="203"/>
        </w:trPr>
        <w:tc>
          <w:tcPr>
            <w:tcW w:w="2840" w:type="dxa"/>
            <w:vAlign w:val="bottom"/>
          </w:tcPr>
          <w:p>
            <w:pPr>
              <w:spacing w:after="0"/>
              <w:rPr>
                <w:sz w:val="17"/>
                <w:szCs w:val="17"/>
                <w:color w:val="auto"/>
              </w:rPr>
            </w:pPr>
          </w:p>
        </w:tc>
        <w:tc>
          <w:tcPr>
            <w:tcW w:w="19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40" w:type="dxa"/>
            <w:vAlign w:val="bottom"/>
          </w:tcPr>
          <w:p>
            <w:pPr>
              <w:spacing w:after="0"/>
              <w:rPr>
                <w:sz w:val="20"/>
                <w:szCs w:val="20"/>
                <w:color w:val="auto"/>
              </w:rPr>
            </w:pPr>
            <w:r>
              <w:rPr>
                <w:rFonts w:ascii="Courier New" w:cs="Courier New" w:eastAsia="Courier New" w:hAnsi="Courier New"/>
                <w:sz w:val="18"/>
                <w:szCs w:val="18"/>
                <w:color w:val="auto"/>
              </w:rPr>
              <w:t>DON E. ACKERMAN</w:t>
            </w:r>
          </w:p>
        </w:tc>
        <w:tc>
          <w:tcPr>
            <w:tcW w:w="194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209,398,180</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439,042</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D. EUAN BAIRD</w:t>
            </w:r>
          </w:p>
        </w:tc>
        <w:tc>
          <w:tcPr>
            <w:tcW w:w="19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209,444,748</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392,474</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DENYS HENDERSON</w:t>
            </w:r>
          </w:p>
        </w:tc>
        <w:tc>
          <w:tcPr>
            <w:tcW w:w="19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209,474,093</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363,129</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ANDRE LEVY-LANG</w:t>
            </w:r>
          </w:p>
        </w:tc>
        <w:tc>
          <w:tcPr>
            <w:tcW w:w="19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208,296,306</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1,540,916</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T. MCCORMICK, JR.</w:t>
            </w:r>
          </w:p>
        </w:tc>
        <w:tc>
          <w:tcPr>
            <w:tcW w:w="19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209,492,337</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344,885</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DIDIER PRIMAT</w:t>
            </w:r>
          </w:p>
        </w:tc>
        <w:tc>
          <w:tcPr>
            <w:tcW w:w="19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209,502,097</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335,125</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NICOLAS SEYDOUX</w:t>
            </w:r>
          </w:p>
        </w:tc>
        <w:tc>
          <w:tcPr>
            <w:tcW w:w="19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209,490,815</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346,407</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LINDA GILLESPIE STUNTZ</w:t>
            </w:r>
          </w:p>
        </w:tc>
        <w:tc>
          <w:tcPr>
            <w:tcW w:w="19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209,437,598</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399,624</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SVEN ULLRING</w:t>
            </w:r>
          </w:p>
        </w:tc>
        <w:tc>
          <w:tcPr>
            <w:tcW w:w="19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209,482,288</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354,934</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EIJI UMENE</w:t>
            </w:r>
          </w:p>
        </w:tc>
        <w:tc>
          <w:tcPr>
            <w:tcW w:w="19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209,147,097</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690,125</w:t>
            </w:r>
          </w:p>
        </w:tc>
      </w:tr>
      <w:tr>
        <w:trPr>
          <w:trHeight w:val="608"/>
        </w:trPr>
        <w:tc>
          <w:tcPr>
            <w:tcW w:w="2840" w:type="dxa"/>
            <w:vAlign w:val="bottom"/>
          </w:tcPr>
          <w:p>
            <w:pPr>
              <w:spacing w:after="0"/>
              <w:rPr>
                <w:sz w:val="24"/>
                <w:szCs w:val="24"/>
                <w:color w:val="auto"/>
              </w:rPr>
            </w:pPr>
          </w:p>
        </w:tc>
        <w:tc>
          <w:tcPr>
            <w:tcW w:w="194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2"/>
              </w:rPr>
              <w:t>-9-</w:t>
            </w:r>
          </w:p>
        </w:tc>
        <w:tc>
          <w:tcPr>
            <w:tcW w:w="1540" w:type="dxa"/>
            <w:vAlign w:val="bottom"/>
          </w:tcPr>
          <w:p>
            <w:pPr>
              <w:spacing w:after="0"/>
              <w:rPr>
                <w:sz w:val="24"/>
                <w:szCs w:val="24"/>
                <w:color w:val="auto"/>
              </w:rPr>
            </w:pPr>
          </w:p>
        </w:tc>
      </w:tr>
    </w:tbl>
    <w:p>
      <w:pPr>
        <w:sectPr>
          <w:pgSz w:w="11900" w:h="16838" w:orient="portrait"/>
          <w:cols w:equalWidth="0" w:num="1">
            <w:col w:w="10106"/>
          </w:cols>
          <w:pgMar w:left="353" w:top="717"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15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FOR</w:t>
            </w:r>
          </w:p>
        </w:tc>
        <w:tc>
          <w:tcPr>
            <w:tcW w:w="1160" w:type="dxa"/>
            <w:vAlign w:val="bottom"/>
          </w:tcPr>
          <w:p>
            <w:pPr>
              <w:ind w:left="260"/>
              <w:spacing w:after="0"/>
              <w:rPr>
                <w:sz w:val="20"/>
                <w:szCs w:val="20"/>
                <w:color w:val="auto"/>
              </w:rPr>
            </w:pPr>
            <w:r>
              <w:rPr>
                <w:rFonts w:ascii="Courier New" w:cs="Courier New" w:eastAsia="Courier New" w:hAnsi="Courier New"/>
                <w:sz w:val="18"/>
                <w:szCs w:val="18"/>
                <w:color w:val="auto"/>
              </w:rPr>
              <w:t>AGAINST</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ABSTAIN</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NON-VOTE</w:t>
            </w:r>
          </w:p>
        </w:tc>
      </w:tr>
      <w:tr>
        <w:trPr>
          <w:trHeight w:val="203"/>
        </w:trPr>
        <w:tc>
          <w:tcPr>
            <w:tcW w:w="1960" w:type="dxa"/>
            <w:vAlign w:val="bottom"/>
          </w:tcPr>
          <w:p>
            <w:pPr>
              <w:spacing w:after="0"/>
              <w:rPr>
                <w:sz w:val="17"/>
                <w:szCs w:val="17"/>
                <w:color w:val="auto"/>
              </w:rPr>
            </w:pPr>
          </w:p>
        </w:tc>
        <w:tc>
          <w:tcPr>
            <w:tcW w:w="15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FINANCIALS:</w:t>
            </w:r>
          </w:p>
        </w:tc>
        <w:tc>
          <w:tcPr>
            <w:tcW w:w="15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200,735,977</w:t>
            </w:r>
          </w:p>
        </w:tc>
        <w:tc>
          <w:tcPr>
            <w:tcW w:w="1160" w:type="dxa"/>
            <w:vAlign w:val="bottom"/>
          </w:tcPr>
          <w:p>
            <w:pPr>
              <w:ind w:left="260"/>
              <w:spacing w:after="0"/>
              <w:rPr>
                <w:sz w:val="20"/>
                <w:szCs w:val="20"/>
                <w:color w:val="auto"/>
              </w:rPr>
            </w:pPr>
            <w:r>
              <w:rPr>
                <w:rFonts w:ascii="Courier New" w:cs="Courier New" w:eastAsia="Courier New" w:hAnsi="Courier New"/>
                <w:sz w:val="18"/>
                <w:szCs w:val="18"/>
                <w:color w:val="auto"/>
              </w:rPr>
              <w:t>226,796</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6"/>
              </w:rPr>
              <w:t>8,302,317</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572,132</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PRICE WATERHOUSE:</w:t>
            </w:r>
          </w:p>
        </w:tc>
        <w:tc>
          <w:tcPr>
            <w:tcW w:w="15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204,073,513</w:t>
            </w:r>
          </w:p>
        </w:tc>
        <w:tc>
          <w:tcPr>
            <w:tcW w:w="1160" w:type="dxa"/>
            <w:vAlign w:val="bottom"/>
          </w:tcPr>
          <w:p>
            <w:pPr>
              <w:ind w:left="260"/>
              <w:spacing w:after="0"/>
              <w:rPr>
                <w:sz w:val="20"/>
                <w:szCs w:val="20"/>
                <w:color w:val="auto"/>
              </w:rPr>
            </w:pPr>
            <w:r>
              <w:rPr>
                <w:rFonts w:ascii="Courier New" w:cs="Courier New" w:eastAsia="Courier New" w:hAnsi="Courier New"/>
                <w:sz w:val="18"/>
                <w:szCs w:val="18"/>
                <w:color w:val="auto"/>
              </w:rPr>
              <w:t>182,829</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6"/>
              </w:rPr>
              <w:t>5,580,880</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- 0 -</w:t>
            </w:r>
          </w:p>
        </w:tc>
      </w:tr>
    </w:tbl>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ITEM 6 : EXHIBITS AND REPORTS ON FORM 8-K</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  NONE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  NONE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20" w:right="1879" w:firstLine="632"/>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 AND IN HIS CAPACITY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80"/>
        <w:spacing w:after="0"/>
        <w:rPr>
          <w:sz w:val="20"/>
          <w:szCs w:val="20"/>
          <w:color w:val="auto"/>
        </w:rPr>
      </w:pPr>
      <w:r>
        <w:rPr>
          <w:rFonts w:ascii="Courier New" w:cs="Courier New" w:eastAsia="Courier New" w:hAnsi="Courier New"/>
          <w:sz w:val="18"/>
          <w:szCs w:val="18"/>
          <w:color w:val="auto"/>
        </w:rPr>
        <w:t>SCHLUMBERGER LIMITED</w:t>
      </w:r>
    </w:p>
    <w:p>
      <w:pPr>
        <w:jc w:val="center"/>
        <w:ind w:right="-98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280"/>
        <w:spacing w:after="0"/>
        <w:rPr>
          <w:sz w:val="20"/>
          <w:szCs w:val="20"/>
          <w:color w:val="auto"/>
        </w:rPr>
      </w:pPr>
      <w:r>
        <w:rPr>
          <w:rFonts w:ascii="Courier New" w:cs="Courier New" w:eastAsia="Courier New" w:hAnsi="Courier New"/>
          <w:sz w:val="16"/>
          <w:szCs w:val="16"/>
          <w:color w:val="auto"/>
        </w:rPr>
        <w:t>DATE: MAY 15, 1996</w:t>
      </w:r>
    </w:p>
    <w:p>
      <w:pPr>
        <w:spacing w:after="0" w:line="16" w:lineRule="exact"/>
        <w:rPr>
          <w:sz w:val="20"/>
          <w:szCs w:val="20"/>
          <w:color w:val="auto"/>
        </w:rPr>
      </w:pPr>
    </w:p>
    <w:p>
      <w:pPr>
        <w:jc w:val="right"/>
        <w:ind w:right="128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ARTHUR LINDENAUER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ARTHUR LINDENAUER</w:t>
      </w:r>
    </w:p>
    <w:p>
      <w:pPr>
        <w:spacing w:after="0"/>
        <w:tabs>
          <w:tab w:leader="none" w:pos="2940" w:val="left"/>
        </w:tabs>
        <w:rPr>
          <w:sz w:val="20"/>
          <w:szCs w:val="20"/>
          <w:color w:val="auto"/>
        </w:rPr>
      </w:pPr>
      <w:r>
        <w:rPr>
          <w:rFonts w:ascii="Courier New" w:cs="Courier New" w:eastAsia="Courier New" w:hAnsi="Courier New"/>
          <w:sz w:val="18"/>
          <w:szCs w:val="18"/>
          <w:color w:val="auto"/>
        </w:rPr>
        <w:t>EXECUTIVE VICE PRESIDENT -</w:t>
      </w:r>
      <w:r>
        <w:rPr>
          <w:sz w:val="20"/>
          <w:szCs w:val="20"/>
          <w:color w:val="auto"/>
        </w:rPr>
        <w:tab/>
      </w:r>
      <w:r>
        <w:rPr>
          <w:rFonts w:ascii="Courier New" w:cs="Courier New" w:eastAsia="Courier New" w:hAnsi="Courier New"/>
          <w:sz w:val="16"/>
          <w:szCs w:val="16"/>
          <w:color w:val="auto"/>
        </w:rPr>
        <w:t>FINANCE</w:t>
      </w:r>
    </w:p>
    <w:p>
      <w:pPr>
        <w:ind w:left="32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ectPr>
          <w:pgSz w:w="11900" w:h="16838" w:orient="portrait"/>
          <w:cols w:equalWidth="0" w:num="2">
            <w:col w:w="3180" w:space="720"/>
            <w:col w:w="6319"/>
          </w:cols>
          <w:pgMar w:left="240" w:top="717" w:right="1440" w:bottom="1440" w:gutter="0" w:footer="0" w:header="0"/>
          <w:type w:val="continuous"/>
        </w:sectPr>
      </w:pP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717" w:right="1440" w:bottom="1440" w:gutter="0" w:footer="0" w:header="0"/>
          <w:type w:val="continuous"/>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079"/>
        <w:spacing w:after="0" w:line="290" w:lineRule="auto"/>
        <w:rPr>
          <w:sz w:val="20"/>
          <w:szCs w:val="20"/>
          <w:color w:val="auto"/>
        </w:rPr>
      </w:pPr>
      <w:r>
        <w:rPr>
          <w:rFonts w:ascii="Courier New" w:cs="Courier New" w:eastAsia="Courier New" w:hAnsi="Courier New"/>
          <w:sz w:val="16"/>
          <w:szCs w:val="16"/>
          <w:color w:val="auto"/>
        </w:rPr>
        <w:t>THIS SCHEDULE CONTAINS SUMMARY FINANCIAL INFORMATION EXTRACTED FROM FORM 10-Q AND IS QUALIFIED IN ITS ENTIRETY BY REFERENCE TO SUCH FINANCIAL STATEMENTS.</w:t>
      </w:r>
    </w:p>
    <w:p>
      <w:pPr>
        <w:spacing w:after="0" w:line="164"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DEC-31-1996</w:t>
      </w:r>
    </w:p>
    <w:p>
      <w:pPr>
        <w:ind w:left="3020"/>
        <w:spacing w:after="0"/>
        <w:rPr>
          <w:sz w:val="20"/>
          <w:szCs w:val="20"/>
          <w:color w:val="auto"/>
        </w:rPr>
      </w:pPr>
      <w:r>
        <w:rPr>
          <w:rFonts w:ascii="Courier New" w:cs="Courier New" w:eastAsia="Courier New" w:hAnsi="Courier New"/>
          <w:sz w:val="18"/>
          <w:szCs w:val="18"/>
          <w:color w:val="auto"/>
        </w:rPr>
        <w:t>JAN-01-1996</w:t>
      </w:r>
    </w:p>
    <w:p>
      <w:pPr>
        <w:ind w:left="3240"/>
        <w:spacing w:after="0" w:line="237" w:lineRule="auto"/>
        <w:rPr>
          <w:sz w:val="20"/>
          <w:szCs w:val="20"/>
          <w:color w:val="auto"/>
        </w:rPr>
      </w:pPr>
      <w:r>
        <w:rPr>
          <w:rFonts w:ascii="Courier New" w:cs="Courier New" w:eastAsia="Courier New" w:hAnsi="Courier New"/>
          <w:sz w:val="18"/>
          <w:szCs w:val="18"/>
          <w:color w:val="auto"/>
        </w:rPr>
        <w:t>MAR-31-1996</w:t>
      </w:r>
    </w:p>
    <w:p>
      <w:pPr>
        <w:ind w:left="4080"/>
        <w:spacing w:after="0" w:line="238" w:lineRule="auto"/>
        <w:rPr>
          <w:sz w:val="20"/>
          <w:szCs w:val="20"/>
          <w:color w:val="auto"/>
        </w:rPr>
      </w:pPr>
      <w:r>
        <w:rPr>
          <w:rFonts w:ascii="Courier New" w:cs="Courier New" w:eastAsia="Courier New" w:hAnsi="Courier New"/>
          <w:sz w:val="18"/>
          <w:szCs w:val="18"/>
          <w:color w:val="auto"/>
        </w:rPr>
        <w:t>1,025,814</w:t>
      </w:r>
    </w:p>
    <w:p>
      <w:pPr>
        <w:ind w:left="4280"/>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2,048,904</w:t>
      </w:r>
    </w:p>
    <w:p>
      <w:pPr>
        <w:ind w:left="3540"/>
        <w:spacing w:after="0"/>
        <w:rPr>
          <w:sz w:val="20"/>
          <w:szCs w:val="20"/>
          <w:color w:val="auto"/>
        </w:rPr>
      </w:pPr>
      <w:r>
        <w:rPr>
          <w:rFonts w:ascii="Courier New" w:cs="Courier New" w:eastAsia="Courier New" w:hAnsi="Courier New"/>
          <w:sz w:val="18"/>
          <w:szCs w:val="18"/>
          <w:color w:val="auto"/>
        </w:rPr>
        <w:t>(59,999)</w:t>
      </w:r>
    </w:p>
    <w:p>
      <w:pPr>
        <w:ind w:left="3760"/>
        <w:spacing w:after="0" w:line="237" w:lineRule="auto"/>
        <w:rPr>
          <w:sz w:val="20"/>
          <w:szCs w:val="20"/>
          <w:color w:val="auto"/>
        </w:rPr>
      </w:pPr>
      <w:r>
        <w:rPr>
          <w:rFonts w:ascii="Courier New" w:cs="Courier New" w:eastAsia="Courier New" w:hAnsi="Courier New"/>
          <w:sz w:val="18"/>
          <w:szCs w:val="18"/>
          <w:color w:val="auto"/>
        </w:rPr>
        <w:t>870,121</w:t>
      </w:r>
    </w:p>
    <w:p>
      <w:pPr>
        <w:ind w:left="3020"/>
        <w:spacing w:after="0"/>
        <w:rPr>
          <w:sz w:val="20"/>
          <w:szCs w:val="20"/>
          <w:color w:val="auto"/>
        </w:rPr>
      </w:pPr>
      <w:r>
        <w:rPr>
          <w:rFonts w:ascii="Courier New" w:cs="Courier New" w:eastAsia="Courier New" w:hAnsi="Courier New"/>
          <w:sz w:val="18"/>
          <w:szCs w:val="18"/>
          <w:color w:val="auto"/>
        </w:rPr>
        <w:t>4,094,591</w:t>
      </w:r>
    </w:p>
    <w:p>
      <w:pPr>
        <w:ind w:left="4080"/>
        <w:spacing w:after="0" w:line="237" w:lineRule="auto"/>
        <w:rPr>
          <w:sz w:val="20"/>
          <w:szCs w:val="20"/>
          <w:color w:val="auto"/>
        </w:rPr>
      </w:pPr>
      <w:r>
        <w:rPr>
          <w:rFonts w:ascii="Courier New" w:cs="Courier New" w:eastAsia="Courier New" w:hAnsi="Courier New"/>
          <w:sz w:val="18"/>
          <w:szCs w:val="18"/>
          <w:color w:val="auto"/>
        </w:rPr>
        <w:t>9,198,441</w:t>
      </w:r>
    </w:p>
    <w:p>
      <w:pPr>
        <w:ind w:left="3020"/>
        <w:spacing w:after="0" w:line="238" w:lineRule="auto"/>
        <w:rPr>
          <w:sz w:val="20"/>
          <w:szCs w:val="20"/>
          <w:color w:val="auto"/>
        </w:rPr>
      </w:pPr>
      <w:r>
        <w:rPr>
          <w:rFonts w:ascii="Courier New" w:cs="Courier New" w:eastAsia="Courier New" w:hAnsi="Courier New"/>
          <w:sz w:val="18"/>
          <w:szCs w:val="18"/>
          <w:color w:val="auto"/>
        </w:rPr>
        <w:t>(6,089,214)</w:t>
      </w:r>
    </w:p>
    <w:p>
      <w:pPr>
        <w:ind w:left="3240"/>
        <w:spacing w:after="0"/>
        <w:rPr>
          <w:sz w:val="20"/>
          <w:szCs w:val="20"/>
          <w:color w:val="auto"/>
        </w:rPr>
      </w:pPr>
      <w:r>
        <w:rPr>
          <w:rFonts w:ascii="Courier New" w:cs="Courier New" w:eastAsia="Courier New" w:hAnsi="Courier New"/>
          <w:sz w:val="18"/>
          <w:szCs w:val="18"/>
          <w:color w:val="auto"/>
        </w:rPr>
        <w:t>8,958,121</w:t>
      </w:r>
    </w:p>
    <w:p>
      <w:pPr>
        <w:ind w:left="2500"/>
        <w:spacing w:after="0" w:line="237" w:lineRule="auto"/>
        <w:rPr>
          <w:sz w:val="20"/>
          <w:szCs w:val="20"/>
          <w:color w:val="auto"/>
        </w:rPr>
      </w:pPr>
      <w:r>
        <w:rPr>
          <w:rFonts w:ascii="Courier New" w:cs="Courier New" w:eastAsia="Courier New" w:hAnsi="Courier New"/>
          <w:sz w:val="18"/>
          <w:szCs w:val="18"/>
          <w:color w:val="auto"/>
        </w:rPr>
        <w:t>2,739,850</w:t>
      </w:r>
    </w:p>
    <w:p>
      <w:pPr>
        <w:jc w:val="center"/>
        <w:ind w:right="45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080"/>
        <w:spacing w:after="0" w:line="237" w:lineRule="auto"/>
        <w:rPr>
          <w:sz w:val="20"/>
          <w:szCs w:val="20"/>
          <w:color w:val="auto"/>
        </w:rPr>
      </w:pPr>
      <w:r>
        <w:rPr>
          <w:rFonts w:ascii="Courier New" w:cs="Courier New" w:eastAsia="Courier New" w:hAnsi="Courier New"/>
          <w:sz w:val="18"/>
          <w:szCs w:val="18"/>
          <w:color w:val="auto"/>
        </w:rPr>
        <w:t>753,621</w:t>
      </w:r>
    </w:p>
    <w:p>
      <w:pPr>
        <w:ind w:left="3660"/>
        <w:spacing w:after="0" w:line="238" w:lineRule="auto"/>
        <w:rPr>
          <w:sz w:val="20"/>
          <w:szCs w:val="20"/>
          <w:color w:val="auto"/>
        </w:rPr>
      </w:pPr>
      <w:r>
        <w:rPr>
          <w:rFonts w:ascii="Courier New" w:cs="Courier New" w:eastAsia="Courier New" w:hAnsi="Courier New"/>
          <w:sz w:val="18"/>
          <w:szCs w:val="18"/>
          <w:color w:val="auto"/>
        </w:rPr>
        <w:t>4,334,184</w:t>
      </w:r>
    </w:p>
    <w:p>
      <w:pPr>
        <w:ind w:left="1760"/>
        <w:spacing w:after="0"/>
        <w:rPr>
          <w:sz w:val="20"/>
          <w:szCs w:val="20"/>
          <w:color w:val="auto"/>
        </w:rPr>
      </w:pPr>
      <w:r>
        <w:rPr>
          <w:rFonts w:ascii="Courier New" w:cs="Courier New" w:eastAsia="Courier New" w:hAnsi="Courier New"/>
          <w:sz w:val="18"/>
          <w:szCs w:val="18"/>
          <w:color w:val="auto"/>
        </w:rPr>
        <w:t>8,958,121</w:t>
      </w:r>
    </w:p>
    <w:p>
      <w:pPr>
        <w:ind w:left="4180"/>
        <w:spacing w:after="0" w:line="237" w:lineRule="auto"/>
        <w:rPr>
          <w:sz w:val="20"/>
          <w:szCs w:val="20"/>
          <w:color w:val="auto"/>
        </w:rPr>
      </w:pPr>
      <w:r>
        <w:rPr>
          <w:rFonts w:ascii="Courier New" w:cs="Courier New" w:eastAsia="Courier New" w:hAnsi="Courier New"/>
          <w:sz w:val="18"/>
          <w:szCs w:val="18"/>
          <w:color w:val="auto"/>
        </w:rPr>
        <w:t>576,385</w:t>
      </w:r>
    </w:p>
    <w:p>
      <w:pPr>
        <w:ind w:left="3020"/>
        <w:spacing w:after="0"/>
        <w:rPr>
          <w:sz w:val="20"/>
          <w:szCs w:val="20"/>
          <w:color w:val="auto"/>
        </w:rPr>
      </w:pPr>
      <w:r>
        <w:rPr>
          <w:rFonts w:ascii="Courier New" w:cs="Courier New" w:eastAsia="Courier New" w:hAnsi="Courier New"/>
          <w:sz w:val="18"/>
          <w:szCs w:val="18"/>
          <w:color w:val="auto"/>
        </w:rPr>
        <w:t>2,045,198</w:t>
      </w:r>
    </w:p>
    <w:p>
      <w:pPr>
        <w:ind w:left="4400"/>
        <w:spacing w:after="0" w:line="237" w:lineRule="auto"/>
        <w:rPr>
          <w:sz w:val="20"/>
          <w:szCs w:val="20"/>
          <w:color w:val="auto"/>
        </w:rPr>
      </w:pPr>
      <w:r>
        <w:rPr>
          <w:rFonts w:ascii="Courier New" w:cs="Courier New" w:eastAsia="Courier New" w:hAnsi="Courier New"/>
          <w:sz w:val="18"/>
          <w:szCs w:val="18"/>
          <w:color w:val="auto"/>
        </w:rPr>
        <w:t>394,389</w:t>
      </w:r>
    </w:p>
    <w:p>
      <w:pPr>
        <w:ind w:left="3340"/>
        <w:spacing w:after="0"/>
        <w:rPr>
          <w:sz w:val="20"/>
          <w:szCs w:val="20"/>
          <w:color w:val="auto"/>
        </w:rPr>
      </w:pPr>
      <w:r>
        <w:rPr>
          <w:rFonts w:ascii="Courier New" w:cs="Courier New" w:eastAsia="Courier New" w:hAnsi="Courier New"/>
          <w:sz w:val="18"/>
          <w:szCs w:val="18"/>
          <w:color w:val="auto"/>
        </w:rPr>
        <w:t>1,155,214</w:t>
      </w:r>
    </w:p>
    <w:p>
      <w:pPr>
        <w:ind w:left="3240"/>
        <w:spacing w:after="0" w:line="237" w:lineRule="auto"/>
        <w:rPr>
          <w:sz w:val="20"/>
          <w:szCs w:val="20"/>
          <w:color w:val="auto"/>
        </w:rPr>
      </w:pPr>
      <w:r>
        <w:rPr>
          <w:rFonts w:ascii="Courier New" w:cs="Courier New" w:eastAsia="Courier New" w:hAnsi="Courier New"/>
          <w:sz w:val="18"/>
          <w:szCs w:val="18"/>
          <w:color w:val="auto"/>
        </w:rPr>
        <w:t>269,248</w:t>
      </w:r>
    </w:p>
    <w:p>
      <w:pPr>
        <w:ind w:left="3860"/>
        <w:spacing w:after="0"/>
        <w:rPr>
          <w:sz w:val="20"/>
          <w:szCs w:val="20"/>
          <w:color w:val="auto"/>
        </w:rPr>
      </w:pPr>
      <w:r>
        <w:rPr>
          <w:rFonts w:ascii="Courier New" w:cs="Courier New" w:eastAsia="Courier New" w:hAnsi="Courier New"/>
          <w:sz w:val="18"/>
          <w:szCs w:val="18"/>
          <w:color w:val="auto"/>
        </w:rPr>
        <w:t>0</w:t>
      </w:r>
    </w:p>
    <w:p>
      <w:pPr>
        <w:ind w:left="3120"/>
        <w:spacing w:after="0" w:line="237" w:lineRule="auto"/>
        <w:rPr>
          <w:sz w:val="20"/>
          <w:szCs w:val="20"/>
          <w:color w:val="auto"/>
        </w:rPr>
      </w:pPr>
      <w:r>
        <w:rPr>
          <w:rFonts w:ascii="Courier New" w:cs="Courier New" w:eastAsia="Courier New" w:hAnsi="Courier New"/>
          <w:sz w:val="18"/>
          <w:szCs w:val="18"/>
          <w:color w:val="auto"/>
        </w:rPr>
        <w:t>17,343</w:t>
      </w:r>
    </w:p>
    <w:p>
      <w:pPr>
        <w:ind w:left="3340"/>
        <w:spacing w:after="0" w:line="238" w:lineRule="auto"/>
        <w:rPr>
          <w:sz w:val="20"/>
          <w:szCs w:val="20"/>
          <w:color w:val="auto"/>
        </w:rPr>
      </w:pPr>
      <w:r>
        <w:rPr>
          <w:rFonts w:ascii="Courier New" w:cs="Courier New" w:eastAsia="Courier New" w:hAnsi="Courier New"/>
          <w:sz w:val="18"/>
          <w:szCs w:val="18"/>
          <w:color w:val="auto"/>
        </w:rPr>
        <w:t>209,004</w:t>
      </w:r>
    </w:p>
    <w:p>
      <w:pPr>
        <w:ind w:left="3760"/>
        <w:spacing w:after="0"/>
        <w:rPr>
          <w:sz w:val="20"/>
          <w:szCs w:val="20"/>
          <w:color w:val="auto"/>
        </w:rPr>
      </w:pPr>
      <w:r>
        <w:rPr>
          <w:rFonts w:ascii="Courier New" w:cs="Courier New" w:eastAsia="Courier New" w:hAnsi="Courier New"/>
          <w:sz w:val="18"/>
          <w:szCs w:val="18"/>
          <w:color w:val="auto"/>
        </w:rPr>
        <w:t>38,137</w:t>
      </w:r>
    </w:p>
    <w:p>
      <w:pPr>
        <w:ind w:left="2920"/>
        <w:spacing w:after="0" w:line="237" w:lineRule="auto"/>
        <w:rPr>
          <w:sz w:val="20"/>
          <w:szCs w:val="20"/>
          <w:color w:val="auto"/>
        </w:rPr>
      </w:pPr>
      <w:r>
        <w:rPr>
          <w:rFonts w:ascii="Courier New" w:cs="Courier New" w:eastAsia="Courier New" w:hAnsi="Courier New"/>
          <w:sz w:val="18"/>
          <w:szCs w:val="18"/>
          <w:color w:val="auto"/>
        </w:rPr>
        <w:t>170,867</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170,867</w:t>
      </w:r>
    </w:p>
    <w:p>
      <w:pPr>
        <w:ind w:left="3860"/>
        <w:spacing w:after="0" w:line="238" w:lineRule="auto"/>
        <w:rPr>
          <w:sz w:val="20"/>
          <w:szCs w:val="20"/>
          <w:color w:val="auto"/>
        </w:rPr>
      </w:pPr>
      <w:r>
        <w:rPr>
          <w:rFonts w:ascii="Courier New" w:cs="Courier New" w:eastAsia="Courier New" w:hAnsi="Courier New"/>
          <w:sz w:val="18"/>
          <w:szCs w:val="18"/>
          <w:color w:val="auto"/>
        </w:rPr>
        <w:t>0.70</w:t>
      </w:r>
    </w:p>
    <w:p>
      <w:pPr>
        <w:ind w:left="3860"/>
        <w:spacing w:after="0"/>
        <w:rPr>
          <w:sz w:val="20"/>
          <w:szCs w:val="20"/>
          <w:color w:val="auto"/>
        </w:rPr>
      </w:pPr>
      <w:r>
        <w:rPr>
          <w:rFonts w:ascii="Courier New" w:cs="Courier New" w:eastAsia="Courier New" w:hAnsi="Courier New"/>
          <w:sz w:val="18"/>
          <w:szCs w:val="18"/>
          <w:color w:val="auto"/>
        </w:rPr>
        <w:t>0.70</w:t>
      </w:r>
    </w:p>
    <w:sectPr>
      <w:pgSz w:w="11900" w:h="16838" w:orient="portrait"/>
      <w:cols w:equalWidth="0" w:num="1">
        <w:col w:w="10179"/>
      </w:cols>
      <w:pgMar w:left="2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upperLetter"/>
      <w:start w:val="1"/>
    </w:lvl>
  </w:abstractNum>
  <w:abstractNum w:abstractNumId="4">
    <w:nsid w:val="3D1B58BA"/>
    <w:multiLevelType w:val="hybridMultilevel"/>
    <w:lvl w:ilvl="0">
      <w:lvlJc w:val="left"/>
      <w:lvlText w:val="(%1)"/>
      <w:numFmt w:val="upperLetter"/>
      <w:start w:val="3"/>
    </w:lvl>
  </w:abstractNum>
  <w:abstractNum w:abstractNumId="5">
    <w:nsid w:val="507ED7A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2019-12-13T06:50:01Z</dcterms:created>
  <dcterms:modified xsi:type="dcterms:W3CDTF">2019-12-13T06:50:01Z</dcterms:modified>
</cp:coreProperties>
</file>