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jc w:val="center"/>
        <w:ind w:right="3212"/>
        <w:spacing w:after="0"/>
        <w:rPr>
          <w:sz w:val="20"/>
          <w:szCs w:val="20"/>
          <w:color w:val="auto"/>
        </w:rPr>
      </w:pPr>
      <w:r>
        <w:rPr>
          <w:rFonts w:ascii="Courier New" w:cs="Courier New" w:eastAsia="Courier New" w:hAnsi="Courier New"/>
          <w:sz w:val="15"/>
          <w:szCs w:val="15"/>
          <w:color w:val="auto"/>
        </w:rPr>
        <w:t>UNITED STATES</w:t>
      </w:r>
    </w:p>
    <w:p>
      <w:pPr>
        <w:spacing w:after="0" w:line="33"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WASHINGTON, D.C. 20549</w:t>
      </w:r>
    </w:p>
    <w:p>
      <w:pPr>
        <w:spacing w:after="0" w:line="152"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33" w:lineRule="exact"/>
        <w:rPr>
          <w:sz w:val="24"/>
          <w:szCs w:val="24"/>
          <w:color w:val="auto"/>
        </w:rPr>
      </w:pPr>
    </w:p>
    <w:p>
      <w:pPr>
        <w:jc w:val="center"/>
        <w:ind w:right="3132"/>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52"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the Registrant [X]</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180" w:lineRule="exact"/>
        <w:rPr>
          <w:sz w:val="24"/>
          <w:szCs w:val="24"/>
          <w:color w:val="auto"/>
        </w:rPr>
      </w:pPr>
    </w:p>
    <w:p>
      <w:pPr>
        <w:ind w:left="7"/>
        <w:spacing w:after="0"/>
        <w:tabs>
          <w:tab w:leader="none" w:pos="426" w:val="left"/>
          <w:tab w:leader="none" w:pos="3706" w:val="left"/>
          <w:tab w:leader="none" w:pos="4166" w:val="left"/>
        </w:tabs>
        <w:rPr>
          <w:sz w:val="20"/>
          <w:szCs w:val="20"/>
          <w:color w:val="auto"/>
        </w:rPr>
      </w:pPr>
      <w:r>
        <w:rPr>
          <w:rFonts w:ascii="Courier New" w:cs="Courier New" w:eastAsia="Courier New" w:hAnsi="Courier New"/>
          <w:sz w:val="15"/>
          <w:szCs w:val="15"/>
          <w:color w:val="auto"/>
        </w:rPr>
        <w:t>[X]</w:t>
        <w:tab/>
        <w:t>Preliminary Proxy Statement</w:t>
      </w:r>
      <w:r>
        <w:rPr>
          <w:sz w:val="20"/>
          <w:szCs w:val="20"/>
          <w:color w:val="auto"/>
        </w:rPr>
        <w:tab/>
      </w:r>
      <w:r>
        <w:rPr>
          <w:rFonts w:ascii="Courier New" w:cs="Courier New" w:eastAsia="Courier New" w:hAnsi="Courier New"/>
          <w:sz w:val="15"/>
          <w:szCs w:val="15"/>
          <w:color w:val="auto"/>
        </w:rPr>
        <w:t>[_]</w:t>
        <w:tab/>
        <w:t>CONFIDENTIAL, FOR USE OF THE</w:t>
      </w:r>
    </w:p>
    <w:p>
      <w:pPr>
        <w:spacing w:after="0" w:line="33" w:lineRule="exact"/>
        <w:rPr>
          <w:sz w:val="24"/>
          <w:szCs w:val="24"/>
          <w:color w:val="auto"/>
        </w:rPr>
      </w:pPr>
    </w:p>
    <w:p>
      <w:pPr>
        <w:ind w:left="4187"/>
        <w:spacing w:after="0"/>
        <w:rPr>
          <w:sz w:val="20"/>
          <w:szCs w:val="20"/>
          <w:color w:val="auto"/>
        </w:rPr>
      </w:pPr>
      <w:r>
        <w:rPr>
          <w:rFonts w:ascii="Courier New" w:cs="Courier New" w:eastAsia="Courier New" w:hAnsi="Courier New"/>
          <w:sz w:val="15"/>
          <w:szCs w:val="15"/>
          <w:color w:val="auto"/>
        </w:rPr>
        <w:t>COMMISSION ONLY (AS PERMITTED BY</w:t>
      </w:r>
    </w:p>
    <w:p>
      <w:pPr>
        <w:spacing w:after="0" w:line="5" w:lineRule="exact"/>
        <w:rPr>
          <w:sz w:val="24"/>
          <w:szCs w:val="24"/>
          <w:color w:val="auto"/>
        </w:rPr>
      </w:pPr>
    </w:p>
    <w:p>
      <w:pPr>
        <w:ind w:left="4187"/>
        <w:spacing w:after="0"/>
        <w:rPr>
          <w:sz w:val="20"/>
          <w:szCs w:val="20"/>
          <w:color w:val="auto"/>
        </w:rPr>
      </w:pPr>
      <w:r>
        <w:rPr>
          <w:rFonts w:ascii="Courier New" w:cs="Courier New" w:eastAsia="Courier New" w:hAnsi="Courier New"/>
          <w:sz w:val="15"/>
          <w:szCs w:val="15"/>
          <w:color w:val="auto"/>
        </w:rPr>
        <w:t>RULE 14A-6(E)(2))</w:t>
      </w:r>
    </w:p>
    <w:p>
      <w:pPr>
        <w:spacing w:after="0" w:line="152"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Definitive Proxy Statement</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Definitive Additional Materials</w:t>
      </w:r>
    </w:p>
    <w:p>
      <w:pPr>
        <w:spacing w:after="0" w:line="180" w:lineRule="exact"/>
        <w:rPr>
          <w:sz w:val="24"/>
          <w:szCs w:val="24"/>
          <w:color w:val="auto"/>
        </w:rPr>
      </w:pPr>
    </w:p>
    <w:p>
      <w:pPr>
        <w:jc w:val="center"/>
        <w:ind w:right="2952"/>
        <w:spacing w:after="0"/>
        <w:tabs>
          <w:tab w:leader="none" w:pos="160" w:val="left"/>
        </w:tabs>
        <w:rPr>
          <w:sz w:val="20"/>
          <w:szCs w:val="20"/>
          <w:color w:val="auto"/>
        </w:rPr>
      </w:pPr>
      <w:r>
        <w:rPr>
          <w:rFonts w:ascii="Courier New" w:cs="Courier New" w:eastAsia="Courier New" w:hAnsi="Courier New"/>
          <w:sz w:val="15"/>
          <w:szCs w:val="15"/>
          <w:color w:val="auto"/>
        </w:rPr>
        <w:t>[_]</w:t>
        <w:tab/>
        <w:t>Soliciting Material Pursuant to Section 240.14a-11(c) or Section 240.14a-12</w:t>
      </w:r>
    </w:p>
    <w:p>
      <w:pPr>
        <w:spacing w:after="0" w:line="180"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Schlumberger, Ltd.</w:t>
      </w:r>
    </w:p>
    <w:p>
      <w:pPr>
        <w:spacing w:after="0" w:line="33"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26"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326"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computed on table below per Exchange Act Rules 14a-6(i)(4) and 0-11.</w:t>
      </w:r>
    </w:p>
    <w:p>
      <w:pPr>
        <w:spacing w:after="0" w:line="354" w:lineRule="exact"/>
        <w:rPr>
          <w:sz w:val="24"/>
          <w:szCs w:val="24"/>
          <w:color w:val="auto"/>
        </w:rPr>
      </w:pPr>
    </w:p>
    <w:p>
      <w:pPr>
        <w:ind w:left="827" w:hanging="372"/>
        <w:spacing w:after="0"/>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right="3499" w:hanging="372"/>
        <w:spacing w:after="0" w:line="30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47"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827" w:hanging="372"/>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paid previously with preliminary materials.</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w:t>
      </w:r>
    </w:p>
    <w:p>
      <w:pPr>
        <w:spacing w:after="0" w:line="33" w:lineRule="exact"/>
        <w:rPr>
          <w:sz w:val="24"/>
          <w:szCs w:val="24"/>
          <w:color w:val="auto"/>
        </w:rPr>
      </w:pPr>
    </w:p>
    <w:p>
      <w:pPr>
        <w:ind w:left="447" w:right="2959"/>
        <w:spacing w:after="0" w:line="287"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62" w:lineRule="exact"/>
        <w:rPr>
          <w:sz w:val="24"/>
          <w:szCs w:val="24"/>
          <w:color w:val="auto"/>
        </w:rPr>
      </w:pPr>
    </w:p>
    <w:p>
      <w:pPr>
        <w:ind w:left="827" w:hanging="372"/>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731" w:right="1440" w:bottom="0" w:gutter="0" w:footer="0" w:header="0"/>
        </w:sectPr>
      </w:pPr>
    </w:p>
    <w:bookmarkStart w:id="1" w:name="page2"/>
    <w:bookmarkEnd w:id="1"/>
    <w:p>
      <w:pPr>
        <w:ind w:left="820" w:hanging="372"/>
        <w:spacing w:after="0"/>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19"/>
          </w:cols>
          <w:pgMar w:left="240" w:top="288" w:right="1440" w:bottom="1440" w:gutter="0" w:footer="0" w:header="0"/>
        </w:sectPr>
      </w:pPr>
    </w:p>
    <w:bookmarkStart w:id="2" w:name="page3"/>
    <w:bookmarkEnd w:id="2"/>
    <w:p>
      <w:pPr>
        <w:ind w:left="7"/>
        <w:spacing w:after="0"/>
        <w:rPr>
          <w:sz w:val="20"/>
          <w:szCs w:val="20"/>
          <w:color w:val="auto"/>
        </w:rPr>
      </w:pPr>
      <w:r>
        <w:rPr>
          <w:rFonts w:ascii="Courier New" w:cs="Courier New" w:eastAsia="Courier New" w:hAnsi="Courier New"/>
          <w:sz w:val="15"/>
          <w:szCs w:val="15"/>
          <w:color w:val="auto"/>
        </w:rPr>
        <w:t>SCHLUMBERGER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Schlumberger Limited</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New York, New York 10172-0266</w:t>
      </w:r>
    </w:p>
    <w:p>
      <w:pPr>
        <w:spacing w:after="0" w:line="152"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42, rue Saint-Dominique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75007 Paris, France</w:t>
      </w:r>
    </w:p>
    <w:p>
      <w:pPr>
        <w:spacing w:after="0" w:line="152"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Parkstraat 83,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2514 JG The Hague,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Netherlands</w:t>
      </w:r>
    </w:p>
    <w:p>
      <w:pPr>
        <w:spacing w:after="0" w:line="152"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To Be Held April 14, 1999</w:t>
      </w:r>
    </w:p>
    <w:p>
      <w:pPr>
        <w:spacing w:after="0" w:line="180"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March 10, 1999</w:t>
      </w:r>
    </w:p>
    <w:p>
      <w:pPr>
        <w:spacing w:after="0" w:line="180" w:lineRule="exact"/>
        <w:rPr>
          <w:sz w:val="20"/>
          <w:szCs w:val="20"/>
          <w:color w:val="auto"/>
        </w:rPr>
      </w:pPr>
    </w:p>
    <w:p>
      <w:pPr>
        <w:ind w:left="7" w:right="3499" w:firstLine="182"/>
        <w:spacing w:after="0" w:line="287"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14, 1999 at 10:30 in the morning (Curacao time), for the following purposes:</w:t>
      </w:r>
    </w:p>
    <w:p>
      <w:pPr>
        <w:spacing w:after="0" w:line="61" w:lineRule="exact"/>
        <w:rPr>
          <w:sz w:val="20"/>
          <w:szCs w:val="20"/>
          <w:color w:val="auto"/>
        </w:rPr>
      </w:pPr>
    </w:p>
    <w:p>
      <w:pPr>
        <w:ind w:left="367" w:hanging="367"/>
        <w:spacing w:after="0"/>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9" w:lineRule="exact"/>
        <w:rPr>
          <w:rFonts w:ascii="Courier New" w:cs="Courier New" w:eastAsia="Courier New" w:hAnsi="Courier New"/>
          <w:sz w:val="15"/>
          <w:szCs w:val="15"/>
          <w:color w:val="auto"/>
        </w:rPr>
      </w:pPr>
    </w:p>
    <w:p>
      <w:pPr>
        <w:ind w:left="367" w:right="3139" w:hanging="367"/>
        <w:spacing w:after="0" w:line="277"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report on the course of business during the year ended December 31, 1998, to approve the Company's Consolidated Balance Sheet as at December 31, 1998, its Consolidated Statement of Income for the year ended December 31, 1998, and the declaration of dividends by the Board of Directors as reflected in the Company's 1998 Annual Report to Stockholders.</w:t>
      </w:r>
    </w:p>
    <w:p>
      <w:pPr>
        <w:spacing w:after="0" w:line="68" w:lineRule="exact"/>
        <w:rPr>
          <w:rFonts w:ascii="Courier New" w:cs="Courier New" w:eastAsia="Courier New" w:hAnsi="Courier New"/>
          <w:sz w:val="15"/>
          <w:szCs w:val="15"/>
          <w:color w:val="auto"/>
        </w:rPr>
      </w:pPr>
    </w:p>
    <w:p>
      <w:pPr>
        <w:ind w:left="367" w:right="3419" w:hanging="367"/>
        <w:spacing w:after="0" w:line="368"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PricewaterhouseCoopers LLP as independent public accountants to audit the accounts of the Company for 1999.</w:t>
      </w:r>
    </w:p>
    <w:p>
      <w:pPr>
        <w:spacing w:after="0" w:line="3" w:lineRule="exact"/>
        <w:rPr>
          <w:sz w:val="20"/>
          <w:szCs w:val="20"/>
          <w:color w:val="auto"/>
        </w:rPr>
      </w:pPr>
    </w:p>
    <w:p>
      <w:pPr>
        <w:ind w:left="7" w:right="3219"/>
        <w:spacing w:after="0" w:line="368"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3" w:lineRule="exact"/>
        <w:rPr>
          <w:sz w:val="20"/>
          <w:szCs w:val="20"/>
          <w:color w:val="auto"/>
        </w:rPr>
      </w:pPr>
    </w:p>
    <w:p>
      <w:pPr>
        <w:ind w:left="7" w:right="3139" w:firstLine="182"/>
        <w:spacing w:after="0" w:line="307" w:lineRule="auto"/>
        <w:rPr>
          <w:sz w:val="20"/>
          <w:szCs w:val="20"/>
          <w:color w:val="auto"/>
        </w:rPr>
      </w:pPr>
      <w:r>
        <w:rPr>
          <w:rFonts w:ascii="Courier New" w:cs="Courier New" w:eastAsia="Courier New" w:hAnsi="Courier New"/>
          <w:sz w:val="15"/>
          <w:szCs w:val="15"/>
          <w:color w:val="auto"/>
        </w:rPr>
        <w:t>The close of business on February 24, 1999 has been fixed as the record date for the Meeting. All holders of Common Stock of record at that time are entitled to vote at the Meeting.</w:t>
      </w:r>
    </w:p>
    <w:p>
      <w:pPr>
        <w:spacing w:after="0" w:line="47"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By order of the Board of</w:t>
      </w:r>
    </w:p>
    <w:p>
      <w:pPr>
        <w:spacing w:after="0" w:line="33"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Directors,</w:t>
      </w:r>
    </w:p>
    <w:p>
      <w:pPr>
        <w:spacing w:after="0" w:line="152"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JAMES L. GUNDERSON</w:t>
      </w:r>
    </w:p>
    <w:p>
      <w:pPr>
        <w:spacing w:after="0" w:line="33"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26"/>
          </w:cols>
          <w:pgMar w:left="233" w:top="789" w:right="1440"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March 10, 1999</w:t>
      </w:r>
    </w:p>
    <w:p>
      <w:pPr>
        <w:spacing w:after="0" w:line="180" w:lineRule="exact"/>
        <w:rPr>
          <w:sz w:val="20"/>
          <w:szCs w:val="20"/>
          <w:color w:val="auto"/>
        </w:rPr>
      </w:pPr>
    </w:p>
    <w:p>
      <w:pPr>
        <w:ind w:right="3139" w:firstLine="182"/>
        <w:spacing w:after="0" w:line="262" w:lineRule="auto"/>
        <w:rPr>
          <w:sz w:val="20"/>
          <w:szCs w:val="20"/>
          <w:color w:val="auto"/>
        </w:rPr>
      </w:pPr>
      <w:r>
        <w:rPr>
          <w:rFonts w:ascii="Courier New" w:cs="Courier New" w:eastAsia="Courier New" w:hAnsi="Courier New"/>
          <w:sz w:val="15"/>
          <w:szCs w:val="15"/>
          <w:color w:val="auto"/>
        </w:rPr>
        <w:t>This statement is furnished in connection with the solicitation by the Board of Directors of Schlumberger Limited (Schlumberger N.V.) (the "Company") of proxies to be voted at the 1999 Annual General Meeting of Stockholders (the "Meeting"). The approximate mailing date of this Proxy Statement is March 10, 1999. Business at the Meeting is conducted in accordance with the procedures determined by the presiding officer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78" w:lineRule="exact"/>
        <w:rPr>
          <w:sz w:val="20"/>
          <w:szCs w:val="20"/>
          <w:color w:val="auto"/>
        </w:rPr>
      </w:pPr>
    </w:p>
    <w:p>
      <w:pPr>
        <w:ind w:right="3139" w:firstLine="182"/>
        <w:spacing w:after="0" w:line="271" w:lineRule="auto"/>
        <w:rPr>
          <w:sz w:val="20"/>
          <w:szCs w:val="20"/>
          <w:color w:val="auto"/>
        </w:rPr>
      </w:pPr>
      <w:r>
        <w:rPr>
          <w:rFonts w:ascii="Courier New" w:cs="Courier New" w:eastAsia="Courier New" w:hAnsi="Courier New"/>
          <w:sz w:val="15"/>
          <w:szCs w:val="15"/>
          <w:color w:val="auto"/>
        </w:rPr>
        <w:t>The Company's 1998 Annual Report to Stockholders (the "Report") has been mailed under separate cover. The Company's Consolidated Balance Sheet as at December 31, 1998, its Consolidated Statement of Income for the year ended December 31, 1998 and the supplemental financial information with respect to dividends included in the Report are incorporated by reference as part of this proxy soliciting material.</w:t>
      </w:r>
    </w:p>
    <w:p>
      <w:pPr>
        <w:spacing w:after="0" w:line="72" w:lineRule="exact"/>
        <w:rPr>
          <w:sz w:val="20"/>
          <w:szCs w:val="20"/>
          <w:color w:val="auto"/>
        </w:rPr>
      </w:pPr>
    </w:p>
    <w:p>
      <w:pPr>
        <w:ind w:right="3219" w:firstLine="182"/>
        <w:spacing w:after="0" w:line="267" w:lineRule="auto"/>
        <w:rPr>
          <w:sz w:val="20"/>
          <w:szCs w:val="20"/>
          <w:color w:val="auto"/>
        </w:rPr>
      </w:pPr>
      <w:r>
        <w:rPr>
          <w:rFonts w:ascii="Courier New" w:cs="Courier New" w:eastAsia="Courier New" w:hAnsi="Courier New"/>
          <w:sz w:val="15"/>
          <w:szCs w:val="15"/>
          <w:color w:val="auto"/>
        </w:rPr>
        <w:t>The Company will bear the cost of furnishing proxy material to all stockholders and of soliciting proxies by mail and telephone. D. F. King &amp; Co., Inc. has been retained by the Company to assist in the solicitation of proxies for a fee estimated at $9,500 plus reasonable expenses. The Company will reimburse brokerage firms, fiduciaries and custodians for their reasonable expenses in forwarding the solicitation material to the beneficial owners.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80" w:lineRule="exact"/>
        <w:rPr>
          <w:sz w:val="20"/>
          <w:szCs w:val="20"/>
          <w:color w:val="auto"/>
        </w:rPr>
      </w:pPr>
    </w:p>
    <w:p>
      <w:pPr>
        <w:ind w:right="3219" w:firstLine="182"/>
        <w:spacing w:after="0" w:line="287" w:lineRule="auto"/>
        <w:rPr>
          <w:sz w:val="20"/>
          <w:szCs w:val="20"/>
          <w:color w:val="auto"/>
        </w:rPr>
      </w:pPr>
      <w:r>
        <w:rPr>
          <w:rFonts w:ascii="Courier New" w:cs="Courier New" w:eastAsia="Courier New" w:hAnsi="Courier New"/>
          <w:sz w:val="15"/>
          <w:szCs w:val="15"/>
          <w:color w:val="auto"/>
        </w:rPr>
        <w:t>Each stockholder of record at the close of business on February 24, 1999 is entitled to one vote for each share registered in such stockholder's name. On that date there were 546,364,592 outstanding shares of Common Stock of the Company (excluding 119,338,446 shares held in treasury).</w:t>
      </w:r>
    </w:p>
    <w:p>
      <w:pPr>
        <w:spacing w:after="0" w:line="61" w:lineRule="exact"/>
        <w:rPr>
          <w:sz w:val="20"/>
          <w:szCs w:val="20"/>
          <w:color w:val="auto"/>
        </w:rPr>
      </w:pPr>
    </w:p>
    <w:p>
      <w:pPr>
        <w:ind w:right="3139" w:firstLine="182"/>
        <w:spacing w:after="0" w:line="277"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68" w:lineRule="exact"/>
        <w:rPr>
          <w:sz w:val="20"/>
          <w:szCs w:val="20"/>
          <w:color w:val="auto"/>
        </w:rPr>
      </w:pPr>
    </w:p>
    <w:p>
      <w:pPr>
        <w:ind w:right="3139" w:firstLine="182"/>
        <w:spacing w:after="0" w:line="264"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15"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1. Election of Directors</w:t>
      </w:r>
    </w:p>
    <w:p>
      <w:pPr>
        <w:spacing w:after="0" w:line="180" w:lineRule="exact"/>
        <w:rPr>
          <w:sz w:val="20"/>
          <w:szCs w:val="20"/>
          <w:color w:val="auto"/>
        </w:rPr>
      </w:pPr>
    </w:p>
    <w:p>
      <w:pPr>
        <w:ind w:right="3139" w:firstLine="182"/>
        <w:spacing w:after="0" w:line="262" w:lineRule="auto"/>
        <w:rPr>
          <w:sz w:val="20"/>
          <w:szCs w:val="20"/>
          <w:color w:val="auto"/>
        </w:rPr>
      </w:pPr>
      <w:r>
        <w:rPr>
          <w:rFonts w:ascii="Courier New" w:cs="Courier New" w:eastAsia="Courier New" w:hAnsi="Courier New"/>
          <w:sz w:val="15"/>
          <w:szCs w:val="15"/>
          <w:color w:val="auto"/>
        </w:rPr>
        <w:t>It is intended to fix the number of directors at 12 and to elect a Board of 12 directors,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78" w:lineRule="exact"/>
        <w:rPr>
          <w:sz w:val="20"/>
          <w:szCs w:val="20"/>
          <w:color w:val="auto"/>
        </w:rPr>
      </w:pPr>
    </w:p>
    <w:p>
      <w:pPr>
        <w:ind w:right="3319" w:firstLine="182"/>
        <w:spacing w:after="0" w:line="368"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80" w:lineRule="exact"/>
        <w:rPr>
          <w:sz w:val="20"/>
          <w:szCs w:val="20"/>
          <w:color w:val="auto"/>
        </w:rPr>
      </w:pPr>
    </w:p>
    <w:p>
      <w:pPr>
        <w:ind w:right="3319" w:firstLine="182"/>
        <w:spacing w:after="0" w:line="307" w:lineRule="auto"/>
        <w:rPr>
          <w:sz w:val="20"/>
          <w:szCs w:val="20"/>
          <w:color w:val="auto"/>
        </w:rPr>
      </w:pPr>
      <w:r>
        <w:rPr>
          <w:rFonts w:ascii="Courier New" w:cs="Courier New" w:eastAsia="Courier New" w:hAnsi="Courier New"/>
          <w:sz w:val="15"/>
          <w:szCs w:val="15"/>
          <w:color w:val="auto"/>
        </w:rPr>
        <w:t>The Board of Directors' nominees for election to the Board, together with information furnished by them with respect to their business experience, and other information regarding them, are set forth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ind w:left="2440"/>
              <w:spacing w:after="0"/>
              <w:rPr>
                <w:sz w:val="20"/>
                <w:szCs w:val="20"/>
                <w:color w:val="auto"/>
              </w:rPr>
            </w:pPr>
            <w:r>
              <w:rPr>
                <w:rFonts w:ascii="Courier New" w:cs="Courier New" w:eastAsia="Courier New" w:hAnsi="Courier New"/>
                <w:sz w:val="15"/>
                <w:szCs w:val="15"/>
                <w:color w:val="auto"/>
              </w:rPr>
              <w:t>Nominee, Age and</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Director</w:t>
            </w:r>
          </w:p>
        </w:tc>
        <w:tc>
          <w:tcPr>
            <w:tcW w:w="0" w:type="dxa"/>
            <w:vAlign w:val="bottom"/>
          </w:tcPr>
          <w:p>
            <w:pPr>
              <w:spacing w:after="0"/>
              <w:rPr>
                <w:sz w:val="1"/>
                <w:szCs w:val="1"/>
                <w:color w:val="auto"/>
              </w:rPr>
            </w:pPr>
          </w:p>
        </w:tc>
      </w:tr>
      <w:tr>
        <w:trPr>
          <w:trHeight w:val="175"/>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Five-Year Business Experience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56"/>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60" w:type="dxa"/>
            <w:vAlign w:val="bottom"/>
          </w:tcPr>
          <w:p>
            <w:pPr>
              <w:spacing w:after="0"/>
              <w:rPr>
                <w:sz w:val="20"/>
                <w:szCs w:val="20"/>
                <w:color w:val="auto"/>
              </w:rPr>
            </w:pPr>
            <w:r>
              <w:rPr>
                <w:rFonts w:ascii="Courier New" w:cs="Courier New" w:eastAsia="Courier New" w:hAnsi="Courier New"/>
                <w:sz w:val="15"/>
                <w:szCs w:val="15"/>
                <w:color w:val="auto"/>
              </w:rPr>
              <w:t>DON E. ACKERMAN, 65; Private Investor since 1991 (1).................</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1982</w:t>
            </w: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 EUAN BAIRD, 61; Chairman and Chief Executive Officer since October</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1986</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1986 (2)............................................................</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JOHN DEUTCH, 60; Institute Professor, Massachusetts Institute of</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Technology, Cambridge, Massachusetts since January 1997; Director of</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U.S. Central Intelligence May 1995 to December 1996; Deputy</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Secretary of Defense April 1994 to May 1995; Under Secretary of</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Defense (Acquisition and Technology) March 1993 to 1994; Institute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Professor, Provost 1985-1990 and Dean of Science 1982-1985,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Massachusetts Institute of Technology; Director of Schlumberger</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Limited, May 1987 to 1993 (3).......................................</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VICTOR E. GRIJALVA, 60; Vice Chairman since April 1998; Executive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Oilfield Services from 1994 to April 1998; from 1992</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to 1994, Executive Vice President for Wireline, Testing &amp; Anadrill..</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DENYS HENDERSON, 66; Chairman, The Rank Group Plc., a diversified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leisure services concern, since March 1995; Chairman, Dalgety PLC,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January 1997 through December 31, 1998; Chairman, Zeneca Group PLC,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June 1993 to May 1995; Chairman, Imperial Chemical Industries PLC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("ICI"), June 1993 through April 1995; Chairman and Chief Executive</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6"/>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officer, ICI, April 1987 to June 1993, all in the United Kingdom ...</w:t>
            </w: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6360" w:type="dxa"/>
            <w:vAlign w:val="bottom"/>
          </w:tcPr>
          <w:p>
            <w:pPr>
              <w:ind w:left="3540"/>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5" w:name="page6"/>
    <w:bookmarkEnd w:id="5"/>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360" w:type="dxa"/>
            <w:vAlign w:val="bottom"/>
          </w:tcPr>
          <w:p>
            <w:pPr>
              <w:ind w:left="2440"/>
              <w:spacing w:after="0"/>
              <w:rPr>
                <w:sz w:val="20"/>
                <w:szCs w:val="20"/>
                <w:color w:val="auto"/>
              </w:rPr>
            </w:pPr>
            <w:r>
              <w:rPr>
                <w:rFonts w:ascii="Courier New" w:cs="Courier New" w:eastAsia="Courier New" w:hAnsi="Courier New"/>
                <w:sz w:val="15"/>
                <w:szCs w:val="15"/>
                <w:color w:val="auto"/>
              </w:rPr>
              <w:t>Nominee, Age and</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Director</w:t>
            </w:r>
          </w:p>
        </w:tc>
        <w:tc>
          <w:tcPr>
            <w:tcW w:w="0" w:type="dxa"/>
            <w:vAlign w:val="bottom"/>
          </w:tcPr>
          <w:p>
            <w:pPr>
              <w:spacing w:after="0"/>
              <w:rPr>
                <w:sz w:val="1"/>
                <w:szCs w:val="1"/>
                <w:color w:val="auto"/>
              </w:rPr>
            </w:pPr>
          </w:p>
        </w:tc>
      </w:tr>
      <w:tr>
        <w:trPr>
          <w:trHeight w:val="175"/>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Five-Year Business Experience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56"/>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60" w:type="dxa"/>
            <w:vAlign w:val="bottom"/>
          </w:tcPr>
          <w:p>
            <w:pPr>
              <w:spacing w:after="0"/>
              <w:rPr>
                <w:sz w:val="20"/>
                <w:szCs w:val="20"/>
                <w:color w:val="auto"/>
              </w:rPr>
            </w:pPr>
            <w:r>
              <w:rPr>
                <w:rFonts w:ascii="Courier New" w:cs="Courier New" w:eastAsia="Courier New" w:hAnsi="Courier New"/>
                <w:sz w:val="15"/>
                <w:szCs w:val="15"/>
                <w:color w:val="auto"/>
              </w:rPr>
              <w:t>ANDRE LEVY-LANG, 61; Chairman of the Executive Board of Paribas, an</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international banking group, since May 1998; Chairman of the Board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 Management of Compagnie Financiere de Paribas, an international</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banking group, from June 1990 until May 1998; Chairman of the Board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 Management of Banque Paribas, a subsidiary of Compagnie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Financiere de Paribas, from 1991 until May 1998; Chairman of the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Board of Management of Compagnie Bancaire 1989 to 1993; Chairman of</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the Supervisory Board of Compagnie Bancaire from 1993 until May</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1998, all in Paris. In May 1998, Compagnie Financiere de Paribas,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Banque Paribas and Compagnie Bancaire merged to become Paribas, the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new entity of which he is now Chairman of the Executive Board.</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WILLIAM T. McCORMICK, JR., 54; Chairman and Chief Executive Officer,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CMS Energy Corp., a diversified energy company, Dearborn, Michigan</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DIDIER PRIMAT, 54; President, Primwest Holding N.V., an investment</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management company, Curacao, N.A. (6)...............................</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NICOLAS SEYDOUX, 59; Chairman and Chief Executive Officer, Gaumont, a</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1982</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French film- making enterprise, Paris (6)...........................</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LINDA GILLESPIE STUNTZ, 44; Partner, law firm of Stuntz, Davis &amp;</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Staffier P.C., Washington, D.C., since February 1995; Partner, law</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firm of Van Ness Feldman, P.C., Washington, D.C. March 1993 to</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February 1995 (7)...................................................</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SVEN ULLRING, 63; President and Chief Executive Officer, Det Norske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Veritas which provides safety, quality and reliability services to</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maritime, offshore and other industries, Hovik, Norway..............</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YOSHIHIKO WAKUMOTO, 67; Adviser to Toshiba Corporation, a technology</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company centered on electronics and energy, since July 1996; member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 Board of Toshiba Corporation from July 1988 to June 1996; from</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July 1992 to June 1996, Executive Vice President of Toshiba with</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responsibility for corporate planning, group companies and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information systems (1992 to 1995), and international affairs</w:t>
            </w:r>
          </w:p>
        </w:tc>
        <w:tc>
          <w:tcPr>
            <w:tcW w:w="8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(1996), all in Tokyo (8)............................................</w:t>
            </w: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499" w:hanging="367"/>
        <w:spacing w:after="0" w:line="287"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Ackerman is also Chairman of the Board and a member of the Audit Committee of Genicom Corporation, which is in the business of computer printers and computer related services.</w:t>
      </w:r>
    </w:p>
    <w:p>
      <w:pPr>
        <w:spacing w:after="0" w:line="61" w:lineRule="exact"/>
        <w:rPr>
          <w:rFonts w:ascii="Courier New" w:cs="Courier New" w:eastAsia="Courier New" w:hAnsi="Courier New"/>
          <w:sz w:val="15"/>
          <w:szCs w:val="15"/>
          <w:color w:val="auto"/>
        </w:rPr>
      </w:pPr>
    </w:p>
    <w:p>
      <w:pPr>
        <w:ind w:left="367" w:right="3139" w:hanging="367"/>
        <w:spacing w:after="0" w:line="368"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also a director of Paribas, Paris, France. He is a trustee of Haven Capital Management Trust.</w:t>
      </w:r>
    </w:p>
    <w:p>
      <w:pPr>
        <w:spacing w:after="0" w:line="3" w:lineRule="exact"/>
        <w:rPr>
          <w:rFonts w:ascii="Courier New" w:cs="Courier New" w:eastAsia="Courier New" w:hAnsi="Courier New"/>
          <w:sz w:val="15"/>
          <w:szCs w:val="15"/>
          <w:color w:val="auto"/>
        </w:rPr>
      </w:pPr>
    </w:p>
    <w:p>
      <w:pPr>
        <w:ind w:left="367" w:right="3219" w:hanging="367"/>
        <w:spacing w:after="0" w:line="267"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also a director of Citigroup, which is in banking and insurance; CMS Energy Corp., a diversified energy company; Cummins Engine Company, Inc., a manufacturer of diesel engines and components; ARIAD Pharmaceuticals, which is engaged in the discovery and development of novel pharmaceuticals based on signal transaction pathways and the genes that regulate them, and of Raytheon Corporation, a maker of electronics. He is also a director of the Sandia National Laboratories in New Mexico.</w:t>
      </w:r>
    </w:p>
    <w:p>
      <w:pPr>
        <w:spacing w:after="0" w:line="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964" w:right="1440" w:bottom="1440" w:gutter="0" w:footer="0" w:header="0"/>
        </w:sectPr>
      </w:pPr>
    </w:p>
    <w:bookmarkStart w:id="6" w:name="page7"/>
    <w:bookmarkEnd w:id="6"/>
    <w:p>
      <w:pPr>
        <w:ind w:left="367" w:right="3219" w:hanging="367"/>
        <w:spacing w:after="0" w:line="267"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Levy-Lang is also a director and member of the Compensation Committee of Elf-Aquitaine, a producer of oil, gas and chemicals. On January 4, 1996, Mr. Levy-Lang was notified by a French judge that he was placed under official investigation ("mise en examen") as part of an ongoing inquiry regarding irregularities uncovered in the 1991 financial statements of Ciments Francais, S.A., which was at that time a subsidiary of Compagnie Financiere de Paribas.</w:t>
      </w:r>
    </w:p>
    <w:p>
      <w:pPr>
        <w:spacing w:after="0" w:line="74" w:lineRule="exact"/>
        <w:rPr>
          <w:rFonts w:ascii="Courier New" w:cs="Courier New" w:eastAsia="Courier New" w:hAnsi="Courier New"/>
          <w:sz w:val="15"/>
          <w:szCs w:val="15"/>
          <w:color w:val="auto"/>
        </w:rPr>
      </w:pPr>
    </w:p>
    <w:p>
      <w:pPr>
        <w:ind w:left="367" w:right="3139" w:hanging="367"/>
        <w:spacing w:after="0" w:line="307"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also a director of Bank One, Inc., a regional bank holding company, and Rockwell International Inc., a diversified producer of, among others, electronic, industrial automation and avionics products.</w:t>
      </w:r>
    </w:p>
    <w:p>
      <w:pPr>
        <w:spacing w:after="0" w:line="47"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179" w:lineRule="exact"/>
        <w:rPr>
          <w:rFonts w:ascii="Courier New" w:cs="Courier New" w:eastAsia="Courier New" w:hAnsi="Courier New"/>
          <w:sz w:val="15"/>
          <w:szCs w:val="15"/>
          <w:color w:val="auto"/>
        </w:rPr>
      </w:pPr>
    </w:p>
    <w:p>
      <w:pPr>
        <w:ind w:left="367" w:right="3139" w:hanging="367"/>
        <w:spacing w:after="0" w:line="287"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also a director of American Electric Power Company, Inc., an electric and power holding company, at which company she is a member of the Finance and Directors Committees and is the Chair of the Public Policy Committee.</w:t>
      </w:r>
    </w:p>
    <w:p>
      <w:pPr>
        <w:spacing w:after="0" w:line="61" w:lineRule="exact"/>
        <w:rPr>
          <w:rFonts w:ascii="Courier New" w:cs="Courier New" w:eastAsia="Courier New" w:hAnsi="Courier New"/>
          <w:sz w:val="15"/>
          <w:szCs w:val="15"/>
          <w:color w:val="auto"/>
        </w:rPr>
      </w:pPr>
    </w:p>
    <w:p>
      <w:pPr>
        <w:ind w:left="367" w:right="3679" w:hanging="367"/>
        <w:spacing w:after="0" w:line="368"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Wakumoto is Vice President of The Japan Foundation and Executive Director of its Center for Global Partnerships.</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0" w:lineRule="exact"/>
        <w:rPr>
          <w:sz w:val="20"/>
          <w:szCs w:val="20"/>
          <w:color w:val="auto"/>
        </w:rPr>
      </w:pPr>
    </w:p>
    <w:p>
      <w:pPr>
        <w:ind w:left="7" w:right="3139" w:firstLine="182"/>
        <w:spacing w:after="0" w:line="262" w:lineRule="auto"/>
        <w:rPr>
          <w:sz w:val="20"/>
          <w:szCs w:val="20"/>
          <w:color w:val="auto"/>
        </w:rPr>
      </w:pPr>
      <w:r>
        <w:rPr>
          <w:rFonts w:ascii="Courier New" w:cs="Courier New" w:eastAsia="Courier New" w:hAnsi="Courier New"/>
          <w:sz w:val="15"/>
          <w:szCs w:val="15"/>
          <w:color w:val="auto"/>
        </w:rPr>
        <w:t>Following are the shares of the Company's Common Stock beneficially owned as of January 31, 1999 by all directors and nominees, by each of the named executive officers, and by the directors and officers as a group. Except as footnoted, each named individual has sole voting and investment power over the shares listed by that individual's name. As of January 31, 1999, no nominee for director owned more than 1% of the outstanding shares of the Company's Common Stock, except Mr. Primat who owned 4.5%. All 23 directors and executive officers as a group owned 5.3% of the outstanding shares of the Company at January 31, 1999.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Shares</w:t>
            </w:r>
          </w:p>
        </w:tc>
      </w:tr>
      <w:tr>
        <w:trPr>
          <w:trHeight w:val="25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268"/>
        </w:trPr>
        <w:tc>
          <w:tcPr>
            <w:tcW w:w="586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1,941,955(1)</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John Deutch.....................................................</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3,600(2)</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174,000(3)</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623,024(4)</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Denys Henderson.................................................</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Arthur Lindenauer...............................................</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188,091(5)</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William T. McCormick, Jr........................................</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Irwin Pfister...................................................</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160,635(6)</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Didier Primat...................................................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24,556,236(7)</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Nicolas Seydoux.................................................</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251,524(8)</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Linda Gillespie Stuntz..........................................</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5,000(9)</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Sven Ullring....................................................</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3,172</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Yoshihiko Wakumoto..............................................</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1,000</w:t>
            </w:r>
          </w:p>
        </w:tc>
      </w:tr>
      <w:tr>
        <w:trPr>
          <w:trHeight w:val="25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(23 persons)....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28,974,883(10)</w:t>
            </w:r>
          </w:p>
        </w:tc>
      </w:tr>
      <w:tr>
        <w:trPr>
          <w:trHeight w:val="524"/>
        </w:trPr>
        <w:tc>
          <w:tcPr>
            <w:tcW w:w="5860" w:type="dxa"/>
            <w:vAlign w:val="bottom"/>
          </w:tcPr>
          <w:p>
            <w:pPr>
              <w:ind w:left="3540"/>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spacing w:after="0"/>
              <w:rPr>
                <w:sz w:val="24"/>
                <w:szCs w:val="24"/>
                <w:color w:val="auto"/>
              </w:rPr>
            </w:pPr>
          </w:p>
        </w:tc>
      </w:tr>
    </w:tbl>
    <w:p>
      <w:pPr>
        <w:sectPr>
          <w:pgSz w:w="11900" w:h="16838" w:orient="portrait"/>
          <w:cols w:equalWidth="0" w:num="1">
            <w:col w:w="10226"/>
          </w:cols>
          <w:pgMar w:left="233" w:top="789" w:right="1440" w:bottom="1440" w:gutter="0" w:footer="0" w:header="0"/>
        </w:sectPr>
      </w:pPr>
    </w:p>
    <w:bookmarkStart w:id="7" w:name="page8"/>
    <w:bookmarkEnd w:id="7"/>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139" w:hanging="367"/>
        <w:spacing w:after="0" w:line="28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1,390,000 shares which are deemed to be beneficially owned by Mr. Baird because he has the right to acquire such shares within 60 days through the exercise of stock options.</w:t>
      </w:r>
    </w:p>
    <w:p>
      <w:pPr>
        <w:spacing w:after="0" w:line="61" w:lineRule="exact"/>
        <w:rPr>
          <w:rFonts w:ascii="Courier New" w:cs="Courier New" w:eastAsia="Courier New" w:hAnsi="Courier New"/>
          <w:sz w:val="15"/>
          <w:szCs w:val="15"/>
          <w:color w:val="auto"/>
        </w:rPr>
      </w:pPr>
    </w:p>
    <w:p>
      <w:pPr>
        <w:ind w:left="367" w:right="3319" w:hanging="367"/>
        <w:spacing w:after="0" w:line="368"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3" w:lineRule="exact"/>
        <w:rPr>
          <w:rFonts w:ascii="Courier New" w:cs="Courier New" w:eastAsia="Courier New" w:hAnsi="Courier New"/>
          <w:sz w:val="15"/>
          <w:szCs w:val="15"/>
          <w:color w:val="auto"/>
        </w:rPr>
      </w:pPr>
    </w:p>
    <w:p>
      <w:pPr>
        <w:ind w:left="367" w:right="3319" w:hanging="367"/>
        <w:spacing w:after="0" w:line="30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160,000 shares which are deemed to be beneficially owned by Mr. Gould because he has the right to acquire such shares within 60 days through the exercise of stock options.</w:t>
      </w:r>
    </w:p>
    <w:p>
      <w:pPr>
        <w:spacing w:after="0" w:line="47" w:lineRule="exact"/>
        <w:rPr>
          <w:rFonts w:ascii="Courier New" w:cs="Courier New" w:eastAsia="Courier New" w:hAnsi="Courier New"/>
          <w:sz w:val="15"/>
          <w:szCs w:val="15"/>
          <w:color w:val="auto"/>
        </w:rPr>
      </w:pPr>
    </w:p>
    <w:p>
      <w:pPr>
        <w:ind w:left="367" w:right="3219" w:hanging="367"/>
        <w:spacing w:after="0" w:line="28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Grijalva's daughter, as to which he disclaims beneficial ownership, and 504,000 shares which are deemed to be beneficially owned by him because he has the right to acquire such shares within 60 days through the exercise of stock options.</w:t>
      </w:r>
    </w:p>
    <w:p>
      <w:pPr>
        <w:spacing w:after="0" w:line="61" w:lineRule="exact"/>
        <w:rPr>
          <w:rFonts w:ascii="Courier New" w:cs="Courier New" w:eastAsia="Courier New" w:hAnsi="Courier New"/>
          <w:sz w:val="15"/>
          <w:szCs w:val="15"/>
          <w:color w:val="auto"/>
        </w:rPr>
      </w:pPr>
    </w:p>
    <w:p>
      <w:pPr>
        <w:ind w:left="367" w:right="3219" w:hanging="367"/>
        <w:spacing w:after="0" w:line="30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162,000 shares which are deemed to be beneficially owned by Mr. Lindenauer because he has the right to acquire such shares within 60 days through the exercise of stock options.</w:t>
      </w:r>
    </w:p>
    <w:p>
      <w:pPr>
        <w:spacing w:after="0" w:line="47" w:lineRule="exact"/>
        <w:rPr>
          <w:rFonts w:ascii="Courier New" w:cs="Courier New" w:eastAsia="Courier New" w:hAnsi="Courier New"/>
          <w:sz w:val="15"/>
          <w:szCs w:val="15"/>
          <w:color w:val="auto"/>
        </w:rPr>
      </w:pPr>
    </w:p>
    <w:p>
      <w:pPr>
        <w:ind w:left="367" w:right="3319" w:hanging="367"/>
        <w:spacing w:after="0" w:line="30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160,000 shares which are deemed to be beneficially owned by Mr. Pfister because he has the right to acquire such shares within 60 days through the exercise of stock options.</w:t>
      </w:r>
    </w:p>
    <w:p>
      <w:pPr>
        <w:spacing w:after="0" w:line="47" w:lineRule="exact"/>
        <w:rPr>
          <w:rFonts w:ascii="Courier New" w:cs="Courier New" w:eastAsia="Courier New" w:hAnsi="Courier New"/>
          <w:sz w:val="15"/>
          <w:szCs w:val="15"/>
          <w:color w:val="auto"/>
        </w:rPr>
      </w:pPr>
    </w:p>
    <w:p>
      <w:pPr>
        <w:ind w:left="367" w:right="3219" w:hanging="367"/>
        <w:spacing w:after="0" w:line="27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 13,996,136 shares held by Mr. Primat as Executor of the Estate of Francoise Primat as to which he has sole voting and investment power, and 5,000,000 shares held for account of the minor children of Mr. Primat as to which he has joint voting and investment power.</w:t>
      </w:r>
    </w:p>
    <w:p>
      <w:pPr>
        <w:spacing w:after="0" w:line="68" w:lineRule="exact"/>
        <w:rPr>
          <w:rFonts w:ascii="Courier New" w:cs="Courier New" w:eastAsia="Courier New" w:hAnsi="Courier New"/>
          <w:sz w:val="15"/>
          <w:szCs w:val="15"/>
          <w:color w:val="auto"/>
        </w:rPr>
      </w:pPr>
    </w:p>
    <w:p>
      <w:pPr>
        <w:ind w:left="367" w:right="3319" w:hanging="367"/>
        <w:spacing w:after="0" w:line="368"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as to which Mrs. Stuntz shares voting power.</w:t>
      </w:r>
    </w:p>
    <w:p>
      <w:pPr>
        <w:spacing w:after="0" w:line="179" w:lineRule="exact"/>
        <w:rPr>
          <w:rFonts w:ascii="Courier New" w:cs="Courier New" w:eastAsia="Courier New" w:hAnsi="Courier New"/>
          <w:sz w:val="15"/>
          <w:szCs w:val="15"/>
          <w:color w:val="auto"/>
        </w:rPr>
      </w:pPr>
    </w:p>
    <w:p>
      <w:pPr>
        <w:ind w:left="447" w:right="3139" w:hanging="447"/>
        <w:spacing w:after="0" w:line="307" w:lineRule="auto"/>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3,230,126 shares which are deemed to be beneficially owned by executive officers as a group because they have the right to acquire such shares within 60 days through the exercise of stock options.</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and Committees</w:t>
      </w:r>
    </w:p>
    <w:p>
      <w:pPr>
        <w:spacing w:after="0" w:line="180" w:lineRule="exact"/>
        <w:rPr>
          <w:sz w:val="20"/>
          <w:szCs w:val="20"/>
          <w:color w:val="auto"/>
        </w:rPr>
      </w:pPr>
    </w:p>
    <w:p>
      <w:pPr>
        <w:ind w:left="7" w:right="3859" w:firstLine="182"/>
        <w:spacing w:after="0" w:line="368" w:lineRule="auto"/>
        <w:rPr>
          <w:sz w:val="20"/>
          <w:szCs w:val="20"/>
          <w:color w:val="auto"/>
        </w:rPr>
      </w:pPr>
      <w:r>
        <w:rPr>
          <w:rFonts w:ascii="Courier New" w:cs="Courier New" w:eastAsia="Courier New" w:hAnsi="Courier New"/>
          <w:sz w:val="15"/>
          <w:szCs w:val="15"/>
          <w:color w:val="auto"/>
        </w:rPr>
        <w:t>The Company has an Audit, a Compensation, a Finance and a Nominating Committee.</w:t>
      </w:r>
    </w:p>
    <w:p>
      <w:pPr>
        <w:spacing w:after="0" w:line="3" w:lineRule="exact"/>
        <w:rPr>
          <w:sz w:val="20"/>
          <w:szCs w:val="20"/>
          <w:color w:val="auto"/>
        </w:rPr>
      </w:pPr>
    </w:p>
    <w:p>
      <w:pPr>
        <w:ind w:left="7" w:right="3139" w:firstLine="182"/>
        <w:spacing w:after="0" w:line="259" w:lineRule="auto"/>
        <w:rPr>
          <w:sz w:val="20"/>
          <w:szCs w:val="20"/>
          <w:color w:val="auto"/>
        </w:rPr>
      </w:pPr>
      <w:r>
        <w:rPr>
          <w:rFonts w:ascii="Courier New" w:cs="Courier New" w:eastAsia="Courier New" w:hAnsi="Courier New"/>
          <w:sz w:val="15"/>
          <w:szCs w:val="15"/>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Levy-Lang and Mrs. Stuntz are the other members.</w:t>
      </w:r>
    </w:p>
    <w:p>
      <w:pPr>
        <w:spacing w:after="0" w:line="80" w:lineRule="exact"/>
        <w:rPr>
          <w:sz w:val="20"/>
          <w:szCs w:val="20"/>
          <w:color w:val="auto"/>
        </w:rPr>
      </w:pPr>
    </w:p>
    <w:p>
      <w:pPr>
        <w:jc w:val="both"/>
        <w:ind w:left="7" w:right="3599" w:firstLine="182"/>
        <w:spacing w:after="0" w:line="307"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4" w:right="1440" w:bottom="1440" w:gutter="0" w:footer="0" w:header="0"/>
        </w:sectPr>
      </w:pPr>
    </w:p>
    <w:bookmarkStart w:id="8" w:name="page9"/>
    <w:bookmarkEnd w:id="8"/>
    <w:p>
      <w:pPr>
        <w:ind w:right="3679"/>
        <w:spacing w:after="0" w:line="368" w:lineRule="auto"/>
        <w:rPr>
          <w:sz w:val="20"/>
          <w:szCs w:val="20"/>
          <w:color w:val="auto"/>
        </w:rPr>
      </w:pPr>
      <w:r>
        <w:rPr>
          <w:rFonts w:ascii="Courier New" w:cs="Courier New" w:eastAsia="Courier New" w:hAnsi="Courier New"/>
          <w:sz w:val="15"/>
          <w:szCs w:val="15"/>
          <w:color w:val="auto"/>
        </w:rPr>
        <w:t>plans. Mr. Ackerman is Chairman of the Compensation Committee. Sir Denys Henderson and Messrs. McCormick and Seydoux are the other members.</w:t>
      </w:r>
    </w:p>
    <w:p>
      <w:pPr>
        <w:spacing w:after="0" w:line="3" w:lineRule="exact"/>
        <w:rPr>
          <w:sz w:val="20"/>
          <w:szCs w:val="20"/>
          <w:color w:val="auto"/>
        </w:rPr>
      </w:pPr>
    </w:p>
    <w:p>
      <w:pPr>
        <w:ind w:right="3139" w:firstLine="182"/>
        <w:spacing w:after="0" w:line="271"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 the Company and its subsidiaries. Messrs. Baird, Deutch, Grijalva, Levy-Lang, Primat and Wakumoto are the members of this Committee.</w:t>
      </w:r>
    </w:p>
    <w:p>
      <w:pPr>
        <w:spacing w:after="0" w:line="72" w:lineRule="exact"/>
        <w:rPr>
          <w:sz w:val="20"/>
          <w:szCs w:val="20"/>
          <w:color w:val="auto"/>
        </w:rPr>
      </w:pPr>
    </w:p>
    <w:p>
      <w:pPr>
        <w:ind w:right="3139" w:firstLine="182"/>
        <w:spacing w:after="0" w:line="260"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82" w:lineRule="exact"/>
        <w:rPr>
          <w:sz w:val="20"/>
          <w:szCs w:val="20"/>
          <w:color w:val="auto"/>
        </w:rPr>
      </w:pPr>
    </w:p>
    <w:p>
      <w:pPr>
        <w:ind w:right="3219" w:firstLine="182"/>
        <w:spacing w:after="0" w:line="277" w:lineRule="auto"/>
        <w:rPr>
          <w:sz w:val="20"/>
          <w:szCs w:val="20"/>
          <w:color w:val="auto"/>
        </w:rPr>
      </w:pPr>
      <w:r>
        <w:rPr>
          <w:rFonts w:ascii="Courier New" w:cs="Courier New" w:eastAsia="Courier New" w:hAnsi="Courier New"/>
          <w:sz w:val="15"/>
          <w:szCs w:val="15"/>
          <w:color w:val="auto"/>
        </w:rPr>
        <w:t>During 1998 the Board of Directors held four meetings. The Audit Committee met three times; the Compensation Committee met four times; the Finance Committee met twice, and the Nominating Committee met once. All present directors attended at least 75% of the aggregate of the meetings of the Board and of the Committees of the Board on which such directors served.</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who are employees of the Company do not receive compensation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on the Board or Committees of the Board. Board members who are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receive annual fees of $40,000 each and additional annual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 as members of each of the Committees on which they serve, except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Chairmen of the Audit, Compensation and Nominating Committees each receive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annual fee of $20,000, rather than the $10,000 annual fee for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80" w:lineRule="exact"/>
        <w:rPr>
          <w:sz w:val="20"/>
          <w:szCs w:val="20"/>
          <w:color w:val="auto"/>
        </w:rPr>
      </w:pPr>
    </w:p>
    <w:p>
      <w:pPr>
        <w:ind w:left="7" w:right="3139" w:firstLine="182"/>
        <w:spacing w:after="0" w:line="277" w:lineRule="auto"/>
        <w:rPr>
          <w:sz w:val="20"/>
          <w:szCs w:val="20"/>
          <w:color w:val="auto"/>
        </w:rPr>
      </w:pPr>
      <w:r>
        <w:rPr>
          <w:rFonts w:ascii="Courier New" w:cs="Courier New" w:eastAsia="Courier New" w:hAnsi="Courier New"/>
          <w:sz w:val="15"/>
          <w:szCs w:val="15"/>
          <w:color w:val="auto"/>
        </w:rPr>
        <w:t>The following table shows, for the fiscal years ending December 31, 1998, 1997 and 1996, the cash compensation paid by the Company and its subsidiaries, as well as certain other compensation paid or accrued for those years, to the Chief Executive Officer and the next four most highly compensated executive officers of the Company:</w:t>
      </w:r>
    </w:p>
    <w:p>
      <w:pPr>
        <w:spacing w:after="0" w:line="68"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Long-Term</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Compensation</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Awards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Annual Compensation</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Name and</w:t>
            </w:r>
          </w:p>
        </w:tc>
        <w:tc>
          <w:tcPr>
            <w:tcW w:w="46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2860" w:type="dxa"/>
            <w:vAlign w:val="bottom"/>
            <w:gridSpan w:val="3"/>
            <w:vMerge w:val="restart"/>
          </w:tcPr>
          <w:p>
            <w:pPr>
              <w:ind w:left="40"/>
              <w:spacing w:after="0"/>
              <w:rPr>
                <w:sz w:val="20"/>
                <w:szCs w:val="20"/>
                <w:color w:val="auto"/>
              </w:rPr>
            </w:pPr>
            <w:r>
              <w:rPr>
                <w:rFonts w:ascii="Courier New" w:cs="Courier New" w:eastAsia="Courier New" w:hAnsi="Courier New"/>
                <w:sz w:val="26"/>
                <w:szCs w:val="26"/>
                <w:color w:val="auto"/>
                <w:w w:val="70"/>
                <w:vertAlign w:val="subscript"/>
              </w:rPr>
              <w:t>Year Salary(</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Underlying</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Principal Position</w:t>
            </w:r>
          </w:p>
        </w:tc>
        <w:tc>
          <w:tcPr>
            <w:tcW w:w="1860" w:type="dxa"/>
            <w:vAlign w:val="bottom"/>
            <w:gridSpan w:val="2"/>
            <w:vMerge w:val="continue"/>
          </w:tcPr>
          <w:p>
            <w:pPr>
              <w:spacing w:after="0"/>
              <w:rPr>
                <w:sz w:val="15"/>
                <w:szCs w:val="15"/>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Bonus($)(1)  Options(#)  Compensation($)(3)</w:t>
            </w:r>
          </w:p>
        </w:tc>
        <w:tc>
          <w:tcPr>
            <w:tcW w:w="0" w:type="dxa"/>
            <w:vAlign w:val="bottom"/>
          </w:tcPr>
          <w:p>
            <w:pPr>
              <w:spacing w:after="0"/>
              <w:rPr>
                <w:sz w:val="1"/>
                <w:szCs w:val="1"/>
                <w:color w:val="auto"/>
              </w:rPr>
            </w:pPr>
          </w:p>
        </w:tc>
      </w:tr>
      <w:tr>
        <w:trPr>
          <w:trHeight w:val="256"/>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3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68"/>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D.E. Baird..............</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270,000</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Chairman and</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323,000</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231,000</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V.E. Grijalva...........</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112,500</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Vice Chairman</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129,000</w:t>
            </w:r>
          </w:p>
        </w:tc>
        <w:tc>
          <w:tcPr>
            <w:tcW w:w="0" w:type="dxa"/>
            <w:vAlign w:val="bottom"/>
          </w:tcPr>
          <w:p>
            <w:pPr>
              <w:spacing w:after="0"/>
              <w:rPr>
                <w:sz w:val="1"/>
                <w:szCs w:val="1"/>
                <w:color w:val="auto"/>
              </w:rPr>
            </w:pPr>
          </w:p>
        </w:tc>
      </w:tr>
      <w:tr>
        <w:trPr>
          <w:trHeight w:val="175"/>
        </w:trPr>
        <w:tc>
          <w:tcPr>
            <w:tcW w:w="2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A. Gould................</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425,000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108,350</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499,154(2)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152,284</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63,198</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Oilfield Services</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Products</w:t>
            </w:r>
          </w:p>
        </w:tc>
        <w:tc>
          <w:tcPr>
            <w:tcW w:w="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500,000</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150,000</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5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72,000</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I. Pfister..............</w:t>
            </w:r>
          </w:p>
        </w:tc>
        <w:tc>
          <w:tcPr>
            <w:tcW w:w="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420,411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125,000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55,112</w:t>
            </w: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Test &amp; Transactions</w:t>
            </w:r>
          </w:p>
        </w:tc>
        <w:tc>
          <w:tcPr>
            <w:tcW w:w="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500,000</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100,000</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5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69,750</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A. Lindenauer...........</w:t>
            </w:r>
          </w:p>
        </w:tc>
        <w:tc>
          <w:tcPr>
            <w:tcW w:w="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96,200</w:t>
            </w: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260,000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80,000</w:t>
            </w: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83,600</w:t>
            </w:r>
          </w:p>
        </w:tc>
        <w:tc>
          <w:tcPr>
            <w:tcW w:w="0" w:type="dxa"/>
            <w:vAlign w:val="bottom"/>
          </w:tcPr>
          <w:p>
            <w:pPr>
              <w:spacing w:after="0"/>
              <w:rPr>
                <w:sz w:val="1"/>
                <w:szCs w:val="1"/>
                <w:color w:val="auto"/>
              </w:rPr>
            </w:pPr>
          </w:p>
        </w:tc>
      </w:tr>
      <w:tr>
        <w:trPr>
          <w:trHeight w:val="256"/>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Finance</w:t>
            </w: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13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 ("Restoration Savings Plan").</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Gould is paid in French francs.</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amounts disclosed in this column include:</w:t>
      </w:r>
    </w:p>
    <w:p>
      <w:pPr>
        <w:spacing w:after="0" w:line="5" w:lineRule="exact"/>
        <w:rPr>
          <w:sz w:val="20"/>
          <w:szCs w:val="20"/>
          <w:color w:val="auto"/>
        </w:rPr>
      </w:pPr>
    </w:p>
    <w:p>
      <w:pPr>
        <w:ind w:left="367" w:right="377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Schlumberger's Profit Sharing Plans. Contributions are invested, and final amounts distributed depend on investment results.</w:t>
      </w:r>
    </w:p>
    <w:p>
      <w:pPr>
        <w:spacing w:after="0" w:line="1" w:lineRule="exact"/>
        <w:rPr>
          <w:rFonts w:ascii="Courier New" w:cs="Courier New" w:eastAsia="Courier New" w:hAnsi="Courier New"/>
          <w:sz w:val="15"/>
          <w:szCs w:val="15"/>
          <w:color w:val="auto"/>
        </w:rPr>
      </w:pPr>
    </w:p>
    <w:p>
      <w:pPr>
        <w:ind w:left="367" w:right="385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Restoration Savings Plan.</w:t>
      </w:r>
    </w:p>
    <w:p>
      <w:pPr>
        <w:spacing w:after="0" w:line="200" w:lineRule="exact"/>
        <w:rPr>
          <w:sz w:val="20"/>
          <w:szCs w:val="20"/>
          <w:color w:val="auto"/>
        </w:rPr>
      </w:pPr>
    </w:p>
    <w:p>
      <w:pPr>
        <w:spacing w:after="0" w:line="301" w:lineRule="exact"/>
        <w:rPr>
          <w:sz w:val="20"/>
          <w:szCs w:val="20"/>
          <w:color w:val="auto"/>
        </w:rPr>
      </w:pPr>
    </w:p>
    <w:tbl>
      <w:tblPr>
        <w:tblLayout w:type="fixed"/>
        <w:tblInd w:w="267"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 (b)($)</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r>
      <w:tr>
        <w:trPr>
          <w:trHeight w:val="256"/>
        </w:trPr>
        <w:tc>
          <w:tcPr>
            <w:tcW w:w="5040" w:type="dxa"/>
            <w:vAlign w:val="bottom"/>
          </w:tcPr>
          <w:p>
            <w:pPr>
              <w:spacing w:after="0"/>
              <w:rPr>
                <w:sz w:val="22"/>
                <w:szCs w:val="22"/>
                <w:color w:val="auto"/>
              </w:rPr>
            </w:pPr>
          </w:p>
        </w:tc>
        <w:tc>
          <w:tcPr>
            <w:tcW w:w="19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 ------- ------</w:t>
            </w: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5"/>
                <w:szCs w:val="15"/>
                <w:color w:val="auto"/>
              </w:rPr>
              <w:t>Mr. Baird..............................................</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14,400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170,400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85,200</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Mr. Grijalva...........................................</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14,400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65,400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32,700</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Mr. Gould..............................................</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63,198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Mr. Pfister............................................</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14,400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38,400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19,200</w:t>
            </w:r>
          </w:p>
        </w:tc>
      </w:tr>
      <w:tr>
        <w:trPr>
          <w:trHeight w:val="256"/>
        </w:trPr>
        <w:tc>
          <w:tcPr>
            <w:tcW w:w="5040" w:type="dxa"/>
            <w:vAlign w:val="bottom"/>
          </w:tcPr>
          <w:p>
            <w:pPr>
              <w:spacing w:after="0"/>
              <w:rPr>
                <w:sz w:val="20"/>
                <w:szCs w:val="20"/>
                <w:color w:val="auto"/>
              </w:rPr>
            </w:pPr>
            <w:r>
              <w:rPr>
                <w:rFonts w:ascii="Courier New" w:cs="Courier New" w:eastAsia="Courier New" w:hAnsi="Courier New"/>
                <w:sz w:val="15"/>
                <w:szCs w:val="15"/>
                <w:color w:val="auto"/>
              </w:rPr>
              <w:t>Mr. Lindenauer.........................................</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14,400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36,900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18,450</w:t>
            </w:r>
          </w:p>
        </w:tc>
      </w:tr>
    </w:tbl>
    <w:p>
      <w:pPr>
        <w:spacing w:after="0" w:line="268" w:lineRule="exact"/>
        <w:rPr>
          <w:sz w:val="20"/>
          <w:szCs w:val="20"/>
          <w:color w:val="auto"/>
        </w:rPr>
      </w:pPr>
    </w:p>
    <w:p>
      <w:pPr>
        <w:ind w:left="187" w:right="3139"/>
        <w:spacing w:after="0" w:line="277" w:lineRule="auto"/>
        <w:rPr>
          <w:sz w:val="20"/>
          <w:szCs w:val="20"/>
          <w:color w:val="auto"/>
        </w:rPr>
      </w:pPr>
      <w:r>
        <w:rPr>
          <w:rFonts w:ascii="Courier New" w:cs="Courier New" w:eastAsia="Courier New" w:hAnsi="Courier New"/>
          <w:sz w:val="15"/>
          <w:szCs w:val="15"/>
          <w:color w:val="auto"/>
        </w:rPr>
        <w:t>The Company's matching credits under the Restoration Savings Plan are vested one-third at three years of service, two-thirds at four years, fully at five years or at age 60 or upon death or upon change of control. The amounts credited under the Restoration Savings Plan will be paid upon termination or retirement, death, disability, or change in control.</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5" w:right="1440" w:bottom="1440" w:gutter="0" w:footer="0" w:header="0"/>
        </w:sectPr>
      </w:pPr>
    </w:p>
    <w:bookmarkStart w:id="10" w:name="page11"/>
    <w:bookmarkEnd w:id="10"/>
    <w:p>
      <w:pPr>
        <w:ind w:left="7"/>
        <w:spacing w:after="0"/>
        <w:rPr>
          <w:sz w:val="20"/>
          <w:szCs w:val="20"/>
          <w:color w:val="auto"/>
        </w:rPr>
      </w:pPr>
      <w:r>
        <w:rPr>
          <w:rFonts w:ascii="Courier New" w:cs="Courier New" w:eastAsia="Courier New" w:hAnsi="Courier New"/>
          <w:sz w:val="15"/>
          <w:szCs w:val="15"/>
          <w:color w:val="auto"/>
        </w:rPr>
        <w:t>Stock Option Grants Table</w:t>
      </w:r>
    </w:p>
    <w:p>
      <w:pPr>
        <w:spacing w:after="0" w:line="180" w:lineRule="exact"/>
        <w:rPr>
          <w:sz w:val="20"/>
          <w:szCs w:val="20"/>
          <w:color w:val="auto"/>
        </w:rPr>
      </w:pPr>
    </w:p>
    <w:p>
      <w:pPr>
        <w:ind w:left="7" w:right="3139" w:firstLine="182"/>
        <w:spacing w:after="0" w:line="260"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granted during 1998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82"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Potential Realizable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Value at Assumed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Annual</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Rates of Stock</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Individual Grants</w:t>
            </w:r>
          </w:p>
        </w:tc>
        <w:tc>
          <w:tcPr>
            <w:tcW w:w="10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Price</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Appreciation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Option Term</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64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of Total</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Options</w:t>
            </w:r>
          </w:p>
        </w:tc>
        <w:tc>
          <w:tcPr>
            <w:tcW w:w="9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Underlying</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Granted to</w:t>
            </w:r>
          </w:p>
        </w:tc>
        <w:tc>
          <w:tcPr>
            <w:tcW w:w="920" w:type="dxa"/>
            <w:vAlign w:val="bottom"/>
            <w:vMerge w:val="continue"/>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Expiration</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Employees in</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Price</w:t>
            </w:r>
          </w:p>
        </w:tc>
        <w:tc>
          <w:tcPr>
            <w:tcW w:w="1000" w:type="dxa"/>
            <w:vAlign w:val="bottom"/>
            <w:vMerge w:val="continue"/>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7"/>
              </w:rPr>
              <w:t>5%($)</w:t>
            </w:r>
          </w:p>
        </w:tc>
        <w:tc>
          <w:tcPr>
            <w:tcW w:w="320" w:type="dxa"/>
            <w:vAlign w:val="bottom"/>
          </w:tcPr>
          <w:p>
            <w:pPr>
              <w:spacing w:after="0"/>
              <w:rPr>
                <w:sz w:val="15"/>
                <w:szCs w:val="15"/>
                <w:color w:val="auto"/>
              </w:rPr>
            </w:pPr>
          </w:p>
        </w:tc>
        <w:tc>
          <w:tcPr>
            <w:tcW w:w="9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2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Name</w:t>
            </w:r>
          </w:p>
        </w:tc>
        <w:tc>
          <w:tcPr>
            <w:tcW w:w="2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Granted (#)(1) Fiscal Year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($/SH)(2)</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vMerge w:val="continue"/>
          </w:tcPr>
          <w:p>
            <w:pPr>
              <w:spacing w:after="0"/>
              <w:rPr>
                <w:sz w:val="22"/>
                <w:szCs w:val="22"/>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D. E. Baird.............</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V. E. Grijalva..........</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A. Gould................</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3.04</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78.375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4/15/2008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1,971,585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4,996,383</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I. Pfister..............</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A. Lindenauer...........</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139" w:hanging="367"/>
        <w:spacing w:after="0" w:line="260"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81" w:lineRule="exact"/>
        <w:rPr>
          <w:rFonts w:ascii="Courier New" w:cs="Courier New" w:eastAsia="Courier New" w:hAnsi="Courier New"/>
          <w:sz w:val="15"/>
          <w:szCs w:val="15"/>
          <w:color w:val="auto"/>
        </w:rPr>
      </w:pPr>
    </w:p>
    <w:p>
      <w:pPr>
        <w:ind w:left="367" w:right="3219" w:hanging="367"/>
        <w:spacing w:after="0" w:line="27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14" w:right="1440" w:bottom="1440" w:gutter="0" w:footer="0" w:header="0"/>
        </w:sectPr>
      </w:pPr>
    </w:p>
    <w:bookmarkStart w:id="11" w:name="page12"/>
    <w:bookmarkEnd w:id="11"/>
    <w:p>
      <w:pPr>
        <w:ind w:left="7"/>
        <w:spacing w:after="0"/>
        <w:rPr>
          <w:sz w:val="20"/>
          <w:szCs w:val="20"/>
          <w:color w:val="auto"/>
        </w:rPr>
      </w:pPr>
      <w:r>
        <w:rPr>
          <w:rFonts w:ascii="Courier New" w:cs="Courier New" w:eastAsia="Courier New" w:hAnsi="Courier New"/>
          <w:sz w:val="15"/>
          <w:szCs w:val="15"/>
          <w:color w:val="auto"/>
        </w:rPr>
        <w:t>Stock Option Exercises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December 31, 1998 Stock Option Value Table</w:t>
      </w:r>
    </w:p>
    <w:p>
      <w:pPr>
        <w:spacing w:after="0" w:line="152" w:lineRule="exact"/>
        <w:rPr>
          <w:sz w:val="20"/>
          <w:szCs w:val="20"/>
          <w:color w:val="auto"/>
        </w:rPr>
      </w:pPr>
    </w:p>
    <w:p>
      <w:pPr>
        <w:ind w:left="7" w:right="3139" w:firstLine="182"/>
        <w:spacing w:after="0" w:line="25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during 1998 by the Chief Executive Officer and the next four most highly compensated executive officers of the Company and the number and value of unexercised options at December 31, 1998. The Company has not granted stock appreciation rights. The values of unexercised in-the-money stock options at December 31, 1998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8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Number of</w:t>
            </w:r>
          </w:p>
        </w:tc>
        <w:tc>
          <w:tcPr>
            <w:tcW w:w="14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Value of</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Underlying</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Unexercised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Unexercised</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 the Money</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Options at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Options at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6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Shares Acquired</w:t>
            </w:r>
          </w:p>
        </w:tc>
        <w:tc>
          <w:tcPr>
            <w:tcW w:w="12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FY-End (#)</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FY-End ($)(2)</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Exercisable/</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56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on Exercises (#) Realized ($)(1) Unexercisable Unexercisable</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1,310,000/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18,914,090/</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V. E. Grijalva....</w:t>
            </w:r>
          </w:p>
        </w:tc>
        <w:tc>
          <w:tcPr>
            <w:tcW w:w="16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40,000</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1,060,000</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690,000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4,391,810</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454,000/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6,235,278/</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A. Gould..........</w:t>
            </w:r>
          </w:p>
        </w:tc>
        <w:tc>
          <w:tcPr>
            <w:tcW w:w="16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2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316,000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2,214,852</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148,000/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2,054,564/</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I. Pfister........</w:t>
            </w:r>
          </w:p>
        </w:tc>
        <w:tc>
          <w:tcPr>
            <w:tcW w:w="16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2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132,000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605,996</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140,000/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1,689,219/</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A. Lindenauer.....</w:t>
            </w:r>
          </w:p>
        </w:tc>
        <w:tc>
          <w:tcPr>
            <w:tcW w:w="16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2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166,000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871,122</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146,000/</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2,029,974/</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104,000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757,496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151" w:lineRule="exact"/>
        <w:rPr>
          <w:rFonts w:ascii="Courier New" w:cs="Courier New" w:eastAsia="Courier New" w:hAnsi="Courier New"/>
          <w:sz w:val="15"/>
          <w:szCs w:val="15"/>
          <w:color w:val="auto"/>
        </w:rPr>
      </w:pPr>
    </w:p>
    <w:p>
      <w:pPr>
        <w:jc w:val="center"/>
        <w:ind w:left="3547" w:right="3139" w:hanging="3547"/>
        <w:spacing w:after="0" w:line="615"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1998 ($46.375) less exercise price. 9</w:t>
      </w:r>
    </w:p>
    <w:p>
      <w:pPr>
        <w:sectPr>
          <w:pgSz w:w="11900" w:h="16838" w:orient="portrait"/>
          <w:cols w:equalWidth="0" w:num="1">
            <w:col w:w="10226"/>
          </w:cols>
          <w:pgMar w:left="233" w:top="61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Employment Agreement</w:t>
      </w:r>
    </w:p>
    <w:p>
      <w:pPr>
        <w:spacing w:after="0" w:line="180" w:lineRule="exact"/>
        <w:rPr>
          <w:sz w:val="20"/>
          <w:szCs w:val="20"/>
          <w:color w:val="auto"/>
        </w:rPr>
      </w:pPr>
    </w:p>
    <w:p>
      <w:pPr>
        <w:ind w:right="3139" w:firstLine="182"/>
        <w:spacing w:after="0" w:line="267" w:lineRule="auto"/>
        <w:rPr>
          <w:sz w:val="20"/>
          <w:szCs w:val="20"/>
          <w:color w:val="auto"/>
        </w:rPr>
      </w:pPr>
      <w:r>
        <w:rPr>
          <w:rFonts w:ascii="Courier New" w:cs="Courier New" w:eastAsia="Courier New" w:hAnsi="Courier New"/>
          <w:sz w:val="15"/>
          <w:szCs w:val="15"/>
          <w:color w:val="auto"/>
        </w:rPr>
        <w:t>Effective January 1, 1999, Mr. Lindenauer assumed a new part-time position as Chairman of Schlumberger Technology Corporation, the Company's United States subsidiary. His employment agreement with the Company provides for annual compensation of $375,000 and will expire on April 30, 2002 when he will retire. Mr. Lindenauer will participate in the Company's employee benefit plans other than vacation, severance programs and the annual cash incentive awards program.</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80" w:lineRule="exact"/>
        <w:rPr>
          <w:sz w:val="20"/>
          <w:szCs w:val="20"/>
          <w:color w:val="auto"/>
        </w:rPr>
      </w:pPr>
    </w:p>
    <w:p>
      <w:pPr>
        <w:ind w:right="3139" w:firstLine="182"/>
        <w:spacing w:after="0" w:line="262" w:lineRule="auto"/>
        <w:rPr>
          <w:sz w:val="20"/>
          <w:szCs w:val="20"/>
          <w:color w:val="auto"/>
        </w:rPr>
      </w:pPr>
      <w:r>
        <w:rPr>
          <w:rFonts w:ascii="Courier New" w:cs="Courier New" w:eastAsia="Courier New" w:hAnsi="Courier New"/>
          <w:sz w:val="15"/>
          <w:szCs w:val="15"/>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these plans also permit or require contributions by employees.</w:t>
      </w:r>
    </w:p>
    <w:p>
      <w:pPr>
        <w:spacing w:after="0" w:line="78" w:lineRule="exact"/>
        <w:rPr>
          <w:sz w:val="20"/>
          <w:szCs w:val="20"/>
          <w:color w:val="auto"/>
        </w:rPr>
      </w:pPr>
    </w:p>
    <w:p>
      <w:pPr>
        <w:ind w:right="3139" w:firstLine="182"/>
        <w:spacing w:after="0" w:line="259"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(the "International Plans") are based on a participant's pensionable salary (generally, base salary plus incentive) for each year in which the participant participates in the International Plans and the participant's length of service with the Company or any subsidiary. From January 1, 1993, the benefit earned is 3.2% of pensionable salary for each year of service. Benefits are payable upon normal retirement age, at or after age 55, or upon early retirement. Estimated annual benefits from the International Plans payable upon retirement are $ 33,714 for Mr. Baird; $57,139 for Mr. Grijalva; and $276,439 for Mr. Gould assuming pensionable salary continues at the December 31, 1998 level for Mr. Gould.</w:t>
      </w:r>
    </w:p>
    <w:p>
      <w:pPr>
        <w:spacing w:after="0" w:line="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Benefits under the U.S. tax qualified pension plans of the Company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of its subsidiaries (the "U.S. plans") are based on a 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admissible compensation (generally, base salary plus incentive) for each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which the participant participates in the U.S. plans and the 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length of service with the Company or any subsidiary. From January 1, 1989,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benefit earned is 1.5% of admissible compensation for service prior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completion of 15 years of active service and 2% of admissible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for service after completion of 15 years of active service.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adopted a supplementary benefit plan for eligible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executive officers. Amounts under the supplementary plan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under an unfunded arrangement to pay each individual the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which would have been payable under the U.S. plans if the amount had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been subject to limitations imposed by law on maximum annual benefit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and on annual compensation recognized to compute plan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annual benefits from the U.S. plans payable upon retirement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$16,066 for Mr. Gould, and, assuming admissible compensation continues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levels, estimated annual benefits payable from the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and the supplementary benefit plan are $700,569 for Mr. Baird; $310,237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Mr. Grijalva; $188,111 for Mr. Pfister, and $232,079 for Mr. Lindenauer.</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80" w:lineRule="exact"/>
        <w:rPr>
          <w:sz w:val="20"/>
          <w:szCs w:val="20"/>
          <w:color w:val="auto"/>
        </w:rPr>
      </w:pPr>
    </w:p>
    <w:p>
      <w:pPr>
        <w:ind w:right="3039" w:firstLine="182"/>
        <w:spacing w:after="0" w:line="257" w:lineRule="auto"/>
        <w:rPr>
          <w:sz w:val="20"/>
          <w:szCs w:val="20"/>
          <w:color w:val="auto"/>
        </w:rPr>
      </w:pPr>
      <w:r>
        <w:rPr>
          <w:rFonts w:ascii="Courier New" w:cs="Courier New" w:eastAsia="Courier New" w:hAnsi="Courier New"/>
          <w:sz w:val="15"/>
          <w:szCs w:val="15"/>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12.</w:t>
      </w:r>
    </w:p>
    <w:p>
      <w:pPr>
        <w:spacing w:after="0" w:line="8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AMONG SCHLUMBERGER LIMITED, S&amp;P 500 INDEX AND VALUE LINE'S OILFIELD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SERVICES INDUSTRY INDEX**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0" w:type="dxa"/>
            <w:vAlign w:val="bottom"/>
          </w:tcPr>
          <w:p>
            <w:pPr>
              <w:spacing w:after="0"/>
              <w:rPr>
                <w:sz w:val="22"/>
                <w:szCs w:val="22"/>
                <w:color w:val="auto"/>
              </w:rPr>
            </w:pPr>
          </w:p>
        </w:tc>
        <w:tc>
          <w:tcPr>
            <w:tcW w:w="5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FOLLOWING DATA WAS REPRESENTED BY A LINE GRAPH]</w:t>
            </w:r>
          </w:p>
        </w:tc>
      </w:tr>
      <w:tr>
        <w:trPr>
          <w:trHeight w:val="443"/>
        </w:trPr>
        <w:tc>
          <w:tcPr>
            <w:tcW w:w="820" w:type="dxa"/>
            <w:vAlign w:val="bottom"/>
          </w:tcPr>
          <w:p>
            <w:pPr>
              <w:spacing w:after="0"/>
              <w:rPr>
                <w:sz w:val="24"/>
                <w:szCs w:val="24"/>
                <w:color w:val="auto"/>
              </w:rPr>
            </w:pPr>
          </w:p>
        </w:tc>
        <w:tc>
          <w:tcPr>
            <w:tcW w:w="1940" w:type="dxa"/>
            <w:vAlign w:val="bottom"/>
          </w:tcPr>
          <w:p>
            <w:pPr>
              <w:ind w:left="360"/>
              <w:spacing w:after="0"/>
              <w:rPr>
                <w:sz w:val="20"/>
                <w:szCs w:val="20"/>
                <w:color w:val="auto"/>
              </w:rPr>
            </w:pPr>
            <w:r>
              <w:rPr>
                <w:rFonts w:ascii="Courier New" w:cs="Courier New" w:eastAsia="Courier New" w:hAnsi="Courier New"/>
                <w:sz w:val="15"/>
                <w:szCs w:val="15"/>
                <w:color w:val="auto"/>
              </w:rPr>
              <w:t>Schlumberger</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S&amp;P 500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Industry Peer Index</w:t>
            </w:r>
          </w:p>
        </w:tc>
      </w:tr>
      <w:tr>
        <w:trPr>
          <w:trHeight w:val="256"/>
        </w:trPr>
        <w:tc>
          <w:tcPr>
            <w:tcW w:w="820" w:type="dxa"/>
            <w:vAlign w:val="bottom"/>
          </w:tcPr>
          <w:p>
            <w:pPr>
              <w:spacing w:after="0"/>
              <w:rPr>
                <w:sz w:val="22"/>
                <w:szCs w:val="22"/>
                <w:color w:val="auto"/>
              </w:rPr>
            </w:pPr>
          </w:p>
        </w:tc>
        <w:tc>
          <w:tcPr>
            <w:tcW w:w="5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r>
      <w:tr>
        <w:trPr>
          <w:trHeight w:val="268"/>
        </w:trPr>
        <w:tc>
          <w:tcPr>
            <w:tcW w:w="8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DOLLARS</w:t>
            </w:r>
          </w:p>
        </w:tc>
        <w:tc>
          <w:tcPr>
            <w:tcW w:w="2100" w:type="dxa"/>
            <w:vAlign w:val="bottom"/>
          </w:tcPr>
          <w:p>
            <w:pPr>
              <w:spacing w:after="0"/>
              <w:rPr>
                <w:sz w:val="23"/>
                <w:szCs w:val="23"/>
                <w:color w:val="auto"/>
              </w:rPr>
            </w:pPr>
          </w:p>
        </w:tc>
      </w:tr>
      <w:tr>
        <w:trPr>
          <w:trHeight w:val="256"/>
        </w:trPr>
        <w:tc>
          <w:tcPr>
            <w:tcW w:w="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22"/>
                <w:szCs w:val="22"/>
                <w:color w:val="auto"/>
              </w:rPr>
            </w:pP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12/93</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100</w:t>
            </w: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12/94</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87</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97</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101</w:t>
            </w: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12/95</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123</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139</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159</w:t>
            </w: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12/96</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180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171</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262</w:t>
            </w: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12/97</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293</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229</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394</w:t>
            </w:r>
          </w:p>
        </w:tc>
      </w:tr>
      <w:tr>
        <w:trPr>
          <w:trHeight w:val="350"/>
        </w:trPr>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12/98</w:t>
            </w:r>
          </w:p>
        </w:tc>
        <w:tc>
          <w:tcPr>
            <w:tcW w:w="1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171</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294</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170</w:t>
            </w:r>
          </w:p>
        </w:tc>
      </w:tr>
    </w:tbl>
    <w:p>
      <w:pPr>
        <w:spacing w:after="0" w:line="268"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Assumes $100 invested on December 31, 1993 in Schlumberger Limited stock, in the S&amp;P 500 Index and in Value Line's 1998 Oilfield Services Industry Index. Reflects month-end dividend reinvestment, and annual reweighting of the Industry Peer Index portfolio.</w:t>
      </w:r>
    </w:p>
    <w:p>
      <w:pPr>
        <w:spacing w:after="0" w:line="61" w:lineRule="exact"/>
        <w:rPr>
          <w:sz w:val="20"/>
          <w:szCs w:val="20"/>
          <w:color w:val="auto"/>
        </w:rPr>
      </w:pPr>
    </w:p>
    <w:p>
      <w:pPr>
        <w:ind w:left="180" w:right="5499" w:firstLine="86"/>
        <w:spacing w:after="0" w:line="368" w:lineRule="auto"/>
        <w:tabs>
          <w:tab w:leader="none" w:pos="45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return assumes reinvestment of dividends. ** Fiscal year ending December 31.</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0" w:lineRule="exact"/>
        <w:rPr>
          <w:sz w:val="20"/>
          <w:szCs w:val="20"/>
          <w:color w:val="auto"/>
        </w:rPr>
      </w:pPr>
    </w:p>
    <w:p>
      <w:pPr>
        <w:ind w:right="3319" w:firstLine="182"/>
        <w:spacing w:after="0" w:line="287" w:lineRule="auto"/>
        <w:rPr>
          <w:sz w:val="20"/>
          <w:szCs w:val="20"/>
          <w:color w:val="auto"/>
        </w:rPr>
      </w:pPr>
      <w:r>
        <w:rPr>
          <w:rFonts w:ascii="Courier New" w:cs="Courier New" w:eastAsia="Courier New" w:hAnsi="Courier New"/>
          <w:sz w:val="15"/>
          <w:szCs w:val="15"/>
          <w:color w:val="auto"/>
        </w:rPr>
        <w:t>The Compensation Committee of the Company's Board is comprised entirely of outside Directors who act on behalf of the Board to review and approve compensation programs applicable to executive officers. Specific awards for these officers are approved by the Committee.</w:t>
      </w:r>
    </w:p>
    <w:p>
      <w:pPr>
        <w:spacing w:after="0" w:line="61" w:lineRule="exact"/>
        <w:rPr>
          <w:sz w:val="20"/>
          <w:szCs w:val="20"/>
          <w:color w:val="auto"/>
        </w:rPr>
      </w:pPr>
    </w:p>
    <w:p>
      <w:pPr>
        <w:ind w:right="3779" w:firstLine="182"/>
        <w:spacing w:after="0" w:line="368"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Cash Incentive Awards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Grants</w:t>
      </w:r>
    </w:p>
    <w:p>
      <w:pPr>
        <w:spacing w:after="0" w:line="152" w:lineRule="exact"/>
        <w:rPr>
          <w:sz w:val="20"/>
          <w:szCs w:val="20"/>
          <w:color w:val="auto"/>
        </w:rPr>
      </w:pPr>
    </w:p>
    <w:p>
      <w:pPr>
        <w:ind w:right="3139" w:firstLine="182"/>
        <w:spacing w:after="0" w:line="277" w:lineRule="auto"/>
        <w:rPr>
          <w:sz w:val="20"/>
          <w:szCs w:val="20"/>
          <w:color w:val="auto"/>
        </w:rPr>
      </w:pPr>
      <w:r>
        <w:rPr>
          <w:rFonts w:ascii="Courier New" w:cs="Courier New" w:eastAsia="Courier New" w:hAnsi="Courier New"/>
          <w:sz w:val="15"/>
          <w:szCs w:val="15"/>
          <w:color w:val="auto"/>
        </w:rPr>
        <w:t>For many years Schlumberger has emphasized career opportunities by recruiting from colleges and universities in countries where the Company works (more than 70 countries throughout the world), supporting mobility and maintaining highly competitive compensation programs which are based on an employee's contribution and potential rather than country of origin.</w:t>
      </w:r>
    </w:p>
    <w:p>
      <w:pPr>
        <w:spacing w:after="0" w:line="68" w:lineRule="exact"/>
        <w:rPr>
          <w:sz w:val="20"/>
          <w:szCs w:val="20"/>
          <w:color w:val="auto"/>
        </w:rPr>
      </w:pPr>
    </w:p>
    <w:p>
      <w:pPr>
        <w:ind w:right="3139" w:firstLine="182"/>
        <w:spacing w:after="0" w:line="271" w:lineRule="auto"/>
        <w:rPr>
          <w:sz w:val="20"/>
          <w:szCs w:val="20"/>
          <w:color w:val="auto"/>
        </w:rPr>
      </w:pPr>
      <w:r>
        <w:rPr>
          <w:rFonts w:ascii="Courier New" w:cs="Courier New" w:eastAsia="Courier New" w:hAnsi="Courier New"/>
          <w:sz w:val="15"/>
          <w:szCs w:val="15"/>
          <w:color w:val="auto"/>
        </w:rPr>
        <w:t>Thus, the three programs noted above are applicable not only to executive officers but to thousands of managerial, professional and technical employees in the Company. At all levels, employees enjoy competitive base salaries. Cash incentive participation is added to the compensation package as employees advance, with the size of incentive opportunity as a percent of base salary increasing as one progresses in the organization.</w:t>
      </w:r>
    </w:p>
    <w:p>
      <w:pPr>
        <w:spacing w:after="0" w:line="72" w:lineRule="exact"/>
        <w:rPr>
          <w:sz w:val="20"/>
          <w:szCs w:val="20"/>
          <w:color w:val="auto"/>
        </w:rPr>
      </w:pPr>
    </w:p>
    <w:p>
      <w:pPr>
        <w:ind w:right="3139" w:firstLine="182"/>
        <w:spacing w:after="0" w:line="307" w:lineRule="auto"/>
        <w:rPr>
          <w:sz w:val="20"/>
          <w:szCs w:val="20"/>
          <w:color w:val="auto"/>
        </w:rPr>
      </w:pPr>
      <w:r>
        <w:rPr>
          <w:rFonts w:ascii="Courier New" w:cs="Courier New" w:eastAsia="Courier New" w:hAnsi="Courier New"/>
          <w:sz w:val="15"/>
          <w:szCs w:val="15"/>
          <w:color w:val="auto"/>
        </w:rPr>
        <w:t>Within the first few years of employment, those with strong performance as well as outstanding future potential may be awarded stock option grants, which are discretionary in nature.</w:t>
      </w:r>
    </w:p>
    <w:p>
      <w:pPr>
        <w:spacing w:after="0" w:line="47" w:lineRule="exact"/>
        <w:rPr>
          <w:sz w:val="20"/>
          <w:szCs w:val="20"/>
          <w:color w:val="auto"/>
        </w:rPr>
      </w:pPr>
    </w:p>
    <w:p>
      <w:pPr>
        <w:ind w:right="3419" w:firstLine="182"/>
        <w:spacing w:after="0" w:line="287" w:lineRule="auto"/>
        <w:rPr>
          <w:sz w:val="20"/>
          <w:szCs w:val="20"/>
          <w:color w:val="auto"/>
        </w:rPr>
      </w:pPr>
      <w:r>
        <w:rPr>
          <w:rFonts w:ascii="Courier New" w:cs="Courier New" w:eastAsia="Courier New" w:hAnsi="Courier New"/>
          <w:sz w:val="15"/>
          <w:szCs w:val="15"/>
          <w:color w:val="auto"/>
        </w:rPr>
        <w:t>In this way, an increasing portion of the successful employee's total compensation becomes leveraged against yearly results and Company long-term appreciation due to the expanding role played by cash incentives and stock options in the total compensation package.</w:t>
      </w:r>
    </w:p>
    <w:p>
      <w:pPr>
        <w:spacing w:after="0" w:line="61"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Many of the Company's subsidiaries also have profit sharing plans that provide annual deferred awards which reflect the results of the fiscal year for the subsidiary sponsoring the plan. These awards also tend to increase the portion of total compensation which is leveraged against business results.</w:t>
      </w:r>
    </w:p>
    <w:p>
      <w:pPr>
        <w:spacing w:after="0" w:line="61" w:lineRule="exact"/>
        <w:rPr>
          <w:sz w:val="20"/>
          <w:szCs w:val="20"/>
          <w:color w:val="auto"/>
        </w:rPr>
      </w:pPr>
    </w:p>
    <w:p>
      <w:pPr>
        <w:ind w:right="3139" w:firstLine="182"/>
        <w:spacing w:after="0" w:line="260" w:lineRule="auto"/>
        <w:rPr>
          <w:sz w:val="20"/>
          <w:szCs w:val="20"/>
          <w:color w:val="auto"/>
        </w:rPr>
      </w:pPr>
      <w:r>
        <w:rPr>
          <w:rFonts w:ascii="Courier New" w:cs="Courier New" w:eastAsia="Courier New" w:hAnsi="Courier New"/>
          <w:sz w:val="15"/>
          <w:szCs w:val="15"/>
          <w:color w:val="auto"/>
        </w:rPr>
        <w:t>Base salaries are reviewed annually for competitiveness against a data base of comparator company information provided by outside compensation consultants. The companies in the data base reflect those broad industry segments in which the Company competes--- oil-related, high technology and high volume manufacturing. The companies in the data base may change slightly from year to year due to mergers and acquisitions as well as the normal movement of companies into and out of the data base at their own volition. The roster of companies in the data base used for executive officer base salary ranges is also used for professional and managerial employees of the Company throughout the world.</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15" w:name="page16"/>
    <w:bookmarkEnd w:id="15"/>
    <w:p>
      <w:pPr>
        <w:ind w:right="3139" w:firstLine="182"/>
        <w:spacing w:after="0" w:line="271" w:lineRule="auto"/>
        <w:rPr>
          <w:sz w:val="20"/>
          <w:szCs w:val="20"/>
          <w:color w:val="auto"/>
        </w:rPr>
      </w:pPr>
      <w:r>
        <w:rPr>
          <w:rFonts w:ascii="Courier New" w:cs="Courier New" w:eastAsia="Courier New" w:hAnsi="Courier New"/>
          <w:sz w:val="15"/>
          <w:szCs w:val="15"/>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the period of low inflation we have been experiencing.</w:t>
      </w:r>
    </w:p>
    <w:p>
      <w:pPr>
        <w:spacing w:after="0" w:line="72" w:lineRule="exact"/>
        <w:rPr>
          <w:sz w:val="20"/>
          <w:szCs w:val="20"/>
          <w:color w:val="auto"/>
        </w:rPr>
      </w:pPr>
    </w:p>
    <w:p>
      <w:pPr>
        <w:ind w:right="3139" w:firstLine="182"/>
        <w:spacing w:after="0" w:line="277" w:lineRule="auto"/>
        <w:rPr>
          <w:sz w:val="20"/>
          <w:szCs w:val="20"/>
          <w:color w:val="auto"/>
        </w:rPr>
      </w:pPr>
      <w:r>
        <w:rPr>
          <w:rFonts w:ascii="Courier New" w:cs="Courier New" w:eastAsia="Courier New" w:hAnsi="Courier New"/>
          <w:sz w:val="15"/>
          <w:szCs w:val="15"/>
          <w:color w:val="auto"/>
        </w:rPr>
        <w:t>Consistent with this policy, there were two salary changes among the executive officers in 1998. Victor Grijalva's salary was increased on his being promoted to Vice Chairman of the Company and Andrew Gould's salary was increased on his promotion to Executive Vice President with responsibility for the Oilfield Services Products Group.</w:t>
      </w:r>
    </w:p>
    <w:p>
      <w:pPr>
        <w:spacing w:after="0" w:line="68" w:lineRule="exact"/>
        <w:rPr>
          <w:sz w:val="20"/>
          <w:szCs w:val="20"/>
          <w:color w:val="auto"/>
        </w:rPr>
      </w:pPr>
    </w:p>
    <w:p>
      <w:pPr>
        <w:ind w:right="3319" w:firstLine="182"/>
        <w:spacing w:after="0" w:line="277"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 Industry Group). The Value Line companies do not constitute a source of recruits nor do they reflect all the industry segments in which the company operates.</w:t>
      </w:r>
    </w:p>
    <w:p>
      <w:pPr>
        <w:spacing w:after="0" w:line="68" w:lineRule="exact"/>
        <w:rPr>
          <w:sz w:val="20"/>
          <w:szCs w:val="20"/>
          <w:color w:val="auto"/>
        </w:rPr>
      </w:pPr>
    </w:p>
    <w:p>
      <w:pPr>
        <w:ind w:right="3139" w:firstLine="182"/>
        <w:spacing w:after="0" w:line="307"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calendar year.</w:t>
      </w:r>
    </w:p>
    <w:p>
      <w:pPr>
        <w:spacing w:after="0" w:line="47" w:lineRule="exact"/>
        <w:rPr>
          <w:sz w:val="20"/>
          <w:szCs w:val="20"/>
          <w:color w:val="auto"/>
        </w:rPr>
      </w:pPr>
    </w:p>
    <w:p>
      <w:pPr>
        <w:ind w:right="3319" w:firstLine="182"/>
        <w:spacing w:after="0" w:line="277" w:lineRule="auto"/>
        <w:rPr>
          <w:sz w:val="20"/>
          <w:szCs w:val="20"/>
          <w:color w:val="auto"/>
        </w:rPr>
      </w:pPr>
      <w:r>
        <w:rPr>
          <w:rFonts w:ascii="Courier New" w:cs="Courier New" w:eastAsia="Courier New" w:hAnsi="Courier New"/>
          <w:sz w:val="15"/>
          <w:szCs w:val="15"/>
          <w:color w:val="auto"/>
        </w:rPr>
        <w:t>For all executive officers incentive awards are calculated as a percent of the base salary paid for the completed calendar year. The maximum percent varies among executive officer positions to reflect the differing levels of potential impact on Company results. For 1998, the incentive award ranges were:</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100% for Mr. Baird</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75% for Messrs. Grijalva, Gould and Pfister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60% for Mr. Lindenauer</w:t>
      </w:r>
    </w:p>
    <w:p>
      <w:pPr>
        <w:spacing w:after="0" w:line="152" w:lineRule="exact"/>
        <w:rPr>
          <w:sz w:val="20"/>
          <w:szCs w:val="20"/>
          <w:color w:val="auto"/>
        </w:rPr>
      </w:pPr>
    </w:p>
    <w:p>
      <w:pPr>
        <w:ind w:right="3959"/>
        <w:spacing w:after="0" w:line="368" w:lineRule="auto"/>
        <w:rPr>
          <w:sz w:val="20"/>
          <w:szCs w:val="20"/>
          <w:color w:val="auto"/>
        </w:rPr>
      </w:pPr>
      <w:r>
        <w:rPr>
          <w:rFonts w:ascii="Courier New" w:cs="Courier New" w:eastAsia="Courier New" w:hAnsi="Courier New"/>
          <w:sz w:val="15"/>
          <w:szCs w:val="15"/>
          <w:color w:val="auto"/>
        </w:rPr>
        <w:t>For Mr. Pfister, 75% is a target which could be exceeded in a year of exceptional performance.</w:t>
      </w:r>
    </w:p>
    <w:p>
      <w:pPr>
        <w:spacing w:after="0" w:line="3" w:lineRule="exact"/>
        <w:rPr>
          <w:sz w:val="20"/>
          <w:szCs w:val="20"/>
          <w:color w:val="auto"/>
        </w:rPr>
      </w:pPr>
    </w:p>
    <w:p>
      <w:pPr>
        <w:ind w:right="3139" w:firstLine="182"/>
        <w:spacing w:after="0" w:line="271" w:lineRule="auto"/>
        <w:rPr>
          <w:sz w:val="20"/>
          <w:szCs w:val="20"/>
          <w:color w:val="auto"/>
        </w:rPr>
      </w:pPr>
      <w:r>
        <w:rPr>
          <w:rFonts w:ascii="Courier New" w:cs="Courier New" w:eastAsia="Courier New" w:hAnsi="Courier New"/>
          <w:sz w:val="15"/>
          <w:szCs w:val="15"/>
          <w:color w:val="auto"/>
        </w:rPr>
        <w:t>One half of the incentive potential for each executive officer is a function of performance against specific numerical targets for the Company (Messrs. Baird and Lindenauer) or the business sector for which the executive officer was responsible (Messrs. Grijalva, Gould and Pfister) during the calendar year completed. The Company target is earnings per share; the business sector target is net income for the sector.</w:t>
      </w:r>
    </w:p>
    <w:p>
      <w:pPr>
        <w:spacing w:after="0" w:line="72" w:lineRule="exact"/>
        <w:rPr>
          <w:sz w:val="20"/>
          <w:szCs w:val="20"/>
          <w:color w:val="auto"/>
        </w:rPr>
      </w:pPr>
    </w:p>
    <w:p>
      <w:pPr>
        <w:ind w:right="3139" w:firstLine="182"/>
        <w:spacing w:after="0" w:line="277" w:lineRule="auto"/>
        <w:rPr>
          <w:sz w:val="20"/>
          <w:szCs w:val="20"/>
          <w:color w:val="auto"/>
        </w:rPr>
      </w:pPr>
      <w:r>
        <w:rPr>
          <w:rFonts w:ascii="Courier New" w:cs="Courier New" w:eastAsia="Courier New" w:hAnsi="Courier New"/>
          <w:sz w:val="15"/>
          <w:szCs w:val="15"/>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68"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Downturns in the oil and semiconductor equipment industries adversely affected the incentive awards of the four named executives and, therefore, their total cash compensation for 1998 was at or below the median of available comparator market data.</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16" w:name="page17"/>
    <w:bookmarkEnd w:id="16"/>
    <w:p>
      <w:pPr>
        <w:ind w:right="3219" w:firstLine="182"/>
        <w:spacing w:after="0" w:line="277" w:lineRule="auto"/>
        <w:rPr>
          <w:sz w:val="20"/>
          <w:szCs w:val="20"/>
          <w:color w:val="auto"/>
        </w:rPr>
      </w:pPr>
      <w:r>
        <w:rPr>
          <w:rFonts w:ascii="Courier New" w:cs="Courier New" w:eastAsia="Courier New" w:hAnsi="Courier New"/>
          <w:sz w:val="15"/>
          <w:szCs w:val="15"/>
          <w:color w:val="auto"/>
        </w:rPr>
        <w:t>Stock option grants are periodically considered in a Company-wide review of those deemed eligible to receive an option grant. Such reviews are conducted every 18 months to two years. In addition, grants typically are awarded between general reviews to recognize promotions, substantial changes in responsibility and significant individual or team achievements.</w:t>
      </w:r>
    </w:p>
    <w:p>
      <w:pPr>
        <w:spacing w:after="0" w:line="68"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The Company's stock option program is unique in that grants are awarded on an entirely discretionary basis to individuals demonstrating exceptional performance in their current positions as well as the likelihood of continuing high quality performance in the future.</w:t>
      </w:r>
    </w:p>
    <w:p>
      <w:pPr>
        <w:spacing w:after="0" w:line="61" w:lineRule="exact"/>
        <w:rPr>
          <w:sz w:val="20"/>
          <w:szCs w:val="20"/>
          <w:color w:val="auto"/>
        </w:rPr>
      </w:pPr>
    </w:p>
    <w:p>
      <w:pPr>
        <w:jc w:val="both"/>
        <w:ind w:right="3319" w:firstLine="182"/>
        <w:spacing w:after="0" w:line="307" w:lineRule="auto"/>
        <w:rPr>
          <w:sz w:val="20"/>
          <w:szCs w:val="20"/>
          <w:color w:val="auto"/>
        </w:rPr>
      </w:pPr>
      <w:r>
        <w:rPr>
          <w:rFonts w:ascii="Courier New" w:cs="Courier New" w:eastAsia="Courier New" w:hAnsi="Courier New"/>
          <w:sz w:val="15"/>
          <w:szCs w:val="15"/>
          <w:color w:val="auto"/>
        </w:rPr>
        <w:t>Of the named executive officers, only Mr. Gould was awarded a stock option grant in 1998 in conjunction with his promotion to Executive Vice President, Oilfield Services Products Group.</w:t>
      </w:r>
    </w:p>
    <w:p>
      <w:pPr>
        <w:spacing w:after="0" w:line="47" w:lineRule="exact"/>
        <w:rPr>
          <w:sz w:val="20"/>
          <w:szCs w:val="20"/>
          <w:color w:val="auto"/>
        </w:rPr>
      </w:pPr>
    </w:p>
    <w:p>
      <w:pPr>
        <w:ind w:right="3419" w:firstLine="182"/>
        <w:spacing w:after="0" w:line="368" w:lineRule="auto"/>
        <w:rPr>
          <w:sz w:val="20"/>
          <w:szCs w:val="20"/>
          <w:color w:val="auto"/>
        </w:rPr>
      </w:pPr>
      <w:r>
        <w:rPr>
          <w:rFonts w:ascii="Courier New" w:cs="Courier New" w:eastAsia="Courier New" w:hAnsi="Courier New"/>
          <w:sz w:val="15"/>
          <w:szCs w:val="15"/>
          <w:color w:val="auto"/>
        </w:rPr>
        <w:t>Messrs. Baird, Grijalva and Lindenauer received the final grants of their respective Schlumberger careers in 1997.</w:t>
      </w:r>
    </w:p>
    <w:p>
      <w:pPr>
        <w:spacing w:after="0" w:line="3"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for all other optionees--10-year term, vesting in 20% steps at the first through fifth anniversary of grant date, and option price equal to fair market value on date of grant.</w:t>
      </w:r>
    </w:p>
    <w:p>
      <w:pPr>
        <w:spacing w:after="0" w:line="61" w:lineRule="exact"/>
        <w:rPr>
          <w:sz w:val="20"/>
          <w:szCs w:val="20"/>
          <w:color w:val="auto"/>
        </w:rPr>
      </w:pPr>
    </w:p>
    <w:p>
      <w:pPr>
        <w:ind w:right="3219" w:firstLine="182"/>
        <w:spacing w:after="0" w:line="260" w:lineRule="auto"/>
        <w:rPr>
          <w:sz w:val="20"/>
          <w:szCs w:val="20"/>
          <w:color w:val="auto"/>
        </w:rPr>
      </w:pPr>
      <w:r>
        <w:rPr>
          <w:rFonts w:ascii="Courier New" w:cs="Courier New" w:eastAsia="Courier New" w:hAnsi="Courier New"/>
          <w:sz w:val="15"/>
          <w:szCs w:val="15"/>
          <w:color w:val="auto"/>
        </w:rPr>
        <w:t>Schlumberger has not granted below 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1998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80" w:lineRule="exact"/>
        <w:rPr>
          <w:sz w:val="20"/>
          <w:szCs w:val="20"/>
          <w:color w:val="auto"/>
        </w:rPr>
      </w:pPr>
    </w:p>
    <w:p>
      <w:pPr>
        <w:ind w:right="3219" w:firstLine="182"/>
        <w:spacing w:after="0" w:line="277" w:lineRule="auto"/>
        <w:rPr>
          <w:sz w:val="20"/>
          <w:szCs w:val="20"/>
          <w:color w:val="auto"/>
        </w:rPr>
      </w:pPr>
      <w:r>
        <w:rPr>
          <w:rFonts w:ascii="Courier New" w:cs="Courier New" w:eastAsia="Courier New" w:hAnsi="Courier New"/>
          <w:sz w:val="15"/>
          <w:szCs w:val="15"/>
          <w:color w:val="auto"/>
        </w:rPr>
        <w:t>The same data base of companies used for comparison purposes to review base salaries of other executive officers (and managerial employees throughout the Schlumberger universe) is studied to consider the base salary of the Chief Executive Officer. The data base reflects the industry segments in which the Company operates, oil-related, high technology and high volume manufacturing.</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Chief Executive Officer's salary remained at $1,500,000 during 1998.</w:t>
      </w:r>
    </w:p>
    <w:p>
      <w:pPr>
        <w:spacing w:after="0" w:line="180" w:lineRule="exact"/>
        <w:rPr>
          <w:sz w:val="20"/>
          <w:szCs w:val="20"/>
          <w:color w:val="auto"/>
        </w:rPr>
      </w:pPr>
    </w:p>
    <w:p>
      <w:pPr>
        <w:ind w:right="3219" w:firstLine="182"/>
        <w:spacing w:after="0" w:line="271" w:lineRule="auto"/>
        <w:rPr>
          <w:sz w:val="20"/>
          <w:szCs w:val="20"/>
          <w:color w:val="auto"/>
        </w:rPr>
      </w:pPr>
      <w:r>
        <w:rPr>
          <w:rFonts w:ascii="Courier New" w:cs="Courier New" w:eastAsia="Courier New" w:hAnsi="Courier New"/>
          <w:sz w:val="15"/>
          <w:szCs w:val="15"/>
          <w:color w:val="auto"/>
        </w:rPr>
        <w:t>The potential cash incentive award for the Chief Executive Officer for 1998 was 100% of base salary. As with other executive officers with corporate responsibility, one half of this award potential was a measure of performance against targeted earnings per share for the Company. No payment was made on this half of the incentive award due to the downturns in the oil and semiconductor equipment industries.</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7" w:name="page18"/>
    <w:bookmarkEnd w:id="17"/>
    <w:p>
      <w:pPr>
        <w:ind w:right="3139" w:firstLine="182"/>
        <w:spacing w:after="0" w:line="264" w:lineRule="auto"/>
        <w:rPr>
          <w:sz w:val="20"/>
          <w:szCs w:val="20"/>
          <w:color w:val="auto"/>
        </w:rPr>
      </w:pPr>
      <w:r>
        <w:rPr>
          <w:rFonts w:ascii="Courier New" w:cs="Courier New" w:eastAsia="Courier New" w:hAnsi="Courier New"/>
          <w:sz w:val="15"/>
          <w:szCs w:val="15"/>
          <w:color w:val="auto"/>
        </w:rPr>
        <w:t>The second half of the award potential reflects the Committee's evaluation of Mr. Baird's performance against strategic objectives established early in 1998 for the calendar year. These included a continuing focus on the Company's core strengths to build for the future by acquiring Camco International, Inc. to more fully address the completions market in the oilfield sector, and by the sale of the retail petroleum systems business. Disclosure of specific measures applied to evaluate achievement of Mr. Baird's objectives could adversely affect the Company's competitive position.</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total cash incentive awarded Mr. Baird for 1998 performance was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$600,000. In combination with base salary, this placed him at the median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comparator market data.</w:t>
      </w:r>
    </w:p>
    <w:p>
      <w:pPr>
        <w:spacing w:after="0" w:line="152" w:lineRule="exact"/>
        <w:rPr>
          <w:sz w:val="20"/>
          <w:szCs w:val="20"/>
          <w:color w:val="auto"/>
        </w:rPr>
      </w:pPr>
    </w:p>
    <w:p>
      <w:pPr>
        <w:ind w:right="3139" w:firstLine="182"/>
        <w:spacing w:after="0" w:line="368" w:lineRule="auto"/>
        <w:rPr>
          <w:sz w:val="20"/>
          <w:szCs w:val="20"/>
          <w:color w:val="auto"/>
        </w:rPr>
      </w:pPr>
      <w:r>
        <w:rPr>
          <w:rFonts w:ascii="Courier New" w:cs="Courier New" w:eastAsia="Courier New" w:hAnsi="Courier New"/>
          <w:sz w:val="15"/>
          <w:szCs w:val="15"/>
          <w:color w:val="auto"/>
        </w:rPr>
        <w:t>In 1998, Mr. Baird received no stock option grant since the grant awarded in 1997 was intended by the Committee to be his last grant before retirement.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Mr. Baird has no employment agreement with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ectPr>
          <w:pgSz w:w="11900" w:h="16838" w:orient="portrait"/>
          <w:cols w:equalWidth="0" w:num="1">
            <w:col w:w="10219"/>
          </w:cols>
          <w:pgMar w:left="240" w:top="615" w:right="1440" w:bottom="1440" w:gutter="0" w:footer="0" w:header="0"/>
        </w:sectPr>
      </w:pPr>
    </w:p>
    <w:p>
      <w:pPr>
        <w:spacing w:after="0" w:line="152" w:lineRule="exact"/>
        <w:rPr>
          <w:sz w:val="20"/>
          <w:szCs w:val="20"/>
          <w:color w:val="auto"/>
        </w:rPr>
      </w:pPr>
    </w:p>
    <w:p>
      <w:pPr>
        <w:ind w:left="540" w:right="900"/>
        <w:spacing w:after="0" w:line="368" w:lineRule="auto"/>
        <w:rPr>
          <w:sz w:val="20"/>
          <w:szCs w:val="20"/>
          <w:color w:val="auto"/>
        </w:rPr>
      </w:pPr>
      <w:r>
        <w:rPr>
          <w:rFonts w:ascii="Courier New" w:cs="Courier New" w:eastAsia="Courier New" w:hAnsi="Courier New"/>
          <w:sz w:val="15"/>
          <w:szCs w:val="15"/>
          <w:color w:val="auto"/>
        </w:rPr>
        <w:t>Don E. Ackerman, Chairman Denys Henderson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151" w:lineRule="exact"/>
        <w:rPr>
          <w:sz w:val="20"/>
          <w:szCs w:val="20"/>
          <w:color w:val="auto"/>
        </w:rPr>
      </w:pPr>
    </w:p>
    <w:p>
      <w:pPr>
        <w:sectPr>
          <w:pgSz w:w="11900" w:h="16838" w:orient="portrait"/>
          <w:cols w:equalWidth="0" w:num="2">
            <w:col w:w="3720" w:space="720"/>
            <w:col w:w="5779"/>
          </w:cols>
          <w:pgMar w:left="240" w:top="615"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type w:val="continuous"/>
        </w:sectPr>
      </w:pPr>
    </w:p>
    <w:bookmarkStart w:id="18" w:name="page19"/>
    <w:bookmarkEnd w:id="18"/>
    <w:p>
      <w:pPr>
        <w:ind w:left="2540"/>
        <w:spacing w:after="0"/>
        <w:rPr>
          <w:sz w:val="20"/>
          <w:szCs w:val="20"/>
          <w:color w:val="auto"/>
        </w:rPr>
      </w:pPr>
      <w:r>
        <w:rPr>
          <w:rFonts w:ascii="Courier New" w:cs="Courier New" w:eastAsia="Courier New" w:hAnsi="Courier New"/>
          <w:sz w:val="15"/>
          <w:szCs w:val="15"/>
          <w:color w:val="auto"/>
        </w:rPr>
        <w:t>2. Financial Statements</w:t>
      </w:r>
    </w:p>
    <w:p>
      <w:pPr>
        <w:spacing w:after="0" w:line="180" w:lineRule="exact"/>
        <w:rPr>
          <w:sz w:val="20"/>
          <w:szCs w:val="20"/>
          <w:color w:val="auto"/>
        </w:rPr>
      </w:pPr>
    </w:p>
    <w:p>
      <w:pPr>
        <w:ind w:right="3139" w:firstLine="182"/>
        <w:spacing w:after="0" w:line="277" w:lineRule="auto"/>
        <w:rPr>
          <w:sz w:val="20"/>
          <w:szCs w:val="20"/>
          <w:color w:val="auto"/>
        </w:rPr>
      </w:pPr>
      <w:r>
        <w:rPr>
          <w:rFonts w:ascii="Courier New" w:cs="Courier New" w:eastAsia="Courier New" w:hAnsi="Courier New"/>
          <w:sz w:val="15"/>
          <w:szCs w:val="15"/>
          <w:color w:val="auto"/>
        </w:rPr>
        <w:t>The Company's Consolidated Balance Sheet as at December 31, 1998, its Consolidated Statement of Income for the year ended December 31, 1998, as audited by PricewaterhouseCoopers LLP, and the amount of dividends declared by the Board of Directors during 1998 are submitted to the stockholders pursuant to the Deed of Incorporation of the Company</w:t>
      </w:r>
    </w:p>
    <w:p>
      <w:pPr>
        <w:spacing w:after="0" w:line="68" w:lineRule="exact"/>
        <w:rPr>
          <w:sz w:val="20"/>
          <w:szCs w:val="20"/>
          <w:color w:val="auto"/>
        </w:rPr>
      </w:pPr>
    </w:p>
    <w:p>
      <w:pPr>
        <w:ind w:right="3319" w:firstLine="182"/>
        <w:spacing w:after="0" w:line="287" w:lineRule="auto"/>
        <w:rPr>
          <w:sz w:val="20"/>
          <w:szCs w:val="20"/>
          <w:color w:val="auto"/>
        </w:rPr>
      </w:pPr>
      <w:r>
        <w:rPr>
          <w:rFonts w:ascii="Courier New" w:cs="Courier New" w:eastAsia="Courier New" w:hAnsi="Courier New"/>
          <w:sz w:val="15"/>
          <w:szCs w:val="15"/>
          <w:color w:val="auto"/>
        </w:rPr>
        <w:t>A majority of the votes cast is required for the approval of the financial results as set forth in such financial statements and of the declaration of dividends by the Board of Directors reflected in the Company's 1998 Annual Report.</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3. Appointment of Auditors</w:t>
      </w:r>
    </w:p>
    <w:p>
      <w:pPr>
        <w:spacing w:after="0" w:line="180" w:lineRule="exact"/>
        <w:rPr>
          <w:sz w:val="20"/>
          <w:szCs w:val="20"/>
          <w:color w:val="auto"/>
        </w:rPr>
      </w:pPr>
    </w:p>
    <w:p>
      <w:pPr>
        <w:ind w:right="3139" w:firstLine="182"/>
        <w:spacing w:after="0" w:line="262" w:lineRule="auto"/>
        <w:rPr>
          <w:sz w:val="20"/>
          <w:szCs w:val="20"/>
          <w:color w:val="auto"/>
        </w:rPr>
      </w:pPr>
      <w:r>
        <w:rPr>
          <w:rFonts w:ascii="Courier New" w:cs="Courier New" w:eastAsia="Courier New" w:hAnsi="Courier New"/>
          <w:sz w:val="15"/>
          <w:szCs w:val="15"/>
          <w:color w:val="auto"/>
        </w:rPr>
        <w:t>In 1998 Price Waterhouse LLP, who served as auditors for the Company since its organization, merged with Coopers &amp; Lybrand LLP to become PricewaterhouseCoopers LLP. PricewaterhouseCoopers LLP has been selected by the Board of Directors as independent public accountants to audit the accounts of the Company for the year ending December 31, 1999. The Company's By-Laws provide that the selection of auditors is subject to approval by the stockholders, and a majority of the votes cast is required for such approval. A representative of PricewaterhouseCoopers LLP will attend the Meeting and will have the opportunity to make a statement and respond to questions.</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Stockholder Proposals for 2000 Annual General Meeting</w:t>
      </w:r>
    </w:p>
    <w:p>
      <w:pPr>
        <w:spacing w:after="0" w:line="180" w:lineRule="exact"/>
        <w:rPr>
          <w:sz w:val="20"/>
          <w:szCs w:val="20"/>
          <w:color w:val="auto"/>
        </w:rPr>
      </w:pPr>
    </w:p>
    <w:p>
      <w:pPr>
        <w:ind w:right="3139" w:firstLine="182"/>
        <w:spacing w:after="0" w:line="262" w:lineRule="auto"/>
        <w:rPr>
          <w:sz w:val="20"/>
          <w:szCs w:val="20"/>
          <w:color w:val="auto"/>
        </w:rPr>
      </w:pPr>
      <w:r>
        <w:rPr>
          <w:rFonts w:ascii="Courier New" w:cs="Courier New" w:eastAsia="Courier New" w:hAnsi="Courier New"/>
          <w:sz w:val="15"/>
          <w:szCs w:val="15"/>
          <w:color w:val="auto"/>
        </w:rPr>
        <w:t>In order for a stockholder proposal to be considered for inclusion in the Proxy Statement for the 2000 Annual General Meeting of Stockholders, written proposals must be received by the Secretary of the Company, 277 Park Avenue, New York, New York 10172-0266, no later than November 10, 1999. Pursuant to the rules under the Securities Exchange Act of 1934, the Company may use discretionary authority to vote proxies with respect to shareholder proposals to be presented in person at the 2000 Annual General Meeting if the shareholder making the proposal has not given notice to the Company by January 25, 2000.</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3219" w:firstLine="182"/>
        <w:spacing w:after="0" w:line="307"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at 277 Park Avenue, New York, New York 10172-0266.</w:t>
      </w:r>
    </w:p>
    <w:p>
      <w:pPr>
        <w:spacing w:after="0" w:line="47"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61" w:lineRule="exact"/>
        <w:rPr>
          <w:sz w:val="20"/>
          <w:szCs w:val="20"/>
          <w:color w:val="auto"/>
        </w:rPr>
      </w:pPr>
    </w:p>
    <w:p>
      <w:pPr>
        <w:ind w:right="3859" w:firstLine="182"/>
        <w:spacing w:after="0" w:line="368"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James L. Gunderson</w:t>
      </w:r>
    </w:p>
    <w:p>
      <w:pPr>
        <w:spacing w:after="0" w:line="3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1999</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4" w:right="1440" w:bottom="1440" w:gutter="0" w:footer="0" w:header="0"/>
        </w:sectPr>
      </w:pPr>
    </w:p>
    <w:bookmarkStart w:id="20" w:name="page21"/>
    <w:bookmarkEnd w:id="20"/>
    <w:p>
      <w:pPr>
        <w:ind w:left="2240"/>
        <w:spacing w:after="0"/>
        <w:rPr>
          <w:sz w:val="20"/>
          <w:szCs w:val="20"/>
          <w:color w:val="auto"/>
        </w:rPr>
      </w:pPr>
      <w:r>
        <w:rPr>
          <w:rFonts w:ascii="Courier New" w:cs="Courier New" w:eastAsia="Courier New" w:hAnsi="Courier New"/>
          <w:sz w:val="15"/>
          <w:szCs w:val="15"/>
          <w:color w:val="auto"/>
        </w:rPr>
        <w:t>SCHLUMBERGER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NOTICE OF</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ANNUAL GENERAL MEETING</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OF STOCKHOLDERS</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PROXY STATEMENT</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APRIL 14,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Please sign your proxy card and</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return it in the enclosed</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envelope so that you may be</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represented at the Meeting.</w:t>
      </w:r>
    </w:p>
    <w:p>
      <w:pPr>
        <w:spacing w:after="0" w:line="15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964" w:right="1440" w:bottom="1440" w:gutter="0" w:footer="0" w:header="0"/>
        </w:sectPr>
      </w:pPr>
    </w:p>
    <w:bookmarkStart w:id="21" w:name="page22"/>
    <w:bookmarkEnd w:id="21"/>
    <w:p>
      <w:pPr>
        <w:jc w:val="center"/>
        <w:ind w:right="3039"/>
        <w:spacing w:after="0"/>
        <w:rPr>
          <w:sz w:val="20"/>
          <w:szCs w:val="20"/>
          <w:color w:val="auto"/>
        </w:rPr>
      </w:pPr>
      <w:r>
        <w:rPr>
          <w:rFonts w:ascii="Courier New" w:cs="Courier New" w:eastAsia="Courier New" w:hAnsi="Courier New"/>
          <w:sz w:val="15"/>
          <w:szCs w:val="15"/>
          <w:color w:val="auto"/>
        </w:rPr>
        <w:t>Schlumberger Preliminary Financial Statements</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Information of SEC only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FIVE-YEAR SUMMARY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4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20"/>
                <w:szCs w:val="20"/>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0"/>
                <w:szCs w:val="20"/>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20"/>
                <w:szCs w:val="20"/>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36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58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$ 8,895</w:t>
            </w:r>
          </w:p>
        </w:tc>
        <w:tc>
          <w:tcPr>
            <w:tcW w:w="118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$ 8,559</w:t>
            </w: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$6,875</w:t>
            </w:r>
          </w:p>
        </w:tc>
        <w:tc>
          <w:tcPr>
            <w:tcW w:w="132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$ 5,514</w:t>
            </w:r>
          </w:p>
        </w:tc>
        <w:tc>
          <w:tcPr>
            <w:tcW w:w="92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$5,001</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Oilfield Services</w:t>
            </w:r>
          </w:p>
        </w:tc>
        <w:tc>
          <w:tcPr>
            <w:tcW w:w="15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Resource Management Services</w:t>
            </w: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1,465</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1,569</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1,765</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1,771</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1,590</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Test &amp; Transactions</w:t>
            </w: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1,066</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741</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684</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Eliminations and other/1/</w:t>
            </w: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230</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349</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321</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299</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revenue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$11,816</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$11,543</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$9,702</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$ 8,268</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$7,332</w:t>
            </w:r>
          </w:p>
        </w:tc>
        <w:tc>
          <w:tcPr>
            <w:tcW w:w="0" w:type="dxa"/>
            <w:vAlign w:val="bottom"/>
          </w:tcPr>
          <w:p>
            <w:pPr>
              <w:spacing w:after="0"/>
              <w:rPr>
                <w:sz w:val="1"/>
                <w:szCs w:val="1"/>
                <w:color w:val="auto"/>
              </w:rPr>
            </w:pPr>
          </w:p>
        </w:tc>
      </w:tr>
      <w:tr>
        <w:trPr>
          <w:trHeight w:val="175"/>
        </w:trPr>
        <w:tc>
          <w:tcPr>
            <w:tcW w:w="3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 increase over prior year</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360" w:type="dxa"/>
            <w:vAlign w:val="bottom"/>
            <w:vMerge w:val="continue"/>
          </w:tcPr>
          <w:p>
            <w:pPr>
              <w:spacing w:after="0"/>
              <w:rPr>
                <w:sz w:val="8"/>
                <w:szCs w:val="8"/>
                <w:color w:val="auto"/>
              </w:rPr>
            </w:pPr>
          </w:p>
        </w:tc>
        <w:tc>
          <w:tcPr>
            <w:tcW w:w="158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$ 1,766</w:t>
            </w:r>
          </w:p>
        </w:tc>
        <w:tc>
          <w:tcPr>
            <w:tcW w:w="118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$ 1,765</w:t>
            </w: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$1,138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752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594</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Oilfield Services</w:t>
            </w:r>
          </w:p>
        </w:tc>
        <w:tc>
          <w:tcPr>
            <w:tcW w:w="15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Resource Management Services</w:t>
            </w: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111</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Test &amp; Transactions</w:t>
            </w: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35</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Eliminations</w:t>
            </w:r>
          </w:p>
        </w:tc>
        <w:tc>
          <w:tcPr>
            <w:tcW w:w="7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income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$ 1,739</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$ 1,796</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$1,160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w:t>
            </w:r>
          </w:p>
        </w:tc>
        <w:tc>
          <w:tcPr>
            <w:tcW w:w="0" w:type="dxa"/>
            <w:vAlign w:val="bottom"/>
          </w:tcPr>
          <w:p>
            <w:pPr>
              <w:spacing w:after="0"/>
              <w:rPr>
                <w:sz w:val="1"/>
                <w:szCs w:val="1"/>
                <w:color w:val="auto"/>
              </w:rPr>
            </w:pPr>
          </w:p>
        </w:tc>
      </w:tr>
      <w:tr>
        <w:trPr>
          <w:trHeight w:val="256"/>
        </w:trPr>
        <w:tc>
          <w:tcPr>
            <w:tcW w:w="3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 (decrease) increase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3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1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460" w:type="dxa"/>
            <w:vAlign w:val="bottom"/>
          </w:tcPr>
          <w:p>
            <w:pPr>
              <w:spacing w:after="0"/>
              <w:rPr>
                <w:sz w:val="8"/>
                <w:szCs w:val="8"/>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over prior year</w:t>
            </w:r>
          </w:p>
        </w:tc>
        <w:tc>
          <w:tcPr>
            <w:tcW w:w="7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139</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74</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Third quarter charge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444</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Taxes on income/2/</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309</w:t>
            </w:r>
          </w:p>
        </w:tc>
        <w:tc>
          <w:tcPr>
            <w:tcW w:w="3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w:t>
            </w:r>
          </w:p>
        </w:tc>
        <w:tc>
          <w:tcPr>
            <w:tcW w:w="4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w:t>
            </w:r>
          </w:p>
        </w:tc>
        <w:tc>
          <w:tcPr>
            <w:tcW w:w="3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5"/>
        </w:trPr>
        <w:tc>
          <w:tcPr>
            <w:tcW w:w="3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$ 1,014</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$ 1,385</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  919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w:t>
            </w:r>
          </w:p>
        </w:tc>
        <w:tc>
          <w:tcPr>
            <w:tcW w:w="0" w:type="dxa"/>
            <w:vAlign w:val="bottom"/>
          </w:tcPr>
          <w:p>
            <w:pPr>
              <w:spacing w:after="0"/>
              <w:rPr>
                <w:sz w:val="1"/>
                <w:szCs w:val="1"/>
                <w:color w:val="auto"/>
              </w:rPr>
            </w:pPr>
          </w:p>
        </w:tc>
      </w:tr>
      <w:tr>
        <w:trPr>
          <w:trHeight w:val="256"/>
        </w:trPr>
        <w:tc>
          <w:tcPr>
            <w:tcW w:w="3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 (decrease) increase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3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51%</w:t>
            </w:r>
          </w:p>
        </w:tc>
        <w:tc>
          <w:tcPr>
            <w:tcW w:w="1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spacing w:after="0"/>
              <w:rPr>
                <w:sz w:val="8"/>
                <w:szCs w:val="8"/>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over prior year</w:t>
            </w:r>
          </w:p>
        </w:tc>
        <w:tc>
          <w:tcPr>
            <w:tcW w:w="7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Basic earnings per share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$ 1.72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$ 1.09</w:t>
            </w:r>
          </w:p>
        </w:tc>
        <w:tc>
          <w:tcPr>
            <w:tcW w:w="0" w:type="dxa"/>
            <w:vAlign w:val="bottom"/>
          </w:tcPr>
          <w:p>
            <w:pPr>
              <w:spacing w:after="0"/>
              <w:rPr>
                <w:sz w:val="1"/>
                <w:szCs w:val="1"/>
                <w:color w:val="auto"/>
              </w:rPr>
            </w:pPr>
          </w:p>
        </w:tc>
      </w:tr>
      <w:tr>
        <w:trPr>
          <w:trHeight w:val="175"/>
        </w:trPr>
        <w:tc>
          <w:tcPr>
            <w:tcW w:w="3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Diluted earnings per share</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$ 1.69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$ 1.08</w:t>
            </w:r>
          </w:p>
        </w:tc>
        <w:tc>
          <w:tcPr>
            <w:tcW w:w="0" w:type="dxa"/>
            <w:vAlign w:val="bottom"/>
          </w:tcPr>
          <w:p>
            <w:pPr>
              <w:spacing w:after="0"/>
              <w:rPr>
                <w:sz w:val="1"/>
                <w:szCs w:val="1"/>
                <w:color w:val="auto"/>
              </w:rPr>
            </w:pPr>
          </w:p>
        </w:tc>
      </w:tr>
      <w:tr>
        <w:trPr>
          <w:trHeight w:val="256"/>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Cash dividends declared</w:t>
            </w: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360" w:type="dxa"/>
            <w:vAlign w:val="bottom"/>
            <w:vMerge w:val="continue"/>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0.75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0.75</w:t>
            </w: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$ 0.75</w:t>
            </w:r>
          </w:p>
        </w:tc>
        <w:tc>
          <w:tcPr>
            <w:tcW w:w="132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$0.7125</w:t>
            </w:r>
          </w:p>
        </w:tc>
        <w:tc>
          <w:tcPr>
            <w:tcW w:w="92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$ 0.60</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23"/>
                <w:szCs w:val="23"/>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23"/>
                <w:szCs w:val="23"/>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3"/>
                <w:szCs w:val="23"/>
                <w:color w:val="auto"/>
              </w:rPr>
            </w:pP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3"/>
                <w:szCs w:val="23"/>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18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as % of operating revenue/3/</w:t>
            </w:r>
          </w:p>
        </w:tc>
        <w:tc>
          <w:tcPr>
            <w:tcW w:w="1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4"/>
                <w:szCs w:val="24"/>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5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Return on average</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8"/>
                <w:szCs w:val="8"/>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8"/>
                <w:szCs w:val="8"/>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8"/>
                <w:szCs w:val="8"/>
                <w:color w:val="auto"/>
              </w:rPr>
            </w:pPr>
          </w:p>
        </w:tc>
        <w:tc>
          <w:tcPr>
            <w:tcW w:w="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equity/3/</w:t>
            </w:r>
          </w:p>
        </w:tc>
        <w:tc>
          <w:tcPr>
            <w:tcW w:w="1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$ 1,887</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$ 1,592</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$ 1,220</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$1,028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849</w:t>
            </w: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 expense</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959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762</w:t>
            </w:r>
          </w:p>
        </w:tc>
        <w:tc>
          <w:tcPr>
            <w:tcW w:w="0" w:type="dxa"/>
            <w:vAlign w:val="bottom"/>
          </w:tcPr>
          <w:p>
            <w:pPr>
              <w:spacing w:after="0"/>
              <w:rPr>
                <w:sz w:val="1"/>
                <w:szCs w:val="1"/>
                <w:color w:val="auto"/>
              </w:rPr>
            </w:pPr>
          </w:p>
        </w:tc>
      </w:tr>
      <w:tr>
        <w:trPr>
          <w:trHeight w:val="25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Avg. number of shares outstanding:</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544</w:t>
            </w:r>
          </w:p>
        </w:tc>
        <w:tc>
          <w:tcPr>
            <w:tcW w:w="320" w:type="dxa"/>
            <w:vAlign w:val="bottom"/>
          </w:tcPr>
          <w:p>
            <w:pPr>
              <w:spacing w:after="0"/>
              <w:rPr>
                <w:sz w:val="8"/>
                <w:szCs w:val="8"/>
                <w:color w:val="auto"/>
              </w:rPr>
            </w:pPr>
          </w:p>
        </w:tc>
        <w:tc>
          <w:tcPr>
            <w:tcW w:w="86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539</w:t>
            </w:r>
          </w:p>
        </w:tc>
        <w:tc>
          <w:tcPr>
            <w:tcW w:w="320" w:type="dxa"/>
            <w:vAlign w:val="bottom"/>
          </w:tcPr>
          <w:p>
            <w:pPr>
              <w:spacing w:after="0"/>
              <w:rPr>
                <w:sz w:val="8"/>
                <w:szCs w:val="8"/>
                <w:color w:val="auto"/>
              </w:rPr>
            </w:pPr>
          </w:p>
        </w:tc>
        <w:tc>
          <w:tcPr>
            <w:tcW w:w="9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534</w:t>
            </w:r>
          </w:p>
        </w:tc>
        <w:tc>
          <w:tcPr>
            <w:tcW w:w="400" w:type="dxa"/>
            <w:vAlign w:val="bottom"/>
          </w:tcPr>
          <w:p>
            <w:pPr>
              <w:spacing w:after="0"/>
              <w:rPr>
                <w:sz w:val="8"/>
                <w:szCs w:val="8"/>
                <w:color w:val="auto"/>
              </w:rPr>
            </w:pPr>
          </w:p>
        </w:tc>
        <w:tc>
          <w:tcPr>
            <w:tcW w:w="7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529</w:t>
            </w:r>
          </w:p>
        </w:tc>
        <w:tc>
          <w:tcPr>
            <w:tcW w:w="400" w:type="dxa"/>
            <w:vAlign w:val="bottom"/>
          </w:tcPr>
          <w:p>
            <w:pPr>
              <w:spacing w:after="0"/>
              <w:rPr>
                <w:sz w:val="8"/>
                <w:szCs w:val="8"/>
                <w:color w:val="auto"/>
              </w:rPr>
            </w:pPr>
          </w:p>
        </w:tc>
        <w:tc>
          <w:tcPr>
            <w:tcW w:w="5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532</w:t>
            </w:r>
          </w:p>
        </w:tc>
        <w:tc>
          <w:tcPr>
            <w:tcW w:w="0" w:type="dxa"/>
            <w:vAlign w:val="bottom"/>
          </w:tcPr>
          <w:p>
            <w:pPr>
              <w:spacing w:after="0"/>
              <w:rPr>
                <w:sz w:val="1"/>
                <w:szCs w:val="1"/>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562</w:t>
            </w:r>
          </w:p>
        </w:tc>
        <w:tc>
          <w:tcPr>
            <w:tcW w:w="320" w:type="dxa"/>
            <w:vAlign w:val="bottom"/>
          </w:tcPr>
          <w:p>
            <w:pPr>
              <w:spacing w:after="0"/>
              <w:rPr>
                <w:sz w:val="15"/>
                <w:szCs w:val="15"/>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560</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546</w:t>
            </w:r>
          </w:p>
        </w:tc>
        <w:tc>
          <w:tcPr>
            <w:tcW w:w="40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532</w:t>
            </w:r>
          </w:p>
        </w:tc>
        <w:tc>
          <w:tcPr>
            <w:tcW w:w="400" w:type="dxa"/>
            <w:vAlign w:val="bottom"/>
          </w:tcPr>
          <w:p>
            <w:pPr>
              <w:spacing w:after="0"/>
              <w:rPr>
                <w:sz w:val="15"/>
                <w:szCs w:val="15"/>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25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AT DECEMBER 31,</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731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527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171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Liquidity</w:t>
            </w:r>
          </w:p>
        </w:tc>
        <w:tc>
          <w:tcPr>
            <w:tcW w:w="1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Working capital</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$ 4,887</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$ 2,690</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$ 1,767</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$1,456</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$1,222</w:t>
            </w: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$16,078</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$13,186</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$11,272</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$9,770</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$9,109</w:t>
            </w: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$ 3,285</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$ 1,179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w:t>
            </w: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$ 8,119</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$ 7,381</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$ 6,221</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$5,501</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$5,081</w:t>
            </w:r>
          </w:p>
        </w:tc>
        <w:tc>
          <w:tcPr>
            <w:tcW w:w="0" w:type="dxa"/>
            <w:vAlign w:val="bottom"/>
          </w:tcPr>
          <w:p>
            <w:pPr>
              <w:spacing w:after="0"/>
              <w:rPr>
                <w:sz w:val="1"/>
                <w:szCs w:val="1"/>
                <w:color w:val="auto"/>
              </w:rPr>
            </w:pPr>
          </w:p>
        </w:tc>
      </w:tr>
      <w:tr>
        <w:trPr>
          <w:trHeight w:val="175"/>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Number of employees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64,000</w:t>
            </w:r>
          </w:p>
        </w:tc>
        <w:tc>
          <w:tcPr>
            <w:tcW w:w="320" w:type="dxa"/>
            <w:vAlign w:val="bottom"/>
          </w:tcPr>
          <w:p>
            <w:pPr>
              <w:spacing w:after="0"/>
              <w:rPr>
                <w:sz w:val="15"/>
                <w:szCs w:val="15"/>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9"/>
              </w:rPr>
              <w:t>69,000</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62,000</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56,000</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53,000</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Includes the Retail Petroleum Systems business sold on October 1, 1998.</w:t>
      </w:r>
    </w:p>
    <w:p>
      <w:pPr>
        <w:spacing w:after="0" w:line="180" w:lineRule="exact"/>
        <w:rPr>
          <w:sz w:val="20"/>
          <w:szCs w:val="20"/>
          <w:color w:val="auto"/>
        </w:rPr>
      </w:pPr>
    </w:p>
    <w:p>
      <w:pPr>
        <w:ind w:left="440" w:right="3360" w:hanging="439"/>
        <w:spacing w:after="0" w:line="277" w:lineRule="auto"/>
        <w:tabs>
          <w:tab w:leader="none" w:pos="420" w:val="left"/>
        </w:tabs>
        <w:rPr>
          <w:sz w:val="20"/>
          <w:szCs w:val="20"/>
          <w:color w:val="auto"/>
        </w:rPr>
      </w:pPr>
      <w:r>
        <w:rPr>
          <w:rFonts w:ascii="Courier New" w:cs="Courier New" w:eastAsia="Courier New" w:hAnsi="Courier New"/>
          <w:sz w:val="15"/>
          <w:szCs w:val="15"/>
          <w:color w:val="auto"/>
        </w:rPr>
        <w:t>/2/</w:t>
        <w:tab/>
        <w:t>In 1998, the normal recurring provision for income taxes, before the tax benefit on the third quarter charge, was $373 million. In 1996, the normal recurring provision for income taxes, before recognition of the US tax loss carryforward benefit and the tax effect of the unusual items, was $206 million.</w:t>
      </w:r>
    </w:p>
    <w:p>
      <w:pPr>
        <w:spacing w:after="0" w:line="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w:t>
        <w:tab/>
        <w:t>In 1998, excluding the third quarter charge</w:t>
      </w:r>
    </w:p>
    <w:p>
      <w:pPr>
        <w:sectPr>
          <w:pgSz w:w="11900" w:h="16838" w:orient="portrait"/>
          <w:cols w:equalWidth="0" w:num="1">
            <w:col w:w="10620"/>
          </w:cols>
          <w:pgMar w:left="240" w:top="964" w:right="10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6"/>
        </w:trPr>
        <w:tc>
          <w:tcPr>
            <w:tcW w:w="33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thousands except per share amounts)</w:t>
            </w:r>
          </w:p>
        </w:tc>
        <w:tc>
          <w:tcPr>
            <w:tcW w:w="0" w:type="dxa"/>
            <w:vAlign w:val="bottom"/>
          </w:tcPr>
          <w:p>
            <w:pPr>
              <w:spacing w:after="0"/>
              <w:rPr>
                <w:sz w:val="1"/>
                <w:szCs w:val="1"/>
                <w:color w:val="auto"/>
              </w:rPr>
            </w:pPr>
          </w:p>
        </w:tc>
      </w:tr>
      <w:tr>
        <w:trPr>
          <w:trHeight w:val="268"/>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$11,815,553</w:t>
            </w:r>
          </w:p>
        </w:tc>
        <w:tc>
          <w:tcPr>
            <w:tcW w:w="26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$11,543,431</w:t>
            </w:r>
          </w:p>
        </w:tc>
        <w:tc>
          <w:tcPr>
            <w:tcW w:w="1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$9,701,685</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900" w:type="dxa"/>
            <w:vAlign w:val="bottom"/>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181,756</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111,334</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72,818</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11,997,309</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11,654,765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9,774,503</w:t>
            </w:r>
          </w:p>
        </w:tc>
        <w:tc>
          <w:tcPr>
            <w:tcW w:w="0" w:type="dxa"/>
            <w:vAlign w:val="bottom"/>
          </w:tcPr>
          <w:p>
            <w:pPr>
              <w:spacing w:after="0"/>
              <w:rPr>
                <w:sz w:val="1"/>
                <w:szCs w:val="1"/>
                <w:color w:val="auto"/>
              </w:rPr>
            </w:pPr>
          </w:p>
        </w:tc>
      </w:tr>
      <w:tr>
        <w:trPr>
          <w:trHeight w:val="256"/>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32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9,034,409</w:t>
            </w:r>
          </w:p>
        </w:tc>
        <w:tc>
          <w:tcPr>
            <w:tcW w:w="26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8,372,714</w:t>
            </w:r>
          </w:p>
        </w:tc>
        <w:tc>
          <w:tcPr>
            <w:tcW w:w="1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7,282,010</w:t>
            </w:r>
          </w:p>
        </w:tc>
        <w:tc>
          <w:tcPr>
            <w:tcW w:w="0" w:type="dxa"/>
            <w:vAlign w:val="bottom"/>
          </w:tcPr>
          <w:p>
            <w:pPr>
              <w:spacing w:after="0"/>
              <w:rPr>
                <w:sz w:val="1"/>
                <w:szCs w:val="1"/>
                <w:color w:val="auto"/>
              </w:rPr>
            </w:pPr>
          </w:p>
        </w:tc>
      </w:tr>
      <w:tr>
        <w:trPr>
          <w:trHeight w:val="175"/>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and services</w:t>
            </w:r>
          </w:p>
        </w:tc>
        <w:tc>
          <w:tcPr>
            <w:tcW w:w="1900" w:type="dxa"/>
            <w:vAlign w:val="bottom"/>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Research &amp; engineering</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568,225</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519,365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478,875</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467,592</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433,911</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399,808</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General</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454,049</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428,505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422,327</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150,161</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95,316</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79,862</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333,091</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10,674,436</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9,849,811</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8,995,973</w:t>
            </w:r>
          </w:p>
        </w:tc>
        <w:tc>
          <w:tcPr>
            <w:tcW w:w="0" w:type="dxa"/>
            <w:vAlign w:val="bottom"/>
          </w:tcPr>
          <w:p>
            <w:pPr>
              <w:spacing w:after="0"/>
              <w:rPr>
                <w:sz w:val="1"/>
                <w:szCs w:val="1"/>
                <w:color w:val="auto"/>
              </w:rPr>
            </w:pPr>
          </w:p>
        </w:tc>
      </w:tr>
      <w:tr>
        <w:trPr>
          <w:trHeight w:val="175"/>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taxes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320" w:type="dxa"/>
            <w:vAlign w:val="bottom"/>
            <w:vMerge w:val="continue"/>
          </w:tcPr>
          <w:p>
            <w:pPr>
              <w:spacing w:after="0"/>
              <w:rPr>
                <w:sz w:val="22"/>
                <w:szCs w:val="22"/>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1,322,873</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1,804,954</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778,530</w:t>
            </w:r>
          </w:p>
        </w:tc>
        <w:tc>
          <w:tcPr>
            <w:tcW w:w="0" w:type="dxa"/>
            <w:vAlign w:val="bottom"/>
          </w:tcPr>
          <w:p>
            <w:pPr>
              <w:spacing w:after="0"/>
              <w:rPr>
                <w:sz w:val="1"/>
                <w:szCs w:val="1"/>
                <w:color w:val="auto"/>
              </w:rPr>
            </w:pPr>
          </w:p>
        </w:tc>
      </w:tr>
      <w:tr>
        <w:trPr>
          <w:trHeight w:val="268"/>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Taxes on income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308,674</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420,405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(140,957)</w:t>
            </w:r>
          </w:p>
        </w:tc>
        <w:tc>
          <w:tcPr>
            <w:tcW w:w="0" w:type="dxa"/>
            <w:vAlign w:val="bottom"/>
          </w:tcPr>
          <w:p>
            <w:pPr>
              <w:spacing w:after="0"/>
              <w:rPr>
                <w:sz w:val="1"/>
                <w:szCs w:val="1"/>
                <w:color w:val="auto"/>
              </w:rPr>
            </w:pPr>
          </w:p>
        </w:tc>
      </w:tr>
      <w:tr>
        <w:trPr>
          <w:trHeight w:val="175"/>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vMerge w:val="continue"/>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$ 1,014,199</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$ 1,384,549</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919,487</w:t>
            </w:r>
          </w:p>
        </w:tc>
        <w:tc>
          <w:tcPr>
            <w:tcW w:w="0" w:type="dxa"/>
            <w:vAlign w:val="bottom"/>
          </w:tcPr>
          <w:p>
            <w:pPr>
              <w:spacing w:after="0"/>
              <w:rPr>
                <w:sz w:val="1"/>
                <w:szCs w:val="1"/>
                <w:color w:val="auto"/>
              </w:rPr>
            </w:pPr>
          </w:p>
        </w:tc>
      </w:tr>
      <w:tr>
        <w:trPr>
          <w:trHeight w:val="175"/>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vMerge w:val="continue"/>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$ 1.87</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$ 2.57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$ 1.72</w:t>
            </w:r>
          </w:p>
        </w:tc>
        <w:tc>
          <w:tcPr>
            <w:tcW w:w="0" w:type="dxa"/>
            <w:vAlign w:val="bottom"/>
          </w:tcPr>
          <w:p>
            <w:pPr>
              <w:spacing w:after="0"/>
              <w:rPr>
                <w:sz w:val="1"/>
                <w:szCs w:val="1"/>
                <w:color w:val="auto"/>
              </w:rPr>
            </w:pPr>
          </w:p>
        </w:tc>
      </w:tr>
      <w:tr>
        <w:trPr>
          <w:trHeight w:val="175"/>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vMerge w:val="continue"/>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$ 1.81</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$ 2.47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$ 1.69</w:t>
            </w:r>
          </w:p>
        </w:tc>
        <w:tc>
          <w:tcPr>
            <w:tcW w:w="0" w:type="dxa"/>
            <w:vAlign w:val="bottom"/>
          </w:tcPr>
          <w:p>
            <w:pPr>
              <w:spacing w:after="0"/>
              <w:rPr>
                <w:sz w:val="1"/>
                <w:szCs w:val="1"/>
                <w:color w:val="auto"/>
              </w:rPr>
            </w:pPr>
          </w:p>
        </w:tc>
      </w:tr>
      <w:tr>
        <w:trPr>
          <w:trHeight w:val="175"/>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Average shares outstanding</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320" w:type="dxa"/>
            <w:vAlign w:val="bottom"/>
            <w:vMerge w:val="continue"/>
          </w:tcPr>
          <w:p>
            <w:pPr>
              <w:spacing w:after="0"/>
              <w:rPr>
                <w:sz w:val="22"/>
                <w:szCs w:val="22"/>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544,338</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539,330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534,298</w:t>
            </w:r>
          </w:p>
        </w:tc>
        <w:tc>
          <w:tcPr>
            <w:tcW w:w="0" w:type="dxa"/>
            <w:vAlign w:val="bottom"/>
          </w:tcPr>
          <w:p>
            <w:pPr>
              <w:spacing w:after="0"/>
              <w:rPr>
                <w:sz w:val="1"/>
                <w:szCs w:val="1"/>
                <w:color w:val="auto"/>
              </w:rPr>
            </w:pPr>
          </w:p>
        </w:tc>
      </w:tr>
      <w:tr>
        <w:trPr>
          <w:trHeight w:val="268"/>
        </w:trPr>
        <w:tc>
          <w:tcPr>
            <w:tcW w:w="33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561,855</w:t>
            </w:r>
          </w:p>
        </w:tc>
        <w:tc>
          <w:tcPr>
            <w:tcW w:w="26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559,653</w:t>
            </w:r>
          </w:p>
        </w:tc>
        <w:tc>
          <w:tcPr>
            <w:tcW w:w="1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545,609</w:t>
            </w:r>
          </w:p>
        </w:tc>
        <w:tc>
          <w:tcPr>
            <w:tcW w:w="0" w:type="dxa"/>
            <w:vAlign w:val="bottom"/>
          </w:tcPr>
          <w:p>
            <w:pPr>
              <w:spacing w:after="0"/>
              <w:rPr>
                <w:sz w:val="1"/>
                <w:szCs w:val="1"/>
                <w:color w:val="auto"/>
              </w:rPr>
            </w:pPr>
          </w:p>
        </w:tc>
      </w:tr>
      <w:tr>
        <w:trPr>
          <w:trHeight w:val="256"/>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90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ectPr>
          <w:pgSz w:w="11900" w:h="16838" w:orient="portrait"/>
          <w:cols w:equalWidth="0" w:num="1">
            <w:col w:w="10219"/>
          </w:cols>
          <w:pgMar w:left="240" w:top="78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6"/>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8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$ 3,956,694</w:t>
            </w:r>
          </w:p>
        </w:tc>
        <w:tc>
          <w:tcPr>
            <w:tcW w:w="2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$ 1,818,332</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and short-term investments</w:t>
            </w:r>
          </w:p>
        </w:tc>
        <w:tc>
          <w:tcPr>
            <w:tcW w:w="186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2,968,070</w:t>
            </w:r>
          </w:p>
        </w:tc>
        <w:tc>
          <w:tcPr>
            <w:tcW w:w="2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2,997,010</w:t>
            </w:r>
          </w:p>
        </w:tc>
        <w:tc>
          <w:tcPr>
            <w:tcW w:w="0" w:type="dxa"/>
            <w:vAlign w:val="bottom"/>
          </w:tcPr>
          <w:p>
            <w:pPr>
              <w:spacing w:after="0"/>
              <w:rPr>
                <w:sz w:val="1"/>
                <w:szCs w:val="1"/>
                <w:color w:val="auto"/>
              </w:rPr>
            </w:pPr>
          </w:p>
        </w:tc>
      </w:tr>
      <w:tr>
        <w:trPr>
          <w:trHeight w:val="175"/>
        </w:trPr>
        <w:tc>
          <w:tcPr>
            <w:tcW w:w="5500" w:type="dxa"/>
            <w:vAlign w:val="bottom"/>
          </w:tcPr>
          <w:p>
            <w:pPr>
              <w:ind w:left="620"/>
              <w:spacing w:after="0"/>
              <w:rPr>
                <w:sz w:val="20"/>
                <w:szCs w:val="20"/>
                <w:color w:val="auto"/>
              </w:rPr>
            </w:pPr>
            <w:r>
              <w:rPr>
                <w:rFonts w:ascii="Courier New" w:cs="Courier New" w:eastAsia="Courier New" w:hAnsi="Courier New"/>
                <w:sz w:val="15"/>
                <w:szCs w:val="15"/>
                <w:color w:val="auto"/>
              </w:rPr>
              <w:t>(1998-$89,556; 1997-$76,818)</w:t>
            </w:r>
          </w:p>
        </w:tc>
        <w:tc>
          <w:tcPr>
            <w:tcW w:w="186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1,333,131</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1,300,541</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Deferred taxes on income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295,974</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220,015</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251,355</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241,823</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8,805,224</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6,577,721</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855,172</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742,751</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Fixed Assets less accumulated depreciation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4,694,465</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4,121,951</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w:t>
            </w:r>
          </w:p>
        </w:tc>
        <w:tc>
          <w:tcPr>
            <w:tcW w:w="1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1,302,678</w:t>
            </w:r>
          </w:p>
        </w:tc>
        <w:tc>
          <w:tcPr>
            <w:tcW w:w="2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1,379,412</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of Companies Purchased less amortization</w:t>
            </w:r>
          </w:p>
        </w:tc>
        <w:tc>
          <w:tcPr>
            <w:tcW w:w="186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202,630</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174,084</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217,760</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189,962</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$16,077,929</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$13,185,881</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$ 2,539,954</w:t>
            </w:r>
          </w:p>
        </w:tc>
        <w:tc>
          <w:tcPr>
            <w:tcW w:w="2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$ 2,514,220</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6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Estimated liability for taxes on income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480,123</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425,318</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Bank loans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708,978</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750,303</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Dividend payable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102,891</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93,821</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Long-term debt due within one year</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86,722</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104,357</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3,918,668</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3,888,019</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3,285,444</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1,179,356</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432,791</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414,432</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321,951</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322,905</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7,958,854</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5,804,712</w:t>
            </w:r>
          </w:p>
        </w:tc>
        <w:tc>
          <w:tcPr>
            <w:tcW w:w="0" w:type="dxa"/>
            <w:vAlign w:val="bottom"/>
          </w:tcPr>
          <w:p>
            <w:pPr>
              <w:spacing w:after="0"/>
              <w:rPr>
                <w:sz w:val="1"/>
                <w:szCs w:val="1"/>
                <w:color w:val="auto"/>
              </w:rPr>
            </w:pPr>
          </w:p>
        </w:tc>
      </w:tr>
      <w:tr>
        <w:trPr>
          <w:trHeight w:val="256"/>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00" w:type="dxa"/>
            <w:vAlign w:val="bottom"/>
            <w:vMerge w:val="continue"/>
          </w:tcPr>
          <w:p>
            <w:pPr>
              <w:spacing w:after="0"/>
              <w:rPr>
                <w:sz w:val="8"/>
                <w:szCs w:val="8"/>
                <w:color w:val="auto"/>
              </w:rPr>
            </w:pPr>
          </w:p>
        </w:tc>
        <w:tc>
          <w:tcPr>
            <w:tcW w:w="1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1,539,408</w:t>
            </w:r>
          </w:p>
        </w:tc>
        <w:tc>
          <w:tcPr>
            <w:tcW w:w="2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1,428,624</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Income retained for use in the business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8,882,455</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8,265,642</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w:t>
            </w:r>
          </w:p>
        </w:tc>
        <w:tc>
          <w:tcPr>
            <w:tcW w:w="1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(2,221,308)</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(2,249,765)</w:t>
            </w:r>
          </w:p>
        </w:tc>
        <w:tc>
          <w:tcPr>
            <w:tcW w:w="0" w:type="dxa"/>
            <w:vAlign w:val="bottom"/>
          </w:tcPr>
          <w:p>
            <w:pPr>
              <w:spacing w:after="0"/>
              <w:rPr>
                <w:sz w:val="1"/>
                <w:szCs w:val="1"/>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Translation adjustment</w:t>
            </w:r>
          </w:p>
        </w:tc>
        <w:tc>
          <w:tcPr>
            <w:tcW w:w="1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(81,480)</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(63,332)</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8,119,075</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7,381,169</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$16,077,929</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$13,185,881</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ectPr>
          <w:pgSz w:w="11900" w:h="16838" w:orient="portrait"/>
          <w:cols w:equalWidth="0" w:num="1">
            <w:col w:w="10219"/>
          </w:cols>
          <w:pgMar w:left="240" w:top="614"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56"/>
        </w:trPr>
        <w:tc>
          <w:tcPr>
            <w:tcW w:w="494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4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gridSpan w:val="3"/>
          </w:tcPr>
          <w:p>
            <w:pPr>
              <w:jc w:val="center"/>
              <w:ind w:left="964"/>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4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$1,014,199</w:t>
            </w:r>
          </w:p>
        </w:tc>
        <w:tc>
          <w:tcPr>
            <w:tcW w:w="16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$1,384,549</w:t>
            </w:r>
          </w:p>
        </w:tc>
        <w:tc>
          <w:tcPr>
            <w:tcW w:w="420" w:type="dxa"/>
            <w:vAlign w:val="bottom"/>
            <w:vMerge w:val="restart"/>
          </w:tcPr>
          <w:p>
            <w:pPr>
              <w:jc w:val="center"/>
              <w:ind w:left="244"/>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919,487</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w:t>
            </w: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to net cash provided by operating activities:</w:t>
            </w:r>
          </w:p>
        </w:tc>
        <w:tc>
          <w:tcPr>
            <w:tcW w:w="17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1,136,290</w:t>
            </w:r>
          </w:p>
        </w:tc>
        <w:tc>
          <w:tcPr>
            <w:tcW w:w="16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1,035,003</w:t>
            </w:r>
          </w:p>
        </w:tc>
        <w:tc>
          <w:tcPr>
            <w:tcW w:w="4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940,582</w:t>
            </w: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Earnings of companies carried at equity,</w:t>
            </w: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720"/>
              <w:spacing w:after="0"/>
              <w:rPr>
                <w:sz w:val="20"/>
                <w:szCs w:val="20"/>
                <w:color w:val="auto"/>
              </w:rPr>
            </w:pPr>
            <w:r>
              <w:rPr>
                <w:rFonts w:ascii="Courier New" w:cs="Courier New" w:eastAsia="Courier New" w:hAnsi="Courier New"/>
                <w:sz w:val="15"/>
                <w:szCs w:val="15"/>
                <w:color w:val="auto"/>
              </w:rPr>
              <w:t>less dividends received (1998-$4,996;</w:t>
            </w:r>
          </w:p>
        </w:tc>
        <w:tc>
          <w:tcPr>
            <w:tcW w:w="17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(9,576)</w:t>
            </w:r>
          </w:p>
        </w:tc>
        <w:tc>
          <w:tcPr>
            <w:tcW w:w="162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(1,270)</w:t>
            </w:r>
          </w:p>
        </w:tc>
        <w:tc>
          <w:tcPr>
            <w:tcW w:w="4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4,408</w:t>
            </w:r>
          </w:p>
        </w:tc>
        <w:tc>
          <w:tcPr>
            <w:tcW w:w="0" w:type="dxa"/>
            <w:vAlign w:val="bottom"/>
          </w:tcPr>
          <w:p>
            <w:pPr>
              <w:spacing w:after="0"/>
              <w:rPr>
                <w:sz w:val="1"/>
                <w:szCs w:val="1"/>
                <w:color w:val="auto"/>
              </w:rPr>
            </w:pPr>
          </w:p>
        </w:tc>
      </w:tr>
      <w:tr>
        <w:trPr>
          <w:trHeight w:val="175"/>
        </w:trPr>
        <w:tc>
          <w:tcPr>
            <w:tcW w:w="4940" w:type="dxa"/>
            <w:vAlign w:val="bottom"/>
          </w:tcPr>
          <w:p>
            <w:pPr>
              <w:ind w:left="720"/>
              <w:spacing w:after="0"/>
              <w:rPr>
                <w:sz w:val="20"/>
                <w:szCs w:val="20"/>
                <w:color w:val="auto"/>
              </w:rPr>
            </w:pPr>
            <w:r>
              <w:rPr>
                <w:rFonts w:ascii="Courier New" w:cs="Courier New" w:eastAsia="Courier New" w:hAnsi="Courier New"/>
                <w:sz w:val="15"/>
                <w:szCs w:val="15"/>
                <w:color w:val="auto"/>
              </w:rPr>
              <w:t>1997-$4,934; 1996-$2,948)</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36,861</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27,871</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29,797</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Third quarter charge</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380,000</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Other adjustments</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(2,278)</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(9,291)</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7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(20,507)</w:t>
            </w:r>
          </w:p>
        </w:tc>
        <w:tc>
          <w:tcPr>
            <w:tcW w:w="162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(647,470)</w:t>
            </w:r>
          </w:p>
        </w:tc>
        <w:tc>
          <w:tcPr>
            <w:tcW w:w="4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(321,980)</w:t>
            </w: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Increase in receivables</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Increase in inventories</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(122,622)</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(220,813)</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(151,340)</w:t>
            </w: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(Increase) decrease in deferred taxes</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(75,959)</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32,140</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(31,210)</w:t>
            </w: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accounts payable</w:t>
            </w:r>
          </w:p>
        </w:tc>
        <w:tc>
          <w:tcPr>
            <w:tcW w:w="17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(72,940)</w:t>
            </w:r>
          </w:p>
        </w:tc>
        <w:tc>
          <w:tcPr>
            <w:tcW w:w="16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175,664</w:t>
            </w:r>
          </w:p>
        </w:tc>
        <w:tc>
          <w:tcPr>
            <w:tcW w:w="4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188,274</w:t>
            </w:r>
          </w:p>
        </w:tc>
        <w:tc>
          <w:tcPr>
            <w:tcW w:w="0" w:type="dxa"/>
            <w:vAlign w:val="bottom"/>
          </w:tcPr>
          <w:p>
            <w:pPr>
              <w:spacing w:after="0"/>
              <w:rPr>
                <w:sz w:val="1"/>
                <w:szCs w:val="1"/>
                <w:color w:val="auto"/>
              </w:rPr>
            </w:pPr>
          </w:p>
        </w:tc>
      </w:tr>
      <w:tr>
        <w:trPr>
          <w:trHeight w:val="175"/>
        </w:trPr>
        <w:tc>
          <w:tcPr>
            <w:tcW w:w="4940" w:type="dxa"/>
            <w:vAlign w:val="bottom"/>
          </w:tcPr>
          <w:p>
            <w:pPr>
              <w:ind w:left="720"/>
              <w:spacing w:after="0"/>
              <w:rPr>
                <w:sz w:val="20"/>
                <w:szCs w:val="20"/>
                <w:color w:val="auto"/>
              </w:rPr>
            </w:pPr>
            <w:r>
              <w:rPr>
                <w:rFonts w:ascii="Courier New" w:cs="Courier New" w:eastAsia="Courier New" w:hAnsi="Courier New"/>
                <w:sz w:val="15"/>
                <w:szCs w:val="15"/>
                <w:color w:val="auto"/>
              </w:rPr>
              <w:t>and accrued liabilities</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Increase in estimated liability</w:t>
            </w:r>
          </w:p>
        </w:tc>
        <w:tc>
          <w:tcPr>
            <w:tcW w:w="17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79,677</w:t>
            </w:r>
          </w:p>
        </w:tc>
        <w:tc>
          <w:tcPr>
            <w:tcW w:w="16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51,215</w:t>
            </w:r>
          </w:p>
        </w:tc>
        <w:tc>
          <w:tcPr>
            <w:tcW w:w="4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45,192</w:t>
            </w:r>
          </w:p>
        </w:tc>
        <w:tc>
          <w:tcPr>
            <w:tcW w:w="0" w:type="dxa"/>
            <w:vAlign w:val="bottom"/>
          </w:tcPr>
          <w:p>
            <w:pPr>
              <w:spacing w:after="0"/>
              <w:rPr>
                <w:sz w:val="1"/>
                <w:szCs w:val="1"/>
                <w:color w:val="auto"/>
              </w:rPr>
            </w:pPr>
          </w:p>
        </w:tc>
      </w:tr>
      <w:tr>
        <w:trPr>
          <w:trHeight w:val="175"/>
        </w:trPr>
        <w:tc>
          <w:tcPr>
            <w:tcW w:w="4940" w:type="dxa"/>
            <w:vAlign w:val="bottom"/>
          </w:tcPr>
          <w:p>
            <w:pPr>
              <w:ind w:left="720"/>
              <w:spacing w:after="0"/>
              <w:rPr>
                <w:sz w:val="20"/>
                <w:szCs w:val="20"/>
                <w:color w:val="auto"/>
              </w:rPr>
            </w:pPr>
            <w:r>
              <w:rPr>
                <w:rFonts w:ascii="Courier New" w:cs="Courier New" w:eastAsia="Courier New" w:hAnsi="Courier New"/>
                <w:sz w:val="15"/>
                <w:szCs w:val="15"/>
                <w:color w:val="auto"/>
              </w:rPr>
              <w:t>for taxes on income</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40"/>
              <w:spacing w:after="0"/>
              <w:rPr>
                <w:sz w:val="20"/>
                <w:szCs w:val="20"/>
                <w:color w:val="auto"/>
              </w:rPr>
            </w:pPr>
            <w:r>
              <w:rPr>
                <w:rFonts w:ascii="Courier New" w:cs="Courier New" w:eastAsia="Courier New" w:hAnsi="Courier New"/>
                <w:sz w:val="15"/>
                <w:szCs w:val="15"/>
                <w:color w:val="auto"/>
              </w:rPr>
              <w:t>Other-net</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(42,218)</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25,916</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(73,350)</w:t>
            </w:r>
          </w:p>
        </w:tc>
        <w:tc>
          <w:tcPr>
            <w:tcW w:w="0" w:type="dxa"/>
            <w:vAlign w:val="bottom"/>
          </w:tcPr>
          <w:p>
            <w:pPr>
              <w:spacing w:after="0"/>
              <w:rPr>
                <w:sz w:val="1"/>
                <w:szCs w:val="1"/>
                <w:color w:val="auto"/>
              </w:rPr>
            </w:pPr>
          </w:p>
        </w:tc>
      </w:tr>
      <w:tr>
        <w:trPr>
          <w:trHeight w:val="175"/>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2,303,147</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1,860,527</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1,540,569</w:t>
            </w:r>
          </w:p>
        </w:tc>
        <w:tc>
          <w:tcPr>
            <w:tcW w:w="0" w:type="dxa"/>
            <w:vAlign w:val="bottom"/>
          </w:tcPr>
          <w:p>
            <w:pPr>
              <w:spacing w:after="0"/>
              <w:rPr>
                <w:sz w:val="1"/>
                <w:szCs w:val="1"/>
                <w:color w:val="auto"/>
              </w:rPr>
            </w:pPr>
          </w:p>
        </w:tc>
      </w:tr>
      <w:tr>
        <w:trPr>
          <w:trHeight w:val="256"/>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940" w:type="dxa"/>
            <w:vAlign w:val="bottom"/>
            <w:vMerge w:val="continue"/>
          </w:tcPr>
          <w:p>
            <w:pPr>
              <w:spacing w:after="0"/>
              <w:rPr>
                <w:sz w:val="8"/>
                <w:szCs w:val="8"/>
                <w:color w:val="auto"/>
              </w:rPr>
            </w:pPr>
          </w:p>
        </w:tc>
        <w:tc>
          <w:tcPr>
            <w:tcW w:w="17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(1,887,369)</w:t>
            </w:r>
          </w:p>
        </w:tc>
        <w:tc>
          <w:tcPr>
            <w:tcW w:w="162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(1,591,734)</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(1,219,805)</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Purchases of fixed assets</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Sales/retirements of fixed assets &amp; other</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36,693</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97,390</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113,518</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Sale (purchase) of businesses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61,662</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(28,233)</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(161,635)</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Net proceeds on sale of drilling rigs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174,000</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Increase in investments</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(2,292,163)</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(867,894)</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(218,914)</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Decrease in other assets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4,660</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19,453</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c>
          <w:tcPr>
            <w:tcW w:w="0" w:type="dxa"/>
            <w:vAlign w:val="bottom"/>
          </w:tcPr>
          <w:p>
            <w:pPr>
              <w:spacing w:after="0"/>
              <w:rPr>
                <w:sz w:val="1"/>
                <w:szCs w:val="1"/>
                <w:color w:val="auto"/>
              </w:rPr>
            </w:pPr>
          </w:p>
        </w:tc>
      </w:tr>
      <w:tr>
        <w:trPr>
          <w:trHeight w:val="175"/>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(4,076,517)</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(2,197,018)</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(1,487,373)</w:t>
            </w:r>
          </w:p>
        </w:tc>
        <w:tc>
          <w:tcPr>
            <w:tcW w:w="0" w:type="dxa"/>
            <w:vAlign w:val="bottom"/>
          </w:tcPr>
          <w:p>
            <w:pPr>
              <w:spacing w:after="0"/>
              <w:rPr>
                <w:sz w:val="1"/>
                <w:szCs w:val="1"/>
                <w:color w:val="auto"/>
              </w:rPr>
            </w:pPr>
          </w:p>
        </w:tc>
      </w:tr>
      <w:tr>
        <w:trPr>
          <w:trHeight w:val="256"/>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940" w:type="dxa"/>
            <w:vAlign w:val="bottom"/>
            <w:vMerge w:val="continue"/>
          </w:tcPr>
          <w:p>
            <w:pPr>
              <w:spacing w:after="0"/>
              <w:rPr>
                <w:sz w:val="8"/>
                <w:szCs w:val="8"/>
                <w:color w:val="auto"/>
              </w:rPr>
            </w:pPr>
          </w:p>
        </w:tc>
        <w:tc>
          <w:tcPr>
            <w:tcW w:w="17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(388,379)</w:t>
            </w:r>
          </w:p>
        </w:tc>
        <w:tc>
          <w:tcPr>
            <w:tcW w:w="162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(377,636)</w:t>
            </w:r>
          </w:p>
        </w:tc>
        <w:tc>
          <w:tcPr>
            <w:tcW w:w="42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(374,489)</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7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70,461</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50,055</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38,807</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68,780</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97,899</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143,660</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Purchase of shares for Treasury</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(13,413)</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2,909,156</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925,579</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205,009</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Payments of principal on long-term debt</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(863,966)</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(419,962)</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(202,026)</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Net (decrease) increase in short-term debt</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(64,756)</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50,831</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212,523</w:t>
            </w:r>
          </w:p>
        </w:tc>
        <w:tc>
          <w:tcPr>
            <w:tcW w:w="0" w:type="dxa"/>
            <w:vAlign w:val="bottom"/>
          </w:tcPr>
          <w:p>
            <w:pPr>
              <w:spacing w:after="0"/>
              <w:rPr>
                <w:sz w:val="1"/>
                <w:szCs w:val="1"/>
                <w:color w:val="auto"/>
              </w:rPr>
            </w:pPr>
          </w:p>
        </w:tc>
      </w:tr>
      <w:tr>
        <w:trPr>
          <w:trHeight w:val="175"/>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1,731,296</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326,766</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10,071</w:t>
            </w:r>
          </w:p>
        </w:tc>
        <w:tc>
          <w:tcPr>
            <w:tcW w:w="0" w:type="dxa"/>
            <w:vAlign w:val="bottom"/>
          </w:tcPr>
          <w:p>
            <w:pPr>
              <w:spacing w:after="0"/>
              <w:rPr>
                <w:sz w:val="1"/>
                <w:szCs w:val="1"/>
                <w:color w:val="auto"/>
              </w:rPr>
            </w:pPr>
          </w:p>
        </w:tc>
      </w:tr>
      <w:tr>
        <w:trPr>
          <w:trHeight w:val="175"/>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increase in cash</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(42,074)</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(9,725)</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63,267</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147,395</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157,120</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93,853</w:t>
            </w:r>
          </w:p>
        </w:tc>
        <w:tc>
          <w:tcPr>
            <w:tcW w:w="0" w:type="dxa"/>
            <w:vAlign w:val="bottom"/>
          </w:tcPr>
          <w:p>
            <w:pPr>
              <w:spacing w:after="0"/>
              <w:rPr>
                <w:sz w:val="1"/>
                <w:szCs w:val="1"/>
                <w:color w:val="auto"/>
              </w:rPr>
            </w:pPr>
          </w:p>
        </w:tc>
      </w:tr>
      <w:tr>
        <w:trPr>
          <w:trHeight w:val="175"/>
        </w:trPr>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CASH, END OF YEAR</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105,321</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147,395</w:t>
            </w:r>
          </w:p>
        </w:tc>
        <w:tc>
          <w:tcPr>
            <w:tcW w:w="42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157,120</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ectPr>
          <w:pgSz w:w="11900" w:h="16838" w:orient="portrait"/>
          <w:cols w:equalWidth="0" w:num="1">
            <w:col w:w="10219"/>
          </w:cols>
          <w:pgMar w:left="240" w:top="61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6"/>
        </w:trPr>
        <w:tc>
          <w:tcPr>
            <w:tcW w:w="1220" w:type="dxa"/>
            <w:vAlign w:val="bottom"/>
          </w:tcPr>
          <w:p>
            <w:pPr>
              <w:spacing w:after="0"/>
              <w:rPr>
                <w:sz w:val="22"/>
                <w:szCs w:val="22"/>
                <w:color w:val="auto"/>
              </w:rPr>
            </w:pPr>
          </w:p>
        </w:tc>
        <w:tc>
          <w:tcPr>
            <w:tcW w:w="6040" w:type="dxa"/>
            <w:vAlign w:val="bottom"/>
            <w:gridSpan w:val="5"/>
          </w:tcPr>
          <w:p>
            <w:pPr>
              <w:jc w:val="right"/>
              <w:ind w:right="1564"/>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2"/>
          </w:tcPr>
          <w:p>
            <w:pPr>
              <w:jc w:val="right"/>
              <w:ind w:right="1384"/>
              <w:spacing w:after="0"/>
              <w:rPr>
                <w:sz w:val="20"/>
                <w:szCs w:val="20"/>
                <w:color w:val="auto"/>
              </w:rPr>
            </w:pPr>
            <w:r>
              <w:rPr>
                <w:rFonts w:ascii="Courier New" w:cs="Courier New" w:eastAsia="Courier New" w:hAnsi="Courier New"/>
                <w:sz w:val="15"/>
                <w:szCs w:val="15"/>
                <w:color w:val="auto"/>
              </w:rPr>
              <w:t>Common Stock</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540" w:type="dxa"/>
            <w:vAlign w:val="bottom"/>
            <w:gridSpan w:val="5"/>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Issued</w:t>
            </w:r>
          </w:p>
        </w:tc>
        <w:tc>
          <w:tcPr>
            <w:tcW w:w="390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In Treasury</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Translation</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Amount</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Shares</w:t>
            </w:r>
          </w:p>
        </w:tc>
        <w:tc>
          <w:tcPr>
            <w:tcW w:w="16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Amount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24"/>
                <w:szCs w:val="24"/>
                <w:color w:val="auto"/>
              </w:rPr>
            </w:pP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660,746,700</w:t>
            </w:r>
          </w:p>
        </w:tc>
        <w:tc>
          <w:tcPr>
            <w:tcW w:w="118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rPr>
              <w:t>$1,235,146</w:t>
            </w:r>
          </w:p>
        </w:tc>
        <w:tc>
          <w:tcPr>
            <w:tcW w:w="2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129,976,320</w:t>
            </w: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$ 2,414,577</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(31,382)</w:t>
            </w:r>
          </w:p>
        </w:tc>
        <w:tc>
          <w:tcPr>
            <w:tcW w:w="0" w:type="dxa"/>
            <w:vAlign w:val="bottom"/>
          </w:tcPr>
          <w:p>
            <w:pPr>
              <w:spacing w:after="0"/>
              <w:rPr>
                <w:sz w:val="1"/>
                <w:szCs w:val="1"/>
                <w:color w:val="auto"/>
              </w:rPr>
            </w:pPr>
          </w:p>
        </w:tc>
      </w:tr>
      <w:tr>
        <w:trPr>
          <w:trHeight w:val="256"/>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1, 1996</w:t>
            </w:r>
          </w:p>
        </w:tc>
        <w:tc>
          <w:tcPr>
            <w:tcW w:w="14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5,756</w:t>
            </w: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16,527</w:t>
            </w: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47,177</w:t>
            </w:r>
          </w:p>
        </w:tc>
        <w:tc>
          <w:tcPr>
            <w:tcW w:w="2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(5,314,696)</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(98,631)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exchanged</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Purchases for Treasury</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(404,268)</w:t>
            </w:r>
          </w:p>
        </w:tc>
        <w:tc>
          <w:tcPr>
            <w:tcW w:w="18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(13,413)</w:t>
            </w: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1,483,494</w:t>
            </w:r>
          </w:p>
        </w:tc>
        <w:tc>
          <w:tcPr>
            <w:tcW w:w="180" w:type="dxa"/>
            <w:vAlign w:val="bottom"/>
          </w:tcPr>
          <w:p>
            <w:pPr>
              <w:spacing w:after="0"/>
              <w:rPr>
                <w:sz w:val="15"/>
                <w:szCs w:val="15"/>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38,807</w:t>
            </w:r>
          </w:p>
        </w:tc>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purchase plan</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declared</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($0.75 per share)</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w:t>
            </w:r>
          </w:p>
        </w:tc>
        <w:tc>
          <w:tcPr>
            <w:tcW w:w="3900" w:type="dxa"/>
            <w:vAlign w:val="bottom"/>
            <w:gridSpan w:val="2"/>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9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20" w:type="dxa"/>
            <w:vAlign w:val="bottom"/>
            <w:vMerge w:val="continue"/>
          </w:tcPr>
          <w:p>
            <w:pPr>
              <w:spacing w:after="0"/>
              <w:rPr>
                <w:sz w:val="8"/>
                <w:szCs w:val="8"/>
                <w:color w:val="auto"/>
              </w:rPr>
            </w:pPr>
          </w:p>
        </w:tc>
        <w:tc>
          <w:tcPr>
            <w:tcW w:w="114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rPr>
              <w:t>1996</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661,842,453</w:t>
            </w:r>
          </w:p>
        </w:tc>
        <w:tc>
          <w:tcPr>
            <w:tcW w:w="180" w:type="dxa"/>
            <w:vAlign w:val="bottom"/>
          </w:tcPr>
          <w:p>
            <w:pPr>
              <w:spacing w:after="0"/>
              <w:rPr>
                <w:sz w:val="8"/>
                <w:szCs w:val="8"/>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1,307,717</w:t>
            </w:r>
          </w:p>
        </w:tc>
        <w:tc>
          <w:tcPr>
            <w:tcW w:w="2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124,661,624</w:t>
            </w: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2,315,946</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(25,626)</w:t>
            </w:r>
          </w:p>
        </w:tc>
        <w:tc>
          <w:tcPr>
            <w:tcW w:w="0" w:type="dxa"/>
            <w:vAlign w:val="bottom"/>
          </w:tcPr>
          <w:p>
            <w:pPr>
              <w:spacing w:after="0"/>
              <w:rPr>
                <w:sz w:val="1"/>
                <w:szCs w:val="1"/>
                <w:color w:val="auto"/>
              </w:rPr>
            </w:pPr>
          </w:p>
        </w:tc>
      </w:tr>
      <w:tr>
        <w:trPr>
          <w:trHeight w:val="25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(37,706)</w:t>
            </w: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395,950</w:t>
            </w: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37,316</w:t>
            </w:r>
          </w:p>
        </w:tc>
        <w:tc>
          <w:tcPr>
            <w:tcW w:w="2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(3,323,223)</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(61,743)</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exchanged</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1,399,623</w:t>
            </w: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50,055</w:t>
            </w: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purchase plan</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IVS acquisition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16,324</w:t>
            </w:r>
          </w:p>
        </w:tc>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(238,812)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(4,438)</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Tax benefit on</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16,600</w:t>
            </w: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options</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Change in subsidiary</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612</w:t>
            </w: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year end</w:t>
            </w: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($0.75 per share)</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w:t>
            </w:r>
          </w:p>
        </w:tc>
        <w:tc>
          <w:tcPr>
            <w:tcW w:w="3900" w:type="dxa"/>
            <w:vAlign w:val="bottom"/>
            <w:gridSpan w:val="2"/>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9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20" w:type="dxa"/>
            <w:vAlign w:val="bottom"/>
            <w:vMerge w:val="continue"/>
          </w:tcPr>
          <w:p>
            <w:pPr>
              <w:spacing w:after="0"/>
              <w:rPr>
                <w:sz w:val="8"/>
                <w:szCs w:val="8"/>
                <w:color w:val="auto"/>
              </w:rPr>
            </w:pPr>
          </w:p>
        </w:tc>
        <w:tc>
          <w:tcPr>
            <w:tcW w:w="114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rPr>
              <w:t>1997</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663,638,026</w:t>
            </w:r>
          </w:p>
        </w:tc>
        <w:tc>
          <w:tcPr>
            <w:tcW w:w="180" w:type="dxa"/>
            <w:vAlign w:val="bottom"/>
          </w:tcPr>
          <w:p>
            <w:pPr>
              <w:spacing w:after="0"/>
              <w:rPr>
                <w:sz w:val="8"/>
                <w:szCs w:val="8"/>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1,428,624</w:t>
            </w:r>
          </w:p>
        </w:tc>
        <w:tc>
          <w:tcPr>
            <w:tcW w:w="2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121,099,589</w:t>
            </w: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2,249,765</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(63,332)</w:t>
            </w:r>
          </w:p>
        </w:tc>
        <w:tc>
          <w:tcPr>
            <w:tcW w:w="0" w:type="dxa"/>
            <w:vAlign w:val="bottom"/>
          </w:tcPr>
          <w:p>
            <w:pPr>
              <w:spacing w:after="0"/>
              <w:rPr>
                <w:sz w:val="1"/>
                <w:szCs w:val="1"/>
                <w:color w:val="auto"/>
              </w:rPr>
            </w:pPr>
          </w:p>
        </w:tc>
      </w:tr>
      <w:tr>
        <w:trPr>
          <w:trHeight w:val="25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(18,148)</w:t>
            </w: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796,992</w:t>
            </w: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40,323</w:t>
            </w:r>
          </w:p>
        </w:tc>
        <w:tc>
          <w:tcPr>
            <w:tcW w:w="2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(1,531,607)</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(28,457)</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exchanged</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1,266,840</w:t>
            </w:r>
          </w:p>
        </w:tc>
        <w:tc>
          <w:tcPr>
            <w:tcW w:w="180" w:type="dxa"/>
            <w:vAlign w:val="bottom"/>
          </w:tcPr>
          <w:p>
            <w:pPr>
              <w:spacing w:after="0"/>
              <w:rPr>
                <w:sz w:val="23"/>
                <w:szCs w:val="23"/>
                <w:color w:val="auto"/>
              </w:rPr>
            </w:pPr>
          </w:p>
        </w:tc>
        <w:tc>
          <w:tcPr>
            <w:tcW w:w="10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70,461</w:t>
            </w: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purchase plan</w:t>
            </w:r>
          </w:p>
        </w:tc>
        <w:tc>
          <w:tcPr>
            <w:tcW w:w="1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declared</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($0.75 per share)</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w:t>
            </w:r>
          </w:p>
        </w:tc>
        <w:tc>
          <w:tcPr>
            <w:tcW w:w="3900" w:type="dxa"/>
            <w:vAlign w:val="bottom"/>
            <w:gridSpan w:val="2"/>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9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665,701,858</w:t>
            </w:r>
          </w:p>
        </w:tc>
        <w:tc>
          <w:tcPr>
            <w:tcW w:w="118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w w:val="96"/>
              </w:rPr>
              <w:t>$ 1,539,408</w:t>
            </w:r>
          </w:p>
        </w:tc>
        <w:tc>
          <w:tcPr>
            <w:tcW w:w="2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119,567,982</w:t>
            </w: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$2,221,308</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$(81,480)</w:t>
            </w:r>
          </w:p>
        </w:tc>
        <w:tc>
          <w:tcPr>
            <w:tcW w:w="0" w:type="dxa"/>
            <w:vAlign w:val="bottom"/>
          </w:tcPr>
          <w:p>
            <w:pPr>
              <w:spacing w:after="0"/>
              <w:rPr>
                <w:sz w:val="1"/>
                <w:szCs w:val="1"/>
                <w:color w:val="auto"/>
              </w:rPr>
            </w:pPr>
          </w:p>
        </w:tc>
      </w:tr>
      <w:tr>
        <w:trPr>
          <w:trHeight w:val="175"/>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 1998</w:t>
            </w:r>
          </w:p>
        </w:tc>
        <w:tc>
          <w:tcPr>
            <w:tcW w:w="14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6"/>
              </w:rPr>
              <w:t>===========</w:t>
            </w:r>
          </w:p>
        </w:tc>
        <w:tc>
          <w:tcPr>
            <w:tcW w:w="39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18"/>
        </w:trPr>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0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(Dollar amounts in thousands)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Retained for</w:t>
            </w:r>
          </w:p>
        </w:tc>
        <w:tc>
          <w:tcPr>
            <w:tcW w:w="180" w:type="dxa"/>
            <w:vAlign w:val="bottom"/>
          </w:tcPr>
          <w:p>
            <w:pPr>
              <w:spacing w:after="0"/>
              <w:rPr>
                <w:sz w:val="15"/>
                <w:szCs w:val="15"/>
                <w:color w:val="auto"/>
              </w:rPr>
            </w:pPr>
          </w:p>
        </w:tc>
        <w:tc>
          <w:tcPr>
            <w:tcW w:w="3260" w:type="dxa"/>
            <w:vAlign w:val="bottom"/>
            <w:gridSpan w:val="2"/>
            <w:vMerge w:val="restart"/>
          </w:tcPr>
          <w:p>
            <w:pPr>
              <w:jc w:val="right"/>
              <w:ind w:right="1564"/>
              <w:spacing w:after="0"/>
              <w:rPr>
                <w:sz w:val="20"/>
                <w:szCs w:val="20"/>
                <w:color w:val="auto"/>
              </w:rPr>
            </w:pPr>
            <w:r>
              <w:rPr>
                <w:rFonts w:ascii="Courier New" w:cs="Courier New" w:eastAsia="Courier New" w:hAnsi="Courier New"/>
                <w:sz w:val="15"/>
                <w:szCs w:val="15"/>
                <w:color w:val="auto"/>
              </w:rPr>
              <w:t>Comprehensive</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Use in the</w:t>
            </w:r>
          </w:p>
        </w:tc>
        <w:tc>
          <w:tcPr>
            <w:tcW w:w="18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Business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Income</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4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w:t>
            </w:r>
          </w:p>
        </w:tc>
        <w:tc>
          <w:tcPr>
            <w:tcW w:w="3260" w:type="dxa"/>
            <w:vAlign w:val="bottom"/>
            <w:gridSpan w:val="2"/>
          </w:tcPr>
          <w:p>
            <w:pPr>
              <w:jc w:val="right"/>
              <w:ind w:right="146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24"/>
                <w:szCs w:val="24"/>
                <w:color w:val="auto"/>
              </w:rPr>
            </w:pPr>
          </w:p>
        </w:tc>
        <w:tc>
          <w:tcPr>
            <w:tcW w:w="16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$ 6,711,298</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60" w:type="dxa"/>
            <w:vAlign w:val="bottom"/>
            <w:vMerge w:val="restart"/>
          </w:tcPr>
          <w:p>
            <w:pPr>
              <w:jc w:val="right"/>
              <w:ind w:right="16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1, 1996</w:t>
            </w:r>
          </w:p>
        </w:tc>
        <w:tc>
          <w:tcPr>
            <w:tcW w:w="164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5,756</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6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exchanged</w:t>
            </w:r>
          </w:p>
        </w:tc>
        <w:tc>
          <w:tcPr>
            <w:tcW w:w="1640" w:type="dxa"/>
            <w:vAlign w:val="bottom"/>
            <w:gridSpan w:val="2"/>
            <w:vMerge w:val="continue"/>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240" w:top="615" w:right="12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Purchases for Treasury</w:t>
            </w: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(211)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purchase plan</w:t>
            </w:r>
          </w:p>
        </w:tc>
        <w:tc>
          <w:tcPr>
            <w:tcW w:w="172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919,487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919,487</w:t>
            </w: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Dividends declared</w:t>
            </w:r>
          </w:p>
        </w:tc>
        <w:tc>
          <w:tcPr>
            <w:tcW w:w="1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(375,509)</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($0.75 per share)</w:t>
            </w:r>
          </w:p>
        </w:tc>
        <w:tc>
          <w:tcPr>
            <w:tcW w:w="172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7,255,108</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925,243</w:t>
            </w:r>
          </w:p>
        </w:tc>
        <w:tc>
          <w:tcPr>
            <w:tcW w:w="0" w:type="dxa"/>
            <w:vAlign w:val="bottom"/>
          </w:tcPr>
          <w:p>
            <w:pPr>
              <w:spacing w:after="0"/>
              <w:rPr>
                <w:sz w:val="1"/>
                <w:szCs w:val="1"/>
                <w:color w:val="auto"/>
              </w:rPr>
            </w:pPr>
          </w:p>
        </w:tc>
      </w:t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1996</w:t>
            </w:r>
          </w:p>
        </w:tc>
        <w:tc>
          <w:tcPr>
            <w:tcW w:w="17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7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vMerge w:val="continue"/>
          </w:tcPr>
          <w:p>
            <w:pPr>
              <w:spacing w:after="0"/>
              <w:rPr>
                <w:sz w:val="22"/>
                <w:szCs w:val="22"/>
                <w:color w:val="auto"/>
              </w:rPr>
            </w:pPr>
          </w:p>
        </w:tc>
        <w:tc>
          <w:tcPr>
            <w:tcW w:w="17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(37,706)</w:t>
            </w: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shares exchanged</w:t>
            </w:r>
          </w:p>
        </w:tc>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1,384,549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1,384,549</w:t>
            </w:r>
          </w:p>
        </w:tc>
        <w:tc>
          <w:tcPr>
            <w:tcW w:w="0" w:type="dxa"/>
            <w:vAlign w:val="bottom"/>
          </w:tcPr>
          <w:p>
            <w:pPr>
              <w:spacing w:after="0"/>
              <w:rPr>
                <w:sz w:val="1"/>
                <w:szCs w:val="1"/>
                <w:color w:val="auto"/>
              </w:rPr>
            </w:pPr>
          </w:p>
        </w:tc>
      </w:tr>
      <w:tr>
        <w:trPr>
          <w:trHeight w:val="350"/>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IVS acquisition</w:t>
            </w: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Tax benefit on</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stock options</w:t>
            </w:r>
          </w:p>
        </w:tc>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Change in subsidiary</w:t>
            </w:r>
          </w:p>
        </w:tc>
        <w:tc>
          <w:tcPr>
            <w:tcW w:w="1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4,560</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year end</w:t>
            </w:r>
          </w:p>
        </w:tc>
        <w:tc>
          <w:tcPr>
            <w:tcW w:w="172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(378,575)</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($0.75 per share)</w:t>
            </w:r>
          </w:p>
        </w:tc>
        <w:tc>
          <w:tcPr>
            <w:tcW w:w="172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8,265,642</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$ 1,346,843</w:t>
            </w:r>
          </w:p>
        </w:tc>
        <w:tc>
          <w:tcPr>
            <w:tcW w:w="0" w:type="dxa"/>
            <w:vAlign w:val="bottom"/>
          </w:tcPr>
          <w:p>
            <w:pPr>
              <w:spacing w:after="0"/>
              <w:rPr>
                <w:sz w:val="1"/>
                <w:szCs w:val="1"/>
                <w:color w:val="auto"/>
              </w:rPr>
            </w:pPr>
          </w:p>
        </w:tc>
      </w:t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c>
          <w:tcPr>
            <w:tcW w:w="17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7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vMerge w:val="continue"/>
          </w:tcPr>
          <w:p>
            <w:pPr>
              <w:spacing w:after="0"/>
              <w:rPr>
                <w:sz w:val="22"/>
                <w:szCs w:val="22"/>
                <w:color w:val="auto"/>
              </w:rPr>
            </w:pPr>
          </w:p>
        </w:tc>
        <w:tc>
          <w:tcPr>
            <w:tcW w:w="17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(18,148)</w:t>
            </w: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Sales to optionees less</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shares exchanged</w:t>
            </w:r>
          </w:p>
        </w:tc>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Employee stock</w:t>
            </w: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purchase plan</w:t>
            </w:r>
          </w:p>
        </w:tc>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1,014,199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1,014,199</w:t>
            </w:r>
          </w:p>
        </w:tc>
        <w:tc>
          <w:tcPr>
            <w:tcW w:w="0" w:type="dxa"/>
            <w:vAlign w:val="bottom"/>
          </w:tcPr>
          <w:p>
            <w:pPr>
              <w:spacing w:after="0"/>
              <w:rPr>
                <w:sz w:val="1"/>
                <w:szCs w:val="1"/>
                <w:color w:val="auto"/>
              </w:rPr>
            </w:pPr>
          </w:p>
        </w:tc>
      </w:tr>
      <w:tr>
        <w:trPr>
          <w:trHeight w:val="268"/>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Dividends declared</w:t>
            </w:r>
          </w:p>
        </w:tc>
        <w:tc>
          <w:tcPr>
            <w:tcW w:w="1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(397,386)</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($0.75 per share)</w:t>
            </w:r>
          </w:p>
        </w:tc>
        <w:tc>
          <w:tcPr>
            <w:tcW w:w="172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$8,882,455</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$ 996,051</w:t>
            </w:r>
          </w:p>
        </w:tc>
        <w:tc>
          <w:tcPr>
            <w:tcW w:w="0" w:type="dxa"/>
            <w:vAlign w:val="bottom"/>
          </w:tcPr>
          <w:p>
            <w:pPr>
              <w:spacing w:after="0"/>
              <w:rPr>
                <w:sz w:val="1"/>
                <w:szCs w:val="1"/>
                <w:color w:val="auto"/>
              </w:rPr>
            </w:pPr>
          </w:p>
        </w:tc>
      </w:t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1998</w:t>
            </w:r>
          </w:p>
        </w:tc>
        <w:tc>
          <w:tcPr>
            <w:tcW w:w="17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 w:lineRule="exact"/>
        <w:rPr>
          <w:sz w:val="20"/>
          <w:szCs w:val="20"/>
          <w:color w:val="auto"/>
        </w:rPr>
      </w:pPr>
    </w:p>
    <w:p>
      <w:pPr>
        <w:ind w:right="3679"/>
        <w:spacing w:after="0" w:line="329"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ectPr>
          <w:pgSz w:w="11900" w:h="16838" w:orient="portrait"/>
          <w:cols w:equalWidth="0" w:num="1">
            <w:col w:w="10219"/>
          </w:cols>
          <w:pgMar w:left="240" w:top="11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679"/>
        <w:spacing w:after="0" w:line="307"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47" w:lineRule="exact"/>
        <w:rPr>
          <w:sz w:val="20"/>
          <w:szCs w:val="20"/>
          <w:color w:val="auto"/>
        </w:rPr>
      </w:pPr>
    </w:p>
    <w:p>
      <w:pPr>
        <w:ind w:right="3319"/>
        <w:spacing w:after="0" w:line="271" w:lineRule="auto"/>
        <w:rPr>
          <w:sz w:val="20"/>
          <w:szCs w:val="20"/>
          <w:color w:val="auto"/>
        </w:rPr>
      </w:pPr>
      <w:r>
        <w:rPr>
          <w:rFonts w:ascii="Courier New" w:cs="Courier New" w:eastAsia="Courier New" w:hAnsi="Courier New"/>
          <w:sz w:val="15"/>
          <w:szCs w:val="15"/>
          <w:color w:val="auto"/>
        </w:rPr>
        <w:t>On August 31, 1998, Schlumberger completed the merger of Schlumberger Technology Corporation, a wholly owned subsidiary of Schlumberger, and Camco International Inc. The business combination was accounted for using the pooling-of-interests method of accounting. Accordingly, the financial statements have been prepared as if Schlumberger and Camco were combined at the beginning of the earliest period presented.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80" w:lineRule="exact"/>
        <w:rPr>
          <w:sz w:val="20"/>
          <w:szCs w:val="20"/>
          <w:color w:val="auto"/>
        </w:rPr>
      </w:pPr>
    </w:p>
    <w:p>
      <w:pPr>
        <w:ind w:right="3139"/>
        <w:spacing w:after="0" w:line="272"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20%-50% owned companies are carried on the equity method and classified in Other Assets. The Company's pro rata share of after-tax earnings is included in Interest and other income. Equity in undistributed earnings of all 50%-owned companies at December 31, 1998 was not material.</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180"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The Company policy is to hedge against unrealized gains and losses on a monthly basis. Included in the 1998 results were transaction losses of $5 million, compared with a loss of $5 million in 1997 and a gain of $5 million in 1996.</w:t>
      </w:r>
    </w:p>
    <w:p>
      <w:pPr>
        <w:spacing w:after="0" w:line="78"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1998, contracts and options were outstanding for the US dollar equivalent of $276 million in various foreign currencies. These contracts mature on various dates in 1999 and 2000.</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Canada treasury bills,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w:t>
      </w:r>
    </w:p>
    <w:p>
      <w:pPr>
        <w:sectPr>
          <w:pgSz w:w="11900" w:h="16838" w:orient="portrait"/>
          <w:cols w:equalWidth="0" w:num="1">
            <w:col w:w="10219"/>
          </w:cols>
          <w:pgMar w:left="240" w:top="615" w:right="1440" w:bottom="1440" w:gutter="0" w:footer="0" w:header="0"/>
        </w:sectPr>
      </w:pPr>
    </w:p>
    <w:bookmarkStart w:id="29" w:name="page30"/>
    <w:bookmarkEnd w:id="29"/>
    <w:p>
      <w:pPr>
        <w:ind w:right="3319"/>
        <w:spacing w:after="0" w:line="368" w:lineRule="auto"/>
        <w:rPr>
          <w:sz w:val="20"/>
          <w:szCs w:val="20"/>
          <w:color w:val="auto"/>
        </w:rPr>
      </w:pPr>
      <w:r>
        <w:rPr>
          <w:rFonts w:ascii="Courier New" w:cs="Courier New" w:eastAsia="Courier New" w:hAnsi="Courier New"/>
          <w:sz w:val="15"/>
          <w:szCs w:val="15"/>
          <w:color w:val="auto"/>
        </w:rPr>
        <w:t>are stated at market. The unrealized gain on such securities at December 31, 1998 was not significant.</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For purposes of the Consolidated Statement of Cash Flows, the Company does not consider short-term investments to be cash equivalents as they generally have original maturities in excess of three months. Short-term investments at December 31, 1998 and 1997, were $3.9 billion and $1.7 billion, respectively.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periods ranging from 5 to 40 years. Accumulated amortization was $434 million and $389 million at December 31, 1998 and 1997, respectively. Of the goodwill at December 31, 1998, 53% is being amortized over 40 years, 21% is being amortized over 25 years and 26% is being amortized over periods of up to 25 years.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80"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improvements are capitalized. Maintenance and repairs are charged to operating expenses as incurred. Upon sale or other disposition. If the applicable amounts of asset cost and accumulated depreciation are removed from the accounts and the net amount, less proceeds from disposal, is charged or credited to income.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The Company capitalizes interest expense during the new construction or upgrade of qualifying assets. Interest expense capitalized in 1998 was $15 million. No interest expense was capitalized in 1997 and 1996.</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Company reviews the appropriateness of the carrying value of its long-lived assets, including goodwill, whenever events or changes in circumstances indicate that the historical cost carrying value of an asset may no longer be appropriate. The Company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78" w:lineRule="exact"/>
        <w:rPr>
          <w:sz w:val="20"/>
          <w:szCs w:val="20"/>
          <w:color w:val="auto"/>
        </w:rPr>
      </w:pPr>
    </w:p>
    <w:p>
      <w:pPr>
        <w:ind w:right="3319"/>
        <w:spacing w:after="0" w:line="271" w:lineRule="auto"/>
        <w:rPr>
          <w:sz w:val="20"/>
          <w:szCs w:val="20"/>
          <w:color w:val="auto"/>
        </w:rPr>
      </w:pPr>
      <w:r>
        <w:rPr>
          <w:rFonts w:ascii="Courier New" w:cs="Courier New" w:eastAsia="Courier New" w:hAnsi="Courier New"/>
          <w:sz w:val="15"/>
          <w:szCs w:val="15"/>
          <w:color w:val="auto"/>
        </w:rPr>
        <w:t>Approximately $4.5 billion of consolidated income retained for use in the business at December 31, 1998 represented undistributed earnings of consolidated subsidiaries and the Company's pro rata share of 20%-50% owned companies. No provision is made for deferred income taxes on those earnings considered to be indefinitely reinvested or earnings that would not be taxed when remitted.</w:t>
      </w:r>
    </w:p>
    <w:p>
      <w:pPr>
        <w:sectPr>
          <w:pgSz w:w="11900" w:h="16838" w:orient="portrait"/>
          <w:cols w:equalWidth="0" w:num="1">
            <w:col w:w="10219"/>
          </w:cols>
          <w:pgMar w:left="240" w:top="614" w:right="1440" w:bottom="1440" w:gutter="0" w:footer="0" w:header="0"/>
        </w:sectPr>
      </w:pPr>
    </w:p>
    <w:bookmarkStart w:id="30" w:name="page31"/>
    <w:bookmarkEnd w:id="30"/>
    <w:p>
      <w:pPr>
        <w:ind w:right="3139"/>
        <w:spacing w:after="0" w:line="368"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 through method of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Basic earnings per share is computed by dividing net income by the average number of common shares outstanding during the year.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 The following is a reconciliation from basic earnings per share to diluted earnings per share for each of the last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20" w:type="dxa"/>
            <w:vAlign w:val="bottom"/>
          </w:tcPr>
          <w:p>
            <w:pPr>
              <w:spacing w:after="0"/>
              <w:rPr>
                <w:sz w:val="22"/>
                <w:szCs w:val="22"/>
                <w:color w:val="auto"/>
              </w:rPr>
            </w:pPr>
          </w:p>
        </w:tc>
        <w:tc>
          <w:tcPr>
            <w:tcW w:w="486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(Stated in thousands except per share amounts)</w:t>
            </w: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Net</w:t>
            </w:r>
          </w:p>
        </w:tc>
        <w:tc>
          <w:tcPr>
            <w:tcW w:w="1440" w:type="dxa"/>
            <w:vAlign w:val="bottom"/>
          </w:tcPr>
          <w:p>
            <w:pPr>
              <w:ind w:left="58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Income</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$1,014,199</w:t>
            </w: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544,338</w:t>
            </w:r>
          </w:p>
        </w:tc>
        <w:tc>
          <w:tcPr>
            <w:tcW w:w="7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1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9,723</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Warrants</w:t>
            </w:r>
          </w:p>
        </w:tc>
        <w:tc>
          <w:tcPr>
            <w:tcW w:w="218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7,794</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Diluted</w:t>
            </w:r>
          </w:p>
        </w:tc>
        <w:tc>
          <w:tcPr>
            <w:tcW w:w="2180" w:type="dxa"/>
            <w:vAlign w:val="bottom"/>
            <w:gridSpan w:val="2"/>
            <w:vMerge w:val="continue"/>
          </w:tcPr>
          <w:p>
            <w:pPr>
              <w:spacing w:after="0"/>
              <w:rPr>
                <w:sz w:val="15"/>
                <w:szCs w:val="15"/>
                <w:color w:val="auto"/>
              </w:rPr>
            </w:pP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vMerge w:val="continue"/>
          </w:tcPr>
          <w:p>
            <w:pPr>
              <w:spacing w:after="0"/>
              <w:rPr>
                <w:sz w:val="15"/>
                <w:szCs w:val="15"/>
                <w:color w:val="auto"/>
              </w:rPr>
            </w:pP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$1,014,199</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561,855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0" w:type="dxa"/>
            <w:vAlign w:val="bottom"/>
          </w:tcPr>
          <w:p>
            <w:pPr>
              <w:spacing w:after="0"/>
              <w:rPr>
                <w:sz w:val="1"/>
                <w:szCs w:val="1"/>
                <w:color w:val="auto"/>
              </w:rPr>
            </w:pPr>
          </w:p>
        </w:tc>
      </w:tr>
      <w:tr>
        <w:trPr>
          <w:trHeight w:val="256"/>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1997</w:t>
            </w: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20" w:type="dxa"/>
            <w:vAlign w:val="bottom"/>
            <w:vMerge w:val="continue"/>
          </w:tcPr>
          <w:p>
            <w:pPr>
              <w:spacing w:after="0"/>
              <w:rPr>
                <w:sz w:val="8"/>
                <w:szCs w:val="8"/>
                <w:color w:val="auto"/>
              </w:rPr>
            </w:pPr>
          </w:p>
        </w:tc>
        <w:tc>
          <w:tcPr>
            <w:tcW w:w="218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$1,384,549</w:t>
            </w: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539,330</w:t>
            </w:r>
          </w:p>
        </w:tc>
        <w:tc>
          <w:tcPr>
            <w:tcW w:w="7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1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12,185</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Warrants</w:t>
            </w:r>
          </w:p>
        </w:tc>
        <w:tc>
          <w:tcPr>
            <w:tcW w:w="218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8,138</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Diluted</w:t>
            </w:r>
          </w:p>
        </w:tc>
        <w:tc>
          <w:tcPr>
            <w:tcW w:w="2180" w:type="dxa"/>
            <w:vAlign w:val="bottom"/>
            <w:gridSpan w:val="2"/>
            <w:vMerge w:val="continue"/>
          </w:tcPr>
          <w:p>
            <w:pPr>
              <w:spacing w:after="0"/>
              <w:rPr>
                <w:sz w:val="15"/>
                <w:szCs w:val="15"/>
                <w:color w:val="auto"/>
              </w:rPr>
            </w:pP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vMerge w:val="continue"/>
          </w:tcPr>
          <w:p>
            <w:pPr>
              <w:spacing w:after="0"/>
              <w:rPr>
                <w:sz w:val="15"/>
                <w:szCs w:val="15"/>
                <w:color w:val="auto"/>
              </w:rPr>
            </w:pP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$1,384,549</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559,653</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c>
          <w:tcPr>
            <w:tcW w:w="0" w:type="dxa"/>
            <w:vAlign w:val="bottom"/>
          </w:tcPr>
          <w:p>
            <w:pPr>
              <w:spacing w:after="0"/>
              <w:rPr>
                <w:sz w:val="1"/>
                <w:szCs w:val="1"/>
                <w:color w:val="auto"/>
              </w:rPr>
            </w:pPr>
          </w:p>
        </w:tc>
      </w:tr>
      <w:tr>
        <w:trPr>
          <w:trHeight w:val="256"/>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1996</w:t>
            </w: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20" w:type="dxa"/>
            <w:vAlign w:val="bottom"/>
            <w:vMerge w:val="continue"/>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919,487</w:t>
            </w: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534,298</w:t>
            </w:r>
          </w:p>
        </w:tc>
        <w:tc>
          <w:tcPr>
            <w:tcW w:w="7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6,966</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Warrants</w:t>
            </w:r>
          </w:p>
        </w:tc>
        <w:tc>
          <w:tcPr>
            <w:tcW w:w="218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4,315</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Diluted</w:t>
            </w:r>
          </w:p>
        </w:tc>
        <w:tc>
          <w:tcPr>
            <w:tcW w:w="2180" w:type="dxa"/>
            <w:vAlign w:val="bottom"/>
            <w:gridSpan w:val="2"/>
            <w:vMerge w:val="continue"/>
          </w:tcPr>
          <w:p>
            <w:pPr>
              <w:spacing w:after="0"/>
              <w:rPr>
                <w:sz w:val="15"/>
                <w:szCs w:val="15"/>
                <w:color w:val="auto"/>
              </w:rPr>
            </w:pP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919,487</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545,609</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33"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All research and engineering expenditures are expensed as incurred, including costs relating to patents or rights that may result from such expenditures.</w:t>
      </w:r>
    </w:p>
    <w:p>
      <w:pPr>
        <w:sectPr>
          <w:pgSz w:w="11900" w:h="16838" w:orient="portrait"/>
          <w:cols w:equalWidth="0" w:num="1">
            <w:col w:w="10219"/>
          </w:cols>
          <w:pgMar w:left="240" w:top="61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Third Quarter Charge</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In September 1998, the Company recorded an after-tax charge of $380 million $0.68 per share-diluted), consisting of the following:</w:t>
      </w:r>
    </w:p>
    <w:p>
      <w:pPr>
        <w:spacing w:after="0" w:line="3" w:lineRule="exact"/>
        <w:rPr>
          <w:sz w:val="20"/>
          <w:szCs w:val="20"/>
          <w:color w:val="auto"/>
        </w:rPr>
      </w:pPr>
    </w:p>
    <w:p>
      <w:pPr>
        <w:ind w:left="360" w:right="3039" w:hanging="276"/>
        <w:spacing w:after="0" w:line="271" w:lineRule="auto"/>
        <w:tabs>
          <w:tab w:leader="none" w:pos="4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$268 million related to Oilfield Services, including severance costs of $64 million (5600 employees); facilities closure/relocation costs of $40 million; operating asset write-offs of $114 million; and $39 million of customer receivable reserves where collection was considered doubtful due to the customers' financial condition and/or country risk. This charge resulted from the slowdown in business.</w:t>
      </w:r>
    </w:p>
    <w:p>
      <w:pPr>
        <w:spacing w:after="0" w:line="72" w:lineRule="exact"/>
        <w:rPr>
          <w:sz w:val="20"/>
          <w:szCs w:val="20"/>
          <w:color w:val="auto"/>
        </w:rPr>
      </w:pPr>
    </w:p>
    <w:p>
      <w:pPr>
        <w:ind w:left="360" w:right="3319" w:hanging="276"/>
        <w:spacing w:after="0" w:line="368" w:lineRule="auto"/>
        <w:tabs>
          <w:tab w:leader="none" w:pos="45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$63 million for merger-related costs in connection with the acquisition of Camco International Inc.</w:t>
      </w:r>
    </w:p>
    <w:p>
      <w:pPr>
        <w:spacing w:after="0" w:line="3" w:lineRule="exact"/>
        <w:rPr>
          <w:sz w:val="20"/>
          <w:szCs w:val="20"/>
          <w:color w:val="auto"/>
        </w:rPr>
      </w:pPr>
    </w:p>
    <w:p>
      <w:pPr>
        <w:ind w:left="360" w:right="3039" w:hanging="276"/>
        <w:spacing w:after="0" w:line="277" w:lineRule="auto"/>
        <w:tabs>
          <w:tab w:leader="none" w:pos="45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$43 million related to Resource Management Services and Test &amp; Transactions, consisting primarily of employee severance, facilities' rationalizations, and environmental costs resulting from a reassessment of ongoing future monitoring and maintenance requirements at locations no longer in operation.</w:t>
      </w:r>
    </w:p>
    <w:p>
      <w:pPr>
        <w:spacing w:after="0" w:line="68"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The pretax charge of $444 million is classified in Cost of goods sold and services.</w:t>
      </w:r>
    </w:p>
    <w:p>
      <w:pPr>
        <w:spacing w:after="0" w:line="3"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At December 31, 1998, $35 million of the Oilfield Services severance costs had been incurred and the majority of the terminations had been completed. Complex social/legal issues in certain European countries have caused delays in completing the headcount reduction. The reduction should be completed by June 30, 1999, and the remaining costs incurred.</w:t>
      </w:r>
    </w:p>
    <w:p>
      <w:pPr>
        <w:spacing w:after="0" w:line="68"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In 1996, the Company announced a charge of $300 million after tax in the third quarter related primarily to the electricity, gas and seismic land and transition zone businesses. The after-tax charge of $300 million included pretax charges of $112 million for severance costs, other facility closure costs of $39 million, goodwill write-offs of $122 million and other asset impairments/charges of $60 million.</w:t>
      </w:r>
    </w:p>
    <w:p>
      <w:pPr>
        <w:spacing w:after="0" w:line="72" w:lineRule="exact"/>
        <w:rPr>
          <w:sz w:val="20"/>
          <w:szCs w:val="20"/>
          <w:color w:val="auto"/>
        </w:rPr>
      </w:pPr>
    </w:p>
    <w:p>
      <w:pPr>
        <w:ind w:right="3599"/>
        <w:spacing w:after="0" w:line="277" w:lineRule="auto"/>
        <w:rPr>
          <w:sz w:val="20"/>
          <w:szCs w:val="20"/>
          <w:color w:val="auto"/>
        </w:rPr>
      </w:pPr>
      <w:r>
        <w:rPr>
          <w:rFonts w:ascii="Courier New" w:cs="Courier New" w:eastAsia="Courier New" w:hAnsi="Courier New"/>
          <w:sz w:val="15"/>
          <w:szCs w:val="15"/>
          <w:color w:val="auto"/>
        </w:rPr>
        <w:t>The severance costs related to less than 5% of the worldwide work force, primarily in Europe, and pertained to both manufacturing and operating personnel in about 30 locations. Most of the other facility closure costs related to the write-down of buildings, equipment and other assets to net realizable value.</w:t>
      </w:r>
    </w:p>
    <w:p>
      <w:pPr>
        <w:spacing w:after="0" w:line="68"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1998, virtually all of the severance costs had been incurred.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On August 31, 1998, Schlumberger announced that the merger of Schlumberger Technology Corporation, a wholly owned subsidiary of Schlumberger, and Camco International Inc. had been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 7/8 on August 28, the transaction was valued at $2.2 billion. The business combination was accounted for using the pooling-of-interests method of accounting.</w:t>
      </w:r>
    </w:p>
    <w:p>
      <w:pPr>
        <w:spacing w:after="0" w:line="78"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During 1997, subsidiaries of the Company acquired Interactive Video Systems, Inc. (IVS), a metrology solutions provider for the front-end semiconductor fabrication equipment market, and S.A. Holditch and Associates, Inc., a petroleum and geoscience consulting</w:t>
      </w:r>
    </w:p>
    <w:p>
      <w:pPr>
        <w:sectPr>
          <w:pgSz w:w="11900" w:h="16838" w:orient="portrait"/>
          <w:cols w:equalWidth="0" w:num="1">
            <w:col w:w="10219"/>
          </w:cols>
          <w:pgMar w:left="240" w:top="615" w:right="1440" w:bottom="1440" w:gutter="0" w:footer="0" w:header="0"/>
        </w:sectPr>
      </w:pPr>
    </w:p>
    <w:bookmarkStart w:id="32" w:name="page33"/>
    <w:bookmarkEnd w:id="32"/>
    <w:p>
      <w:pPr>
        <w:ind w:right="3039" w:firstLine="182"/>
        <w:spacing w:after="0" w:line="307" w:lineRule="auto"/>
        <w:rPr>
          <w:sz w:val="20"/>
          <w:szCs w:val="20"/>
          <w:color w:val="auto"/>
        </w:rPr>
      </w:pPr>
      <w:r>
        <w:rPr>
          <w:rFonts w:ascii="Courier New" w:cs="Courier New" w:eastAsia="Courier New" w:hAnsi="Courier New"/>
          <w:sz w:val="15"/>
          <w:szCs w:val="15"/>
          <w:color w:val="auto"/>
        </w:rPr>
        <w:t>services company. These acquisitions were accounted for as purchases. Costs in excess of net assets acquired were $38 million, which are being amortized on a straight-line basis over periods of 5 and 15 years, respectively.</w:t>
      </w:r>
    </w:p>
    <w:p>
      <w:pPr>
        <w:spacing w:after="0" w:line="47"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During 1996, subsidiaries of the Company acquired Solaic, SA, a magnetic and smart card manufacturer; an 80% interest in Printer, a magnetic stripe card manufacturer; Oilphase Sampling Services Ltd., a reservoir fluid sampling company; The Production Analyst* and Offield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 term, based on maturity. Except for $125 million of investments which are considered trading at December 31, 1998 ($117 million in 1997), it is the Company's intent to hold the investments until maturity.</w:t>
      </w:r>
    </w:p>
    <w:p>
      <w:pPr>
        <w:spacing w:after="0" w:line="6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Long-term investments mature as follows: $255 million in 2000, $143 million in 2001 and $457 million thereafter.</w:t>
      </w:r>
    </w:p>
    <w:p>
      <w:pPr>
        <w:spacing w:after="0" w:line="3"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At December 31, 1998, there were no interest rate swap arrangements outstanding related to investments. Interest rate swap arrangements had no material effect on consolidated interest income.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$ 78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$ 80</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Buildings &amp;</w:t>
            </w:r>
          </w:p>
        </w:tc>
        <w:tc>
          <w:tcPr>
            <w:tcW w:w="1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1,108</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1,086</w:t>
            </w:r>
          </w:p>
        </w:tc>
        <w:tc>
          <w:tcPr>
            <w:tcW w:w="0" w:type="dxa"/>
            <w:vAlign w:val="bottom"/>
          </w:tcPr>
          <w:p>
            <w:pPr>
              <w:spacing w:after="0"/>
              <w:rPr>
                <w:sz w:val="1"/>
                <w:szCs w:val="1"/>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Improvements</w:t>
            </w:r>
          </w:p>
        </w:tc>
        <w:tc>
          <w:tcPr>
            <w:tcW w:w="18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Machinery &amp;</w:t>
            </w:r>
          </w:p>
        </w:tc>
        <w:tc>
          <w:tcPr>
            <w:tcW w:w="1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10,472</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9,759</w:t>
            </w:r>
          </w:p>
        </w:tc>
        <w:tc>
          <w:tcPr>
            <w:tcW w:w="0" w:type="dxa"/>
            <w:vAlign w:val="bottom"/>
          </w:tcPr>
          <w:p>
            <w:pPr>
              <w:spacing w:after="0"/>
              <w:rPr>
                <w:sz w:val="1"/>
                <w:szCs w:val="1"/>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18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Total cost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11,658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10,925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Less accumulated</w:t>
            </w:r>
          </w:p>
        </w:tc>
        <w:tc>
          <w:tcPr>
            <w:tcW w:w="1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6,964</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6,803</w:t>
            </w:r>
          </w:p>
        </w:tc>
        <w:tc>
          <w:tcPr>
            <w:tcW w:w="0" w:type="dxa"/>
            <w:vAlign w:val="bottom"/>
          </w:tcPr>
          <w:p>
            <w:pPr>
              <w:spacing w:after="0"/>
              <w:rPr>
                <w:sz w:val="1"/>
                <w:szCs w:val="1"/>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18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$4,694</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$4,122</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Estimated useful lives of Buildings &amp; Improvements range from 5 to 50 years and of Machinery &amp; Equipment from 2 to 25 years. Nearly all of the Buildings &amp; Improvements are depreciated between 30 and 40 years. For Machinery &amp; Equipment, 27% is being depreciated over periods between 16 to 25 years, 11% over periods between 11 to 15 years and 62% over periods between 2 to 10 years.</w:t>
      </w:r>
    </w:p>
    <w:p>
      <w:pPr>
        <w:sectPr>
          <w:pgSz w:w="11900" w:h="16838" w:orient="portrait"/>
          <w:cols w:equalWidth="0" w:num="1">
            <w:col w:w="10219"/>
          </w:cols>
          <w:pgMar w:left="240" w:top="61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Long-term Debt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US dollar</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vMerge w:val="continue"/>
          </w:tcPr>
          <w:p>
            <w:pPr>
              <w:spacing w:after="0"/>
              <w:rPr>
                <w:sz w:val="15"/>
                <w:szCs w:val="15"/>
                <w:color w:val="auto"/>
              </w:rPr>
            </w:pP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$2,284</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UK pound</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German mark</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Italian lira</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Canadian dollar</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$ 3,285</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$ 1,179</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Long-term debt is at variable interest rates; the weighted-average interest rate of the debt outstanding at December 31, 1998 was 5.6%. Such rates are reset every six months or sooner. Long-term debt at December 31, 1998 approximates fair value.</w:t>
      </w:r>
    </w:p>
    <w:p>
      <w:pPr>
        <w:spacing w:after="0" w:line="61"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Long-term debt at December 31, 1998, is due as follows: $486 million in 2000, $122 million in 2001, $254 million in 2002, $2,243 million in 2003 and $180 million thereafter.</w:t>
      </w:r>
    </w:p>
    <w:p>
      <w:pPr>
        <w:spacing w:after="0" w:line="47"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At December 31, 1998, there were interest rate swap arrangements outstanding related to debt having a total principal amount of $37 million. Interest rate swap arrangements had no material impact on consolidated interest expense in 1998 and 1997. The exposure, in the event of nonperformance by the other parties to the arrangements, would not be significant.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At December 31, 1998, the Company's principal US subsidiary has an available unused Revolving Credit Agreement with a syndicate of banks. The Agreement provides that the subsidiary may borrow up to $1 billion until August 2003 at money market-based rates. Additionally, the Company's principal US subsidiary has available an unused five-year syndicated capital lease facility whereby it can finance up to $550 million for the construction and subsequent capital lease of two drilling rigs at money market-based rates. At December 31, 1998, the Company and its subsidiaries also had available unused lines of credit of approximately $630 million.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The Company is authorized to issue 1,000,000,000 shares of Common Stock, par value $0.01 per share, of which 546,133,876 and 542,538,437 shares were outstanding on December 31, 1998 and 1997,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7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15,153,018 shares of Schlumberger Limited Common Stock at an exercise price of $29.672 per share. The warrant is fully vested and nontransferable.</w:t>
      </w:r>
    </w:p>
    <w:p>
      <w:pPr>
        <w:sectPr>
          <w:pgSz w:w="11900" w:h="16838" w:orient="portrait"/>
          <w:cols w:equalWidth="0" w:num="1">
            <w:col w:w="10219"/>
          </w:cols>
          <w:pgMar w:left="240" w:top="61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Stock Compensation Plans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As of December 31, 1998,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SFAS 123, the Company's net income and earnings per share would have been the pro forma amounts indicated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Pr>
          <w:p>
            <w:pPr>
              <w:spacing w:after="0"/>
              <w:rPr>
                <w:sz w:val="22"/>
                <w:szCs w:val="22"/>
                <w:color w:val="auto"/>
              </w:rPr>
            </w:pPr>
          </w:p>
        </w:tc>
        <w:tc>
          <w:tcPr>
            <w:tcW w:w="4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23"/>
                <w:szCs w:val="23"/>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22"/>
                <w:szCs w:val="22"/>
                <w:color w:val="auto"/>
              </w:rPr>
            </w:pP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2"/>
                <w:szCs w:val="22"/>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400" w:type="dxa"/>
            <w:vAlign w:val="bottom"/>
            <w:vMerge w:val="continue"/>
          </w:tcPr>
          <w:p>
            <w:pPr>
              <w:spacing w:after="0"/>
              <w:rPr>
                <w:sz w:val="8"/>
                <w:szCs w:val="8"/>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1,014</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1,385</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919</w:t>
            </w:r>
          </w:p>
        </w:tc>
        <w:tc>
          <w:tcPr>
            <w:tcW w:w="0" w:type="dxa"/>
            <w:vAlign w:val="bottom"/>
          </w:tcPr>
          <w:p>
            <w:pPr>
              <w:spacing w:after="0"/>
              <w:rPr>
                <w:sz w:val="1"/>
                <w:szCs w:val="1"/>
                <w:color w:val="auto"/>
              </w:rPr>
            </w:pPr>
          </w:p>
        </w:tc>
      </w:tr>
      <w:tr>
        <w:trPr>
          <w:trHeight w:val="175"/>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As reported</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882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872</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earnings</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1.87</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2.57</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5"/>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As reported</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1.81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2.47</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175"/>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As reported</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00" w:type="dxa"/>
            <w:vAlign w:val="bottom"/>
          </w:tcPr>
          <w:p>
            <w:pPr>
              <w:ind w:left="62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1.57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As required by SFAS 123, the above pro forma data reflect the effect of stock option grants and the employee stock purchase plan during 1998, 1997 and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Plans</w:t>
      </w:r>
    </w:p>
    <w:p>
      <w:pPr>
        <w:spacing w:after="0" w:line="180"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During 1998, 1997, 1996 and in prior years, officers and key employees were granted stock options under the Company's stock option plans. For substantially all of the stock options granted, the exercise price of each option equals the market price of the Company's stock on the date of grant; an option's maximum term is ten years, and options generally vest in 20% increments over five years.</w:t>
      </w:r>
    </w:p>
    <w:p>
      <w:pPr>
        <w:spacing w:after="0" w:line="68"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As required by SFAS 123, the fair value of each grant is estimated on the date of grant using the multiple option Black-Scholes option-pricing model with the following weighted-average assumptions used for 1998, 1997 and 1996: Dividend of $0.75; expected volatility of 21%-25% for 1998 grants, 21% for 1997 grants and 20% for 1996 grants; risk-free interest rates for the 1998 grants of 5.59%-5.68% for officers and 4.35%-5.62% for the 1998 grants to all other employees; risk-free interest rates for the 1997 grant to officers of 6.19% and 5.80%-6.77% for the 1997 grants to all other employees; risk-free interest rates for the 1996 grants of 5.38%-6.36% for officers and 5.09%-6.01 % for the 1996 grants to all other employees; and expected option lives of 6.98 years for officers and 5.02 years for other employees for 1998 grants, 7.27 years for officers and 5.09 years for other employees for 1997 grants and 8.4 years for officers and 5.39 years for other employees for 1996 grants.</w:t>
      </w:r>
    </w:p>
    <w:p>
      <w:pPr>
        <w:sectPr>
          <w:pgSz w:w="11900" w:h="16838" w:orient="portrait"/>
          <w:cols w:equalWidth="0" w:num="1">
            <w:col w:w="10219"/>
          </w:cols>
          <w:pgMar w:left="240" w:top="615" w:right="1440" w:bottom="1440" w:gutter="0" w:footer="0" w:header="0"/>
        </w:sectPr>
      </w:pPr>
    </w:p>
    <w:bookmarkStart w:id="35" w:name="page36"/>
    <w:bookmarkEnd w:id="35"/>
    <w:p>
      <w:pPr>
        <w:ind w:right="3820"/>
        <w:spacing w:after="0" w:line="307"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1998, 1997 and 1996, and changes during the years ending on those dates is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jc w:val="right"/>
              <w:ind w:right="1324"/>
              <w:spacing w:after="0"/>
              <w:rPr>
                <w:sz w:val="20"/>
                <w:szCs w:val="20"/>
                <w:color w:val="auto"/>
              </w:rPr>
            </w:pPr>
            <w:r>
              <w:rPr>
                <w:rFonts w:ascii="Courier New" w:cs="Courier New" w:eastAsia="Courier New" w:hAnsi="Courier New"/>
                <w:sz w:val="15"/>
                <w:szCs w:val="15"/>
                <w:color w:val="auto"/>
                <w:w w:val="94"/>
              </w:rPr>
              <w:t>1998</w:t>
            </w:r>
          </w:p>
        </w:tc>
        <w:tc>
          <w:tcPr>
            <w:tcW w:w="1320" w:type="dxa"/>
            <w:vAlign w:val="bottom"/>
          </w:tcPr>
          <w:p>
            <w:pPr>
              <w:spacing w:after="0"/>
              <w:rPr>
                <w:sz w:val="15"/>
                <w:szCs w:val="15"/>
                <w:color w:val="auto"/>
              </w:rPr>
            </w:pPr>
          </w:p>
        </w:tc>
        <w:tc>
          <w:tcPr>
            <w:tcW w:w="17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w w:val="72"/>
              </w:rPr>
              <w:t>-------------------------</w:t>
            </w:r>
          </w:p>
        </w:tc>
        <w:tc>
          <w:tcPr>
            <w:tcW w:w="17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WEIGHTED</w:t>
            </w:r>
          </w:p>
        </w:tc>
        <w:tc>
          <w:tcPr>
            <w:tcW w:w="3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5"/>
                <w:szCs w:val="15"/>
                <w:color w:val="auto"/>
              </w:rPr>
              <w:t>WEIGHTED</w:t>
            </w:r>
          </w:p>
        </w:tc>
        <w:tc>
          <w:tcPr>
            <w:tcW w:w="1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AVERAGE</w:t>
            </w:r>
          </w:p>
        </w:tc>
        <w:tc>
          <w:tcPr>
            <w:tcW w:w="1320" w:type="dxa"/>
            <w:vAlign w:val="bottom"/>
          </w:tcPr>
          <w:p>
            <w:pPr>
              <w:spacing w:after="0"/>
              <w:rPr>
                <w:sz w:val="15"/>
                <w:szCs w:val="15"/>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5"/>
                <w:szCs w:val="15"/>
                <w:color w:val="auto"/>
              </w:rPr>
              <w:t>AVERAGE</w:t>
            </w:r>
          </w:p>
        </w:tc>
        <w:tc>
          <w:tcPr>
            <w:tcW w:w="1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5"/>
        </w:trPr>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FIXED OPTIONS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SHARES</w:t>
            </w: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vMerge w:val="restart"/>
          </w:tcPr>
          <w:p>
            <w:pPr>
              <w:ind w:left="680"/>
              <w:spacing w:after="0"/>
              <w:rPr>
                <w:sz w:val="20"/>
                <w:szCs w:val="20"/>
                <w:color w:val="auto"/>
              </w:rPr>
            </w:pPr>
            <w:r>
              <w:rPr>
                <w:rFonts w:ascii="Courier New" w:cs="Courier New" w:eastAsia="Courier New" w:hAnsi="Courier New"/>
                <w:sz w:val="15"/>
                <w:szCs w:val="15"/>
                <w:color w:val="auto"/>
              </w:rPr>
              <w:t>SHARES</w:t>
            </w:r>
          </w:p>
        </w:tc>
        <w:tc>
          <w:tcPr>
            <w:tcW w:w="1740" w:type="dxa"/>
            <w:vAlign w:val="bottom"/>
          </w:tcPr>
          <w:p>
            <w:pPr>
              <w:ind w:left="740"/>
              <w:spacing w:after="0"/>
              <w:rPr>
                <w:sz w:val="20"/>
                <w:szCs w:val="20"/>
                <w:color w:val="auto"/>
              </w:rPr>
            </w:pPr>
            <w:r>
              <w:rPr>
                <w:rFonts w:ascii="Courier New" w:cs="Courier New" w:eastAsia="Courier New" w:hAnsi="Courier New"/>
                <w:sz w:val="15"/>
                <w:szCs w:val="15"/>
                <w:color w:val="auto"/>
              </w:rPr>
              <w:t>EXERCISE</w:t>
            </w:r>
          </w:p>
        </w:tc>
        <w:tc>
          <w:tcPr>
            <w:tcW w:w="16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760" w:type="dxa"/>
            <w:vAlign w:val="bottom"/>
          </w:tcPr>
          <w:p>
            <w:pPr>
              <w:ind w:left="640"/>
              <w:spacing w:after="0"/>
              <w:rPr>
                <w:sz w:val="20"/>
                <w:szCs w:val="20"/>
                <w:color w:val="auto"/>
              </w:rPr>
            </w:pPr>
            <w:r>
              <w:rPr>
                <w:rFonts w:ascii="Courier New" w:cs="Courier New" w:eastAsia="Courier New" w:hAnsi="Courier New"/>
                <w:sz w:val="15"/>
                <w:szCs w:val="15"/>
                <w:color w:val="auto"/>
              </w:rPr>
              <w:t>PRICE</w:t>
            </w:r>
          </w:p>
        </w:tc>
        <w:tc>
          <w:tcPr>
            <w:tcW w:w="1320" w:type="dxa"/>
            <w:vAlign w:val="bottom"/>
            <w:vMerge w:val="continue"/>
          </w:tcPr>
          <w:p>
            <w:pPr>
              <w:spacing w:after="0"/>
              <w:rPr>
                <w:sz w:val="17"/>
                <w:szCs w:val="17"/>
                <w:color w:val="auto"/>
              </w:rPr>
            </w:pPr>
          </w:p>
        </w:tc>
        <w:tc>
          <w:tcPr>
            <w:tcW w:w="1740" w:type="dxa"/>
            <w:vAlign w:val="bottom"/>
          </w:tcPr>
          <w:p>
            <w:pPr>
              <w:ind w:left="820"/>
              <w:spacing w:after="0"/>
              <w:rPr>
                <w:sz w:val="20"/>
                <w:szCs w:val="20"/>
                <w:color w:val="auto"/>
              </w:rPr>
            </w:pPr>
            <w:r>
              <w:rPr>
                <w:rFonts w:ascii="Courier New" w:cs="Courier New" w:eastAsia="Courier New" w:hAnsi="Courier New"/>
                <w:sz w:val="15"/>
                <w:szCs w:val="15"/>
                <w:color w:val="auto"/>
              </w:rPr>
              <w:t>PRICE</w:t>
            </w:r>
          </w:p>
        </w:tc>
        <w:tc>
          <w:tcPr>
            <w:tcW w:w="1620" w:type="dxa"/>
            <w:vAlign w:val="bottom"/>
            <w:vMerge w:val="continue"/>
          </w:tcPr>
          <w:p>
            <w:pPr>
              <w:spacing w:after="0"/>
              <w:rPr>
                <w:sz w:val="17"/>
                <w:szCs w:val="17"/>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6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28,701,327</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$43.75</w:t>
            </w:r>
          </w:p>
        </w:tc>
        <w:tc>
          <w:tcPr>
            <w:tcW w:w="1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26,300,825</w:t>
            </w:r>
          </w:p>
        </w:tc>
        <w:tc>
          <w:tcPr>
            <w:tcW w:w="124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$31.40</w:t>
            </w:r>
          </w:p>
        </w:tc>
        <w:tc>
          <w:tcPr>
            <w:tcW w:w="16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23,607,281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$28.03</w:t>
            </w:r>
          </w:p>
        </w:tc>
        <w:tc>
          <w:tcPr>
            <w:tcW w:w="0" w:type="dxa"/>
            <w:vAlign w:val="bottom"/>
          </w:tcPr>
          <w:p>
            <w:pPr>
              <w:spacing w:after="0"/>
              <w:rPr>
                <w:sz w:val="1"/>
                <w:szCs w:val="1"/>
                <w:color w:val="auto"/>
              </w:rPr>
            </w:pPr>
          </w:p>
        </w:tc>
      </w:tr>
      <w:tr>
        <w:trPr>
          <w:trHeight w:val="256"/>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6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8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1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1,845,143</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$68.76</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6,822,049</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$80.33</w:t>
            </w:r>
          </w:p>
        </w:tc>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8,914,443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$38.40</w:t>
            </w:r>
          </w:p>
        </w:tc>
        <w:tc>
          <w:tcPr>
            <w:tcW w:w="0" w:type="dxa"/>
            <w:vAlign w:val="bottom"/>
          </w:tcPr>
          <w:p>
            <w:pPr>
              <w:spacing w:after="0"/>
              <w:rPr>
                <w:sz w:val="1"/>
                <w:szCs w:val="1"/>
                <w:color w:val="auto"/>
              </w:rPr>
            </w:pPr>
          </w:p>
        </w:tc>
      </w:tr>
      <w:tr>
        <w:trPr>
          <w:trHeight w:val="350"/>
        </w:trPr>
        <w:tc>
          <w:tcPr>
            <w:tcW w:w="21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(2,299,709)</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$26.54</w:t>
            </w:r>
          </w:p>
        </w:tc>
        <w:tc>
          <w:tcPr>
            <w:tcW w:w="1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(3,856,684)</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$27.22</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(5,725,467)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$26.46</w:t>
            </w:r>
          </w:p>
        </w:tc>
        <w:tc>
          <w:tcPr>
            <w:tcW w:w="0" w:type="dxa"/>
            <w:vAlign w:val="bottom"/>
          </w:tcPr>
          <w:p>
            <w:pPr>
              <w:spacing w:after="0"/>
              <w:rPr>
                <w:sz w:val="1"/>
                <w:szCs w:val="1"/>
                <w:color w:val="auto"/>
              </w:rPr>
            </w:pPr>
          </w:p>
        </w:tc>
      </w:tr>
      <w:tr>
        <w:trPr>
          <w:trHeight w:val="268"/>
        </w:trPr>
        <w:tc>
          <w:tcPr>
            <w:tcW w:w="21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(666,616)</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$52.32</w:t>
            </w:r>
          </w:p>
        </w:tc>
        <w:tc>
          <w:tcPr>
            <w:tcW w:w="1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(564,863)</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$35.77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(495,432)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$31.80</w:t>
            </w:r>
          </w:p>
        </w:tc>
        <w:tc>
          <w:tcPr>
            <w:tcW w:w="0" w:type="dxa"/>
            <w:vAlign w:val="bottom"/>
          </w:tcPr>
          <w:p>
            <w:pPr>
              <w:spacing w:after="0"/>
              <w:rPr>
                <w:sz w:val="1"/>
                <w:szCs w:val="1"/>
                <w:color w:val="auto"/>
              </w:rPr>
            </w:pPr>
          </w:p>
        </w:tc>
      </w:tr>
      <w:tr>
        <w:trPr>
          <w:trHeight w:val="256"/>
        </w:trPr>
        <w:tc>
          <w:tcPr>
            <w:tcW w:w="218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2"/>
                <w:szCs w:val="22"/>
                <w:color w:val="auto"/>
              </w:rPr>
            </w:pP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2"/>
                <w:szCs w:val="22"/>
                <w:color w:val="auto"/>
              </w:rPr>
            </w:pPr>
          </w:p>
        </w:tc>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180" w:type="dxa"/>
            <w:vAlign w:val="bottom"/>
            <w:vMerge w:val="continue"/>
          </w:tcPr>
          <w:p>
            <w:pPr>
              <w:spacing w:after="0"/>
              <w:rPr>
                <w:sz w:val="8"/>
                <w:szCs w:val="8"/>
                <w:color w:val="auto"/>
              </w:rPr>
            </w:pPr>
          </w:p>
        </w:tc>
        <w:tc>
          <w:tcPr>
            <w:tcW w:w="16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27,580,145</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$46.71</w:t>
            </w:r>
          </w:p>
        </w:tc>
        <w:tc>
          <w:tcPr>
            <w:tcW w:w="1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28,701,327</w:t>
            </w:r>
          </w:p>
        </w:tc>
        <w:tc>
          <w:tcPr>
            <w:tcW w:w="124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$43.75</w:t>
            </w:r>
          </w:p>
        </w:tc>
        <w:tc>
          <w:tcPr>
            <w:tcW w:w="16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26,300,825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$31.40</w:t>
            </w:r>
          </w:p>
        </w:tc>
        <w:tc>
          <w:tcPr>
            <w:tcW w:w="0" w:type="dxa"/>
            <w:vAlign w:val="bottom"/>
          </w:tcPr>
          <w:p>
            <w:pPr>
              <w:spacing w:after="0"/>
              <w:rPr>
                <w:sz w:val="1"/>
                <w:szCs w:val="1"/>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16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2"/>
                <w:szCs w:val="22"/>
                <w:color w:val="auto"/>
              </w:rPr>
            </w:pP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2"/>
                <w:szCs w:val="22"/>
                <w:color w:val="auto"/>
              </w:rPr>
            </w:pPr>
          </w:p>
        </w:tc>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Options exercisable</w:t>
            </w:r>
          </w:p>
        </w:tc>
        <w:tc>
          <w:tcPr>
            <w:tcW w:w="16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14,480,837</w:t>
            </w:r>
          </w:p>
        </w:tc>
        <w:tc>
          <w:tcPr>
            <w:tcW w:w="1260" w:type="dxa"/>
            <w:vAlign w:val="bottom"/>
          </w:tcPr>
          <w:p>
            <w:pPr>
              <w:spacing w:after="0"/>
              <w:rPr>
                <w:sz w:val="23"/>
                <w:szCs w:val="23"/>
                <w:color w:val="auto"/>
              </w:rPr>
            </w:pPr>
          </w:p>
        </w:tc>
        <w:tc>
          <w:tcPr>
            <w:tcW w:w="1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11,605,965</w:t>
            </w:r>
          </w:p>
        </w:tc>
        <w:tc>
          <w:tcPr>
            <w:tcW w:w="1240" w:type="dxa"/>
            <w:vAlign w:val="bottom"/>
          </w:tcPr>
          <w:p>
            <w:pPr>
              <w:spacing w:after="0"/>
              <w:rPr>
                <w:sz w:val="23"/>
                <w:szCs w:val="23"/>
                <w:color w:val="auto"/>
              </w:rPr>
            </w:pPr>
          </w:p>
        </w:tc>
        <w:tc>
          <w:tcPr>
            <w:tcW w:w="16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10,292,993</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at year-end</w:t>
            </w:r>
          </w:p>
        </w:tc>
        <w:tc>
          <w:tcPr>
            <w:tcW w:w="16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of options granted</w:t>
            </w:r>
          </w:p>
        </w:tc>
        <w:tc>
          <w:tcPr>
            <w:tcW w:w="1260" w:type="dxa"/>
            <w:vAlign w:val="bottom"/>
          </w:tcPr>
          <w:p>
            <w:pPr>
              <w:spacing w:after="0"/>
              <w:rPr>
                <w:sz w:val="15"/>
                <w:szCs w:val="15"/>
                <w:color w:val="auto"/>
              </w:rPr>
            </w:pPr>
          </w:p>
        </w:tc>
        <w:tc>
          <w:tcPr>
            <w:tcW w:w="1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$25.30</w:t>
            </w:r>
          </w:p>
        </w:tc>
        <w:tc>
          <w:tcPr>
            <w:tcW w:w="1240" w:type="dxa"/>
            <w:vAlign w:val="bottom"/>
          </w:tcPr>
          <w:p>
            <w:pPr>
              <w:spacing w:after="0"/>
              <w:rPr>
                <w:sz w:val="15"/>
                <w:szCs w:val="15"/>
                <w:color w:val="auto"/>
              </w:rPr>
            </w:pPr>
          </w:p>
        </w:tc>
        <w:tc>
          <w:tcPr>
            <w:tcW w:w="16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$11.14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during the year</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$24.44</w:t>
            </w:r>
          </w:p>
        </w:tc>
        <w:tc>
          <w:tcPr>
            <w:tcW w:w="1260" w:type="dxa"/>
            <w:vAlign w:val="bottom"/>
          </w:tcPr>
          <w:p>
            <w:pPr>
              <w:spacing w:after="0"/>
              <w:rPr>
                <w:sz w:val="22"/>
                <w:szCs w:val="22"/>
                <w:color w:val="auto"/>
              </w:rPr>
            </w:pPr>
          </w:p>
        </w:tc>
        <w:tc>
          <w:tcPr>
            <w:tcW w:w="186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720"/>
        <w:spacing w:after="0" w:line="368"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 by three ranges of exercise prices at December 31, 1998:</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OPTIONS OUTSTANDING</w:t>
            </w:r>
          </w:p>
        </w:tc>
        <w:tc>
          <w:tcPr>
            <w:tcW w:w="1780" w:type="dxa"/>
            <w:vAlign w:val="bottom"/>
          </w:tcPr>
          <w:p>
            <w:pPr>
              <w:spacing w:after="0"/>
              <w:rPr>
                <w:sz w:val="15"/>
                <w:szCs w:val="15"/>
                <w:color w:val="auto"/>
              </w:rPr>
            </w:pPr>
          </w:p>
        </w:tc>
        <w:tc>
          <w:tcPr>
            <w:tcW w:w="3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Number</w:t>
            </w:r>
          </w:p>
        </w:tc>
        <w:tc>
          <w:tcPr>
            <w:tcW w:w="1900" w:type="dxa"/>
            <w:vAlign w:val="bottom"/>
            <w:vMerge w:val="restart"/>
          </w:tcPr>
          <w:p>
            <w:pPr>
              <w:jc w:val="right"/>
              <w:ind w:right="46"/>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Weighted-average</w:t>
            </w:r>
          </w:p>
        </w:tc>
        <w:tc>
          <w:tcPr>
            <w:tcW w:w="1780" w:type="dxa"/>
            <w:vAlign w:val="bottom"/>
          </w:tcPr>
          <w:p>
            <w:pPr>
              <w:spacing w:after="0"/>
              <w:rPr>
                <w:sz w:val="15"/>
                <w:szCs w:val="15"/>
                <w:color w:val="auto"/>
              </w:rPr>
            </w:pPr>
          </w:p>
        </w:tc>
        <w:tc>
          <w:tcPr>
            <w:tcW w:w="3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7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168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Weighted-average</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9"/>
              </w:rPr>
              <w:t>Weighted-average</w:t>
            </w:r>
          </w:p>
        </w:tc>
        <w:tc>
          <w:tcPr>
            <w:tcW w:w="0" w:type="dxa"/>
            <w:vAlign w:val="bottom"/>
          </w:tcPr>
          <w:p>
            <w:pPr>
              <w:spacing w:after="0"/>
              <w:rPr>
                <w:sz w:val="1"/>
                <w:szCs w:val="1"/>
                <w:color w:val="auto"/>
              </w:rPr>
            </w:pPr>
          </w:p>
        </w:tc>
      </w:tr>
      <w:tr>
        <w:trPr>
          <w:trHeight w:val="175"/>
        </w:trPr>
        <w:tc>
          <w:tcPr>
            <w:tcW w:w="1720" w:type="dxa"/>
            <w:vAlign w:val="bottom"/>
            <w:gridSpan w:val="2"/>
            <w:vMerge w:val="continue"/>
          </w:tcPr>
          <w:p>
            <w:pPr>
              <w:spacing w:after="0"/>
              <w:rPr>
                <w:sz w:val="15"/>
                <w:szCs w:val="15"/>
                <w:color w:val="auto"/>
              </w:rPr>
            </w:pP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900" w:type="dxa"/>
            <w:vAlign w:val="bottom"/>
          </w:tcPr>
          <w:p>
            <w:pPr>
              <w:ind w:left="420"/>
              <w:spacing w:after="0"/>
              <w:rPr>
                <w:sz w:val="20"/>
                <w:szCs w:val="20"/>
                <w:color w:val="auto"/>
              </w:rPr>
            </w:pPr>
            <w:r>
              <w:rPr>
                <w:rFonts w:ascii="Courier New" w:cs="Courier New" w:eastAsia="Courier New" w:hAnsi="Courier New"/>
                <w:sz w:val="15"/>
                <w:szCs w:val="15"/>
                <w:color w:val="auto"/>
              </w:rPr>
              <w:t>remaining</w:t>
            </w:r>
          </w:p>
        </w:tc>
        <w:tc>
          <w:tcPr>
            <w:tcW w:w="1780" w:type="dxa"/>
            <w:vAlign w:val="bottom"/>
            <w:vMerge w:val="continue"/>
          </w:tcPr>
          <w:p>
            <w:pPr>
              <w:spacing w:after="0"/>
              <w:rPr>
                <w:sz w:val="15"/>
                <w:szCs w:val="15"/>
                <w:color w:val="auto"/>
              </w:rPr>
            </w:pP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exercisable</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1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as of 12/31/98</w:t>
            </w:r>
          </w:p>
        </w:tc>
        <w:tc>
          <w:tcPr>
            <w:tcW w:w="1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contractual life</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 of 12/31/98</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tcPr>
          <w:p>
            <w:pPr>
              <w:ind w:left="3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4.21 -  $32.250</w:t>
            </w:r>
          </w:p>
        </w:tc>
        <w:tc>
          <w:tcPr>
            <w:tcW w:w="1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11,067,118</w:t>
            </w:r>
          </w:p>
        </w:tc>
        <w:tc>
          <w:tcPr>
            <w:tcW w:w="19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4.56</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$28.916</w:t>
            </w: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9,308,792</w:t>
            </w:r>
          </w:p>
        </w:tc>
        <w:tc>
          <w:tcPr>
            <w:tcW w:w="1640" w:type="dxa"/>
            <w:vAlign w:val="bottom"/>
          </w:tcPr>
          <w:p>
            <w:pPr>
              <w:ind w:left="380"/>
              <w:spacing w:after="0"/>
              <w:rPr>
                <w:sz w:val="20"/>
                <w:szCs w:val="20"/>
                <w:color w:val="auto"/>
              </w:rPr>
            </w:pPr>
            <w:r>
              <w:rPr>
                <w:rFonts w:ascii="Courier New" w:cs="Courier New" w:eastAsia="Courier New" w:hAnsi="Courier New"/>
                <w:sz w:val="15"/>
                <w:szCs w:val="15"/>
                <w:color w:val="auto"/>
              </w:rPr>
              <w:t>$28.201</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32.407 - $51.536</w:t>
            </w:r>
          </w:p>
        </w:tc>
        <w:tc>
          <w:tcPr>
            <w:tcW w:w="1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9,100,558</w:t>
            </w:r>
          </w:p>
        </w:tc>
        <w:tc>
          <w:tcPr>
            <w:tcW w:w="19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7.10</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$39.262</w:t>
            </w: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3,989,682</w:t>
            </w:r>
          </w:p>
        </w:tc>
        <w:tc>
          <w:tcPr>
            <w:tcW w:w="1640" w:type="dxa"/>
            <w:vAlign w:val="bottom"/>
          </w:tcPr>
          <w:p>
            <w:pPr>
              <w:ind w:left="380"/>
              <w:spacing w:after="0"/>
              <w:rPr>
                <w:sz w:val="20"/>
                <w:szCs w:val="20"/>
                <w:color w:val="auto"/>
              </w:rPr>
            </w:pPr>
            <w:r>
              <w:rPr>
                <w:rFonts w:ascii="Courier New" w:cs="Courier New" w:eastAsia="Courier New" w:hAnsi="Courier New"/>
                <w:sz w:val="15"/>
                <w:szCs w:val="15"/>
                <w:color w:val="auto"/>
              </w:rPr>
              <w:t>$37.157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52.688 - $90.500</w:t>
            </w:r>
          </w:p>
        </w:tc>
        <w:tc>
          <w:tcPr>
            <w:tcW w:w="1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7,412,469</w:t>
            </w:r>
          </w:p>
        </w:tc>
        <w:tc>
          <w:tcPr>
            <w:tcW w:w="19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8.83</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$82.423</w:t>
            </w: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1,182,363</w:t>
            </w:r>
          </w:p>
        </w:tc>
        <w:tc>
          <w:tcPr>
            <w:tcW w:w="1640" w:type="dxa"/>
            <w:vAlign w:val="bottom"/>
          </w:tcPr>
          <w:p>
            <w:pPr>
              <w:ind w:left="380"/>
              <w:spacing w:after="0"/>
              <w:rPr>
                <w:sz w:val="20"/>
                <w:szCs w:val="20"/>
                <w:color w:val="auto"/>
              </w:rPr>
            </w:pPr>
            <w:r>
              <w:rPr>
                <w:rFonts w:ascii="Courier New" w:cs="Courier New" w:eastAsia="Courier New" w:hAnsi="Courier New"/>
                <w:sz w:val="15"/>
                <w:szCs w:val="15"/>
                <w:color w:val="auto"/>
              </w:rPr>
              <w:t>$84.964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vMerge w:val="restart"/>
          </w:tcPr>
          <w:p>
            <w:pPr>
              <w:jc w:val="right"/>
              <w:ind w:right="325"/>
              <w:spacing w:after="0"/>
              <w:rPr>
                <w:sz w:val="20"/>
                <w:szCs w:val="20"/>
                <w:color w:val="auto"/>
              </w:rPr>
            </w:pPr>
            <w:r>
              <w:rPr>
                <w:rFonts w:ascii="Courier New" w:cs="Courier New" w:eastAsia="Courier New" w:hAnsi="Courier New"/>
                <w:sz w:val="14"/>
                <w:szCs w:val="14"/>
                <w:color w:val="auto"/>
                <w:w w:val="70"/>
              </w:rPr>
              <w:t>27,580,145</w:t>
            </w:r>
            <w:r>
              <w:rPr>
                <w:rFonts w:ascii="Courier New" w:cs="Courier New" w:eastAsia="Courier New" w:hAnsi="Courier New"/>
                <w:sz w:val="26"/>
                <w:szCs w:val="26"/>
                <w:color w:val="auto"/>
                <w:w w:val="70"/>
                <w:vertAlign w:val="superscript"/>
              </w:rPr>
              <w:t>---------</w:t>
            </w:r>
          </w:p>
        </w:tc>
        <w:tc>
          <w:tcPr>
            <w:tcW w:w="1900" w:type="dxa"/>
            <w:vAlign w:val="bottom"/>
            <w:vMerge w:val="restart"/>
          </w:tcPr>
          <w:p>
            <w:pPr>
              <w:jc w:val="right"/>
              <w:ind w:right="866"/>
              <w:spacing w:after="0"/>
              <w:rPr>
                <w:sz w:val="20"/>
                <w:szCs w:val="20"/>
                <w:color w:val="auto"/>
              </w:rPr>
            </w:pPr>
            <w:r>
              <w:rPr>
                <w:rFonts w:ascii="Courier New" w:cs="Courier New" w:eastAsia="Courier New" w:hAnsi="Courier New"/>
                <w:sz w:val="15"/>
                <w:szCs w:val="15"/>
                <w:color w:val="auto"/>
              </w:rPr>
              <w:t>6.55</w:t>
            </w:r>
          </w:p>
        </w:tc>
        <w:tc>
          <w:tcPr>
            <w:tcW w:w="17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$ 46.67</w:t>
            </w: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$36.153</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14,480,837</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640"/>
        <w:spacing w:after="0" w:line="256" w:lineRule="auto"/>
        <w:rPr>
          <w:sz w:val="20"/>
          <w:szCs w:val="20"/>
          <w:color w:val="auto"/>
        </w:rPr>
      </w:pPr>
      <w:r>
        <w:rPr>
          <w:rFonts w:ascii="Courier New" w:cs="Courier New" w:eastAsia="Courier New" w:hAnsi="Courier New"/>
          <w:sz w:val="15"/>
          <w:szCs w:val="15"/>
          <w:color w:val="auto"/>
        </w:rPr>
        <w:t>Under the Schlumberger Discounted Stock Purchase Plan, the Company is authorized to issue up to 22,012,245 shares of Common Stock to its employees.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1,266,840, 1,399,623 and 1,483,494 shares to employees in 1998, 1997 and 1996, respectively. Compensation cost has been computed for the fair value of the employees' purchase rights, which was estimated using the Black-Scholes model with the following assumptions for 1998, 1997 and 1996: Dividend of $0.75; expected life of one year; expected volatility of 34% for 1998, 28% for 1997 and 20% for 1996; and risk-free interest rates of 4.44% for 1998, 5.64% for 1997 and 5.71% for 1996. The weighted-average fair value of those purchase rights granted in 1998, 1997 and 1996, was $19.817, $17.845 and $9.73, respectively.</w:t>
      </w:r>
    </w:p>
    <w:p>
      <w:pPr>
        <w:sectPr>
          <w:pgSz w:w="11900" w:h="16838" w:orient="portrait"/>
          <w:cols w:equalWidth="0" w:num="1">
            <w:col w:w="10900"/>
          </w:cols>
          <w:pgMar w:left="240" w:top="614" w:right="75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Income Tax Expense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Company and its subsidiaries operate in over 100 taxing jurisdictions where statutory tax rates generally vary from 0% - 50%.</w:t>
      </w:r>
    </w:p>
    <w:p>
      <w:pPr>
        <w:spacing w:after="0" w:line="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Pretax book income subject to US and foreign income taxes for each of the three years ending December 31,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68"/>
        </w:trPr>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23"/>
                <w:szCs w:val="23"/>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$ 201</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500" w:type="dxa"/>
            <w:vAlign w:val="bottom"/>
          </w:tcPr>
          <w:p>
            <w:pPr>
              <w:spacing w:after="0"/>
              <w:rPr>
                <w:sz w:val="22"/>
                <w:szCs w:val="22"/>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1,294</w:t>
            </w:r>
          </w:p>
        </w:tc>
        <w:tc>
          <w:tcPr>
            <w:tcW w:w="44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w:t>
            </w:r>
          </w:p>
        </w:tc>
        <w:tc>
          <w:tcPr>
            <w:tcW w:w="0" w:type="dxa"/>
            <w:vAlign w:val="bottom"/>
          </w:tcPr>
          <w:p>
            <w:pPr>
              <w:spacing w:after="0"/>
              <w:rPr>
                <w:sz w:val="1"/>
                <w:szCs w:val="1"/>
                <w:color w:val="auto"/>
              </w:rPr>
            </w:pPr>
          </w:p>
        </w:tc>
      </w:tr>
      <w:tr>
        <w:trPr>
          <w:trHeight w:val="268"/>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5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$ 1,323</w:t>
            </w:r>
          </w:p>
        </w:tc>
        <w:tc>
          <w:tcPr>
            <w:tcW w:w="4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$ 1,805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$ 779</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The Company had net deductible temporary differences of $1.2 billion at December 31, 1998 and $977 million at December 31, 1997. Significant temporary differences pertain to postretirement medical benefits, fixed assets, employee benefits and inventory.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consolidated income tax expense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440" w:type="dxa"/>
            <w:vAlign w:val="bottom"/>
          </w:tcPr>
          <w:p>
            <w:pPr>
              <w:spacing w:after="0"/>
              <w:rPr>
                <w:sz w:val="22"/>
                <w:szCs w:val="22"/>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820" w:type="dxa"/>
            <w:vAlign w:val="bottom"/>
            <w:vMerge w:val="continue"/>
          </w:tcPr>
          <w:p>
            <w:pPr>
              <w:spacing w:after="0"/>
              <w:rPr>
                <w:sz w:val="8"/>
                <w:szCs w:val="8"/>
                <w:color w:val="auto"/>
              </w:rPr>
            </w:pPr>
          </w:p>
        </w:tc>
        <w:tc>
          <w:tcPr>
            <w:tcW w:w="4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93</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49</w:t>
            </w: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United States-Federal</w:t>
            </w: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United States-State</w:t>
            </w:r>
          </w:p>
        </w:tc>
        <w:tc>
          <w:tcPr>
            <w:tcW w:w="4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4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272</w:t>
            </w:r>
          </w:p>
        </w:tc>
        <w:tc>
          <w:tcPr>
            <w:tcW w:w="36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$ 387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$ 280</w:t>
            </w:r>
          </w:p>
        </w:tc>
        <w:tc>
          <w:tcPr>
            <w:tcW w:w="0" w:type="dxa"/>
            <w:vAlign w:val="bottom"/>
          </w:tcPr>
          <w:p>
            <w:pPr>
              <w:spacing w:after="0"/>
              <w:rPr>
                <w:sz w:val="1"/>
                <w:szCs w:val="1"/>
                <w:color w:val="auto"/>
              </w:rPr>
            </w:pPr>
          </w:p>
        </w:tc>
      </w:tr>
      <w:tr>
        <w:trPr>
          <w:trHeight w:val="256"/>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820" w:type="dxa"/>
            <w:vAlign w:val="bottom"/>
            <w:vMerge w:val="continue"/>
          </w:tcPr>
          <w:p>
            <w:pPr>
              <w:spacing w:after="0"/>
              <w:rPr>
                <w:sz w:val="8"/>
                <w:szCs w:val="8"/>
                <w:color w:val="auto"/>
              </w:rPr>
            </w:pPr>
          </w:p>
        </w:tc>
        <w:tc>
          <w:tcPr>
            <w:tcW w:w="4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18</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United States-Federal</w:t>
            </w: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United States-State</w:t>
            </w:r>
          </w:p>
        </w:tc>
        <w:tc>
          <w:tcPr>
            <w:tcW w:w="44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44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Consolidated taxes on income</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309</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$ 420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tax rate</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the Company's effective tax rates were due to several factors, including the effect of the US operating loss carryforward in prior years and a substantial proportion of operations in countries where taxation on income is lower than in the US.</w:t>
      </w:r>
    </w:p>
    <w:p>
      <w:pPr>
        <w:spacing w:after="0" w:line="68"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In the third quarter of 1996, with increasing profitability and a strong outlook in the US, the Company recognized 50% of the US income tax benefit related to its US subsidiary's tax loss carryforward and all temporary differences. This resulted in a credit of $360 million.</w:t>
      </w:r>
    </w:p>
    <w:p>
      <w:pPr>
        <w:spacing w:after="0" w:line="61"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In the second quarter of 1997, the Company released the remaining valuation allowance related to its US subsidiary's tax loss carryforward and all temporary differences. The resulting reduction in income tax expense was not significant.</w:t>
      </w:r>
    </w:p>
    <w:p>
      <w:pPr>
        <w:sectPr>
          <w:pgSz w:w="11900" w:h="16838" w:orient="portrait"/>
          <w:cols w:equalWidth="0" w:num="1">
            <w:col w:w="10219"/>
          </w:cols>
          <w:pgMar w:left="240" w:top="61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rental expense was $360 million in 1998, $295 million in 1997 and $242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1996. Future minimum rental commitments under noncancelable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for years ending December 31 are: $157 million in 1999; $117 million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$99 million in 2001; $83 million in 2002; and $72 million in 2003.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ensuing three five-year periods, these commitments decrease from $105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million. The minimum rentals over the remaining terms of the leases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$55 million.</w:t>
      </w:r>
    </w:p>
    <w:p>
      <w:pPr>
        <w:spacing w:after="0" w:line="152"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Included in the rental expenses and future minimum rental commitments above are the Schlumberger semisubmersibles Drillstar and Sedco Explorer. In September 1997, these rigs were sold to a newly formed venture in which the Company has a 25% interest. The rigs are being operated by Schlumberger under bareboat charters.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89"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currently determinable, in the opinion of the Company any liability that might ensue would not be material in relation to consolidated liquidity, financial position or future results of operations.</w:t>
      </w:r>
    </w:p>
    <w:p>
      <w:pPr>
        <w:sectPr>
          <w:pgSz w:w="11900" w:h="16838" w:orient="portrait"/>
          <w:cols w:equalWidth="0" w:num="1">
            <w:col w:w="10219"/>
          </w:cols>
          <w:pgMar w:left="240" w:top="61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Segment Information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operates four businesses: Oilfield Services (OFS), Resource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Services (RMS), Test &amp; Transactions (T&amp;T) and Cable &amp; Wireless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Omnes. OFS, RMS and T&amp;T are reportable business segments; Cable &amp; Wireless Omnes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not a reportable segment.</w:t>
      </w:r>
    </w:p>
    <w:p>
      <w:pPr>
        <w:spacing w:after="0" w:line="152"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Company's OFS business falls into four clearly defined economic and geographical areas and is evaluated on the following basis: First, North America (NAM) is a major selfcontained market. Second, Latin America (LAM) is composed of regional markets which share a common dependence on the United States. Third, Europe is another major selfcontained market where we include the CIS, whose economy is increasingly linked to that of Europe, and West Africa. Fourth, Other Eastern includes the remainder of the Eastern Hemisphere, which consists of many countries at different stages of economic development that share a common dependence on the oil and gas industry. Camco is managed as a separate segment within OFS.</w:t>
      </w:r>
    </w:p>
    <w:p>
      <w:pPr>
        <w:spacing w:after="0" w:line="82"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The OFS group provides exploration and production services required during the life of an oil and gas reservoir. The Company believes that all the products/services are interrelated and expect similar performance from each. The RMS group is a global provider of measurement solutions, products and systems for electricity, gas and water utilities worldwide. The T&amp;T group supplies technology products, services and system solutions to the semiconductor, banking, telecommunications, transportation and health care industries. The group consists of two businesses, Automated Test Equipment and Smart Cards &amp; Terminals. Services and products are described in more detail on pages 1 and 2 of this 10-K report.</w:t>
      </w:r>
    </w:p>
    <w:p>
      <w:pPr>
        <w:spacing w:after="0" w:line="82"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Financial information for the years ended December 31, 1998, 1997 and 1996, by segment, is as follows:</w:t>
      </w:r>
    </w:p>
    <w:p>
      <w:pPr>
        <w:sectPr>
          <w:pgSz w:w="11900" w:h="16838" w:orient="portrait"/>
          <w:cols w:equalWidth="0" w:num="1">
            <w:col w:w="10219"/>
          </w:cols>
          <w:pgMar w:left="240" w:top="61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1998</w:t>
            </w:r>
          </w:p>
        </w:tc>
        <w:tc>
          <w:tcPr>
            <w:tcW w:w="1400" w:type="dxa"/>
            <w:vAlign w:val="bottom"/>
            <w:gridSpan w:val="2"/>
            <w:vMerge w:val="restart"/>
          </w:tcPr>
          <w:p>
            <w:pPr>
              <w:ind w:left="580"/>
              <w:spacing w:after="0"/>
              <w:rPr>
                <w:sz w:val="20"/>
                <w:szCs w:val="20"/>
                <w:color w:val="auto"/>
              </w:rPr>
            </w:pPr>
            <w:r>
              <w:rPr>
                <w:rFonts w:ascii="Courier New" w:cs="Courier New" w:eastAsia="Courier New" w:hAnsi="Courier New"/>
                <w:sz w:val="15"/>
                <w:szCs w:val="15"/>
                <w:color w:val="auto"/>
              </w:rPr>
              <w:t>NAM</w:t>
            </w:r>
          </w:p>
        </w:tc>
        <w:tc>
          <w:tcPr>
            <w:tcW w:w="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w w:val="88"/>
              </w:rPr>
              <w:t>LAM</w:t>
            </w:r>
          </w:p>
        </w:tc>
        <w:tc>
          <w:tcPr>
            <w:tcW w:w="60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Europe/</w:t>
            </w: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Camco</w:t>
            </w:r>
          </w:p>
        </w:tc>
        <w:tc>
          <w:tcPr>
            <w:tcW w:w="1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Elims/</w:t>
            </w:r>
          </w:p>
        </w:tc>
        <w:tc>
          <w:tcPr>
            <w:tcW w:w="2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CIS/W Afr.</w:t>
            </w:r>
          </w:p>
        </w:tc>
        <w:tc>
          <w:tcPr>
            <w:tcW w:w="13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Eastern</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OFS</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$ 2,027</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$ 1,190</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$2,511</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$ 2,218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948</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8,895</w:t>
            </w: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460</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1,366</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 Expense(/1/)</w:t>
            </w:r>
          </w:p>
        </w:tc>
        <w:tc>
          <w:tcPr>
            <w:tcW w:w="720" w:type="dxa"/>
            <w:vAlign w:val="bottom"/>
          </w:tcPr>
          <w:p>
            <w:pPr>
              <w:spacing w:after="0"/>
              <w:rPr>
                <w:sz w:val="23"/>
                <w:szCs w:val="23"/>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w:t>
            </w:r>
          </w:p>
        </w:tc>
        <w:tc>
          <w:tcPr>
            <w:tcW w:w="540" w:type="dxa"/>
            <w:vAlign w:val="bottom"/>
          </w:tcPr>
          <w:p>
            <w:pPr>
              <w:spacing w:after="0"/>
              <w:rPr>
                <w:sz w:val="23"/>
                <w:szCs w:val="23"/>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23"/>
                <w:szCs w:val="23"/>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w:t>
            </w:r>
          </w:p>
        </w:tc>
        <w:tc>
          <w:tcPr>
            <w:tcW w:w="460" w:type="dxa"/>
            <w:vAlign w:val="bottom"/>
          </w:tcPr>
          <w:p>
            <w:pPr>
              <w:spacing w:after="0"/>
              <w:rPr>
                <w:sz w:val="23"/>
                <w:szCs w:val="23"/>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23"/>
                <w:szCs w:val="23"/>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640" w:type="dxa"/>
            <w:vAlign w:val="bottom"/>
          </w:tcPr>
          <w:p>
            <w:pPr>
              <w:spacing w:after="0"/>
              <w:rPr>
                <w:sz w:val="23"/>
                <w:szCs w:val="23"/>
                <w:color w:val="auto"/>
              </w:rPr>
            </w:pP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534</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1,766</w:t>
            </w:r>
          </w:p>
        </w:tc>
        <w:tc>
          <w:tcPr>
            <w:tcW w:w="0" w:type="dxa"/>
            <w:vAlign w:val="bottom"/>
          </w:tcPr>
          <w:p>
            <w:pPr>
              <w:spacing w:after="0"/>
              <w:rPr>
                <w:sz w:val="1"/>
                <w:szCs w:val="1"/>
                <w:color w:val="auto"/>
              </w:rPr>
            </w:pPr>
          </w:p>
        </w:tc>
      </w:tr>
      <w:tr>
        <w:trPr>
          <w:trHeight w:val="256"/>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Third Quarter Charge</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77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77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$ 1,321</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$ 1,037</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$2,154</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$ 1,758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1,089</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8,331</w:t>
            </w:r>
          </w:p>
        </w:tc>
        <w:tc>
          <w:tcPr>
            <w:tcW w:w="0" w:type="dxa"/>
            <w:vAlign w:val="bottom"/>
          </w:tcPr>
          <w:p>
            <w:pPr>
              <w:spacing w:after="0"/>
              <w:rPr>
                <w:sz w:val="1"/>
                <w:szCs w:val="1"/>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7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77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271</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989</w:t>
            </w: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540</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1,745</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77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(Stated in millions)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5"/>
                <w:szCs w:val="15"/>
                <w:color w:val="auto"/>
              </w:rPr>
            </w:pPr>
          </w:p>
        </w:tc>
        <w:tc>
          <w:tcPr>
            <w:tcW w:w="6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RMS</w:t>
            </w:r>
          </w:p>
        </w:tc>
        <w:tc>
          <w:tcPr>
            <w:tcW w:w="540" w:type="dxa"/>
            <w:vAlign w:val="bottom"/>
          </w:tcPr>
          <w:p>
            <w:pPr>
              <w:spacing w:after="0"/>
              <w:rPr>
                <w:sz w:val="15"/>
                <w:szCs w:val="15"/>
                <w:color w:val="auto"/>
              </w:rPr>
            </w:pPr>
          </w:p>
        </w:tc>
        <w:tc>
          <w:tcPr>
            <w:tcW w:w="6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6"/>
              </w:rPr>
              <w:t>T&amp;T</w:t>
            </w:r>
          </w:p>
        </w:tc>
        <w:tc>
          <w:tcPr>
            <w:tcW w:w="10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Elims/</w:t>
            </w:r>
          </w:p>
        </w:tc>
        <w:tc>
          <w:tcPr>
            <w:tcW w:w="13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Consolidated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Other</w:t>
            </w: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$ 1,465</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$ 1,226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$11,816</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(86)</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$ 1,367</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 Expense(/1/)</w:t>
            </w:r>
          </w:p>
        </w:tc>
        <w:tc>
          <w:tcPr>
            <w:tcW w:w="720" w:type="dxa"/>
            <w:vAlign w:val="bottom"/>
          </w:tcPr>
          <w:p>
            <w:pPr>
              <w:spacing w:after="0"/>
              <w:rPr>
                <w:sz w:val="23"/>
                <w:szCs w:val="23"/>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23"/>
                <w:szCs w:val="23"/>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w:t>
            </w:r>
          </w:p>
        </w:tc>
        <w:tc>
          <w:tcPr>
            <w:tcW w:w="460" w:type="dxa"/>
            <w:vAlign w:val="bottom"/>
          </w:tcPr>
          <w:p>
            <w:pPr>
              <w:spacing w:after="0"/>
              <w:rPr>
                <w:sz w:val="23"/>
                <w:szCs w:val="23"/>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372</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(151)</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$ 1,739</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Third Quarter Charge</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(444)</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$ 1,323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$ 1,184</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$ 1,069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$10,584</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5,493</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$16,077</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Depreciation/Amonization</w:t>
            </w: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$ 1,136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7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$ 1,887</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49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0" w:right="3440" w:hanging="544"/>
        <w:spacing w:after="0" w:line="368" w:lineRule="auto"/>
        <w:rPr>
          <w:sz w:val="20"/>
          <w:szCs w:val="20"/>
          <w:color w:val="auto"/>
        </w:rPr>
      </w:pPr>
      <w:r>
        <w:rPr>
          <w:rFonts w:ascii="Courier New" w:cs="Courier New" w:eastAsia="Courier New" w:hAnsi="Courier New"/>
          <w:sz w:val="15"/>
          <w:szCs w:val="15"/>
          <w:color w:val="auto"/>
        </w:rPr>
        <w:t>(/1/) 1998 income tax expense excludes a credit of $63 million related to the Third Quarter Charge.</w:t>
      </w:r>
    </w:p>
    <w:p>
      <w:pPr>
        <w:sectPr>
          <w:pgSz w:w="11900" w:h="16838" w:orient="portrait"/>
          <w:cols w:equalWidth="0" w:num="1">
            <w:col w:w="10440"/>
          </w:cols>
          <w:pgMar w:left="240" w:top="1139" w:right="1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1997</w:t>
            </w:r>
          </w:p>
        </w:tc>
        <w:tc>
          <w:tcPr>
            <w:tcW w:w="1420" w:type="dxa"/>
            <w:vAlign w:val="bottom"/>
            <w:gridSpan w:val="2"/>
            <w:vMerge w:val="restart"/>
          </w:tcPr>
          <w:p>
            <w:pPr>
              <w:ind w:left="680"/>
              <w:spacing w:after="0"/>
              <w:rPr>
                <w:sz w:val="20"/>
                <w:szCs w:val="20"/>
                <w:color w:val="auto"/>
              </w:rPr>
            </w:pPr>
            <w:r>
              <w:rPr>
                <w:rFonts w:ascii="Courier New" w:cs="Courier New" w:eastAsia="Courier New" w:hAnsi="Courier New"/>
                <w:sz w:val="15"/>
                <w:szCs w:val="15"/>
                <w:color w:val="auto"/>
              </w:rPr>
              <w:t>NAM</w:t>
            </w:r>
          </w:p>
        </w:tc>
        <w:tc>
          <w:tcPr>
            <w:tcW w:w="6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88"/>
              </w:rPr>
              <w:t>LAM</w:t>
            </w:r>
          </w:p>
        </w:tc>
        <w:tc>
          <w:tcPr>
            <w:tcW w:w="50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Europe/</w:t>
            </w:r>
          </w:p>
        </w:tc>
        <w:tc>
          <w:tcPr>
            <w:tcW w:w="13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Camco</w:t>
            </w:r>
          </w:p>
        </w:tc>
        <w:tc>
          <w:tcPr>
            <w:tcW w:w="5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Elims/</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CIS/W Afr.</w:t>
            </w:r>
          </w:p>
        </w:tc>
        <w:tc>
          <w:tcPr>
            <w:tcW w:w="1360" w:type="dxa"/>
            <w:vAlign w:val="bottom"/>
            <w:gridSpan w:val="2"/>
          </w:tcPr>
          <w:p>
            <w:pPr>
              <w:jc w:val="center"/>
              <w:ind w:right="84"/>
              <w:spacing w:after="0"/>
              <w:rPr>
                <w:sz w:val="20"/>
                <w:szCs w:val="20"/>
                <w:color w:val="auto"/>
              </w:rPr>
            </w:pPr>
            <w:r>
              <w:rPr>
                <w:rFonts w:ascii="Courier New" w:cs="Courier New" w:eastAsia="Courier New" w:hAnsi="Courier New"/>
                <w:sz w:val="15"/>
                <w:szCs w:val="15"/>
                <w:color w:val="auto"/>
              </w:rPr>
              <w:t>Eastern</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OFS</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$2,129</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$1,060</w:t>
            </w: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$2,412</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8,559</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151</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454</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493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1,386</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860" w:type="dxa"/>
            <w:vAlign w:val="bottom"/>
          </w:tcPr>
          <w:p>
            <w:pPr>
              <w:spacing w:after="0"/>
              <w:rPr>
                <w:sz w:val="23"/>
                <w:szCs w:val="23"/>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w:t>
            </w:r>
          </w:p>
        </w:tc>
        <w:tc>
          <w:tcPr>
            <w:tcW w:w="620" w:type="dxa"/>
            <w:vAlign w:val="bottom"/>
          </w:tcPr>
          <w:p>
            <w:pPr>
              <w:spacing w:after="0"/>
              <w:rPr>
                <w:sz w:val="23"/>
                <w:szCs w:val="23"/>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spacing w:after="0"/>
              <w:rPr>
                <w:sz w:val="23"/>
                <w:szCs w:val="23"/>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23"/>
                <w:szCs w:val="23"/>
                <w:color w:val="auto"/>
              </w:rPr>
            </w:pPr>
          </w:p>
        </w:tc>
        <w:tc>
          <w:tcPr>
            <w:tcW w:w="8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23"/>
                <w:szCs w:val="23"/>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23"/>
                <w:szCs w:val="23"/>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196</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597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1,765</w:t>
            </w: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78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78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$1,502</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988</w:t>
            </w: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$1,856</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$1,592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1,042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844</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7,824</w:t>
            </w: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8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78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100</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255</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213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281</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386</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337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1,449</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(Stated in millions)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spacing w:after="0"/>
              <w:rPr>
                <w:sz w:val="15"/>
                <w:szCs w:val="15"/>
                <w:color w:val="auto"/>
              </w:rPr>
            </w:pPr>
          </w:p>
        </w:tc>
        <w:tc>
          <w:tcPr>
            <w:tcW w:w="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RMS</w:t>
            </w:r>
          </w:p>
        </w:tc>
        <w:tc>
          <w:tcPr>
            <w:tcW w:w="620" w:type="dxa"/>
            <w:vAlign w:val="bottom"/>
          </w:tcPr>
          <w:p>
            <w:pPr>
              <w:spacing w:after="0"/>
              <w:rPr>
                <w:sz w:val="15"/>
                <w:szCs w:val="15"/>
                <w:color w:val="auto"/>
              </w:rPr>
            </w:pP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6"/>
              </w:rPr>
              <w:t>T&amp;T</w:t>
            </w:r>
          </w:p>
        </w:tc>
        <w:tc>
          <w:tcPr>
            <w:tcW w:w="11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Elims/</w:t>
            </w:r>
          </w:p>
        </w:tc>
        <w:tc>
          <w:tcPr>
            <w:tcW w:w="136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Consolidated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Other</w:t>
            </w: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$1,569</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$1,066</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$11,543</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(130)</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$ 1,376</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860" w:type="dxa"/>
            <w:vAlign w:val="bottom"/>
          </w:tcPr>
          <w:p>
            <w:pPr>
              <w:spacing w:after="0"/>
              <w:rPr>
                <w:sz w:val="23"/>
                <w:szCs w:val="23"/>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23"/>
                <w:szCs w:val="23"/>
                <w:color w:val="auto"/>
              </w:rPr>
            </w:pP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spacing w:after="0"/>
              <w:rPr>
                <w:sz w:val="23"/>
                <w:szCs w:val="23"/>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(143)</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$ 1,796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36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2"/>
                <w:szCs w:val="22"/>
                <w:color w:val="auto"/>
              </w:rPr>
            </w:pP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gridSpan w:val="3"/>
            <w:vMerge w:val="restart"/>
          </w:tcPr>
          <w:p>
            <w:pPr>
              <w:jc w:val="right"/>
              <w:ind w:right="184"/>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$1,805</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5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$1,219</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$1,088</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$10,131</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3,055</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$13,186</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Depreciation/Amortization</w:t>
            </w: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$ 1,035</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$ 1,592</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40" w:top="1139" w:right="121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1996</w:t>
            </w:r>
          </w:p>
        </w:tc>
        <w:tc>
          <w:tcPr>
            <w:tcW w:w="1320" w:type="dxa"/>
            <w:vAlign w:val="bottom"/>
            <w:gridSpan w:val="2"/>
            <w:vMerge w:val="restart"/>
          </w:tcPr>
          <w:p>
            <w:pPr>
              <w:ind w:left="680"/>
              <w:spacing w:after="0"/>
              <w:rPr>
                <w:sz w:val="20"/>
                <w:szCs w:val="20"/>
                <w:color w:val="auto"/>
              </w:rPr>
            </w:pPr>
            <w:r>
              <w:rPr>
                <w:rFonts w:ascii="Courier New" w:cs="Courier New" w:eastAsia="Courier New" w:hAnsi="Courier New"/>
                <w:sz w:val="15"/>
                <w:szCs w:val="15"/>
                <w:color w:val="auto"/>
              </w:rPr>
              <w:t>NAM</w:t>
            </w:r>
          </w:p>
        </w:tc>
        <w:tc>
          <w:tcPr>
            <w:tcW w:w="7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w w:val="88"/>
              </w:rPr>
              <w:t>LAM</w:t>
            </w:r>
          </w:p>
        </w:tc>
        <w:tc>
          <w:tcPr>
            <w:tcW w:w="560" w:type="dxa"/>
            <w:vAlign w:val="bottom"/>
          </w:tcPr>
          <w:p>
            <w:pPr>
              <w:spacing w:after="0"/>
              <w:rPr>
                <w:sz w:val="15"/>
                <w:szCs w:val="15"/>
                <w:color w:val="auto"/>
              </w:rPr>
            </w:pP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Europe/</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Camco</w:t>
            </w:r>
          </w:p>
        </w:tc>
        <w:tc>
          <w:tcPr>
            <w:tcW w:w="5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Elims/</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CIS/W Afr.</w:t>
            </w:r>
          </w:p>
        </w:tc>
        <w:tc>
          <w:tcPr>
            <w:tcW w:w="13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Eastern</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OFS</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$1,613</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791</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$2,066</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$1,660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6,875</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138</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319</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Tax Expense(/2/)</w:t>
            </w:r>
          </w:p>
        </w:tc>
        <w:tc>
          <w:tcPr>
            <w:tcW w:w="860" w:type="dxa"/>
            <w:vAlign w:val="bottom"/>
          </w:tcPr>
          <w:p>
            <w:pPr>
              <w:spacing w:after="0"/>
              <w:rPr>
                <w:sz w:val="23"/>
                <w:szCs w:val="23"/>
                <w:color w:val="auto"/>
              </w:rPr>
            </w:pP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c>
          <w:tcPr>
            <w:tcW w:w="720" w:type="dxa"/>
            <w:vAlign w:val="bottom"/>
          </w:tcPr>
          <w:p>
            <w:pPr>
              <w:spacing w:after="0"/>
              <w:rPr>
                <w:sz w:val="23"/>
                <w:szCs w:val="23"/>
                <w:color w:val="auto"/>
              </w:rPr>
            </w:pP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23"/>
                <w:szCs w:val="23"/>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460" w:type="dxa"/>
            <w:vAlign w:val="bottom"/>
          </w:tcPr>
          <w:p>
            <w:pPr>
              <w:spacing w:after="0"/>
              <w:rPr>
                <w:sz w:val="23"/>
                <w:szCs w:val="23"/>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23"/>
                <w:szCs w:val="23"/>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spacing w:after="0"/>
              <w:rPr>
                <w:sz w:val="23"/>
                <w:szCs w:val="23"/>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173</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361</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1,138</w:t>
            </w: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Unusual Items</w:t>
            </w: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78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78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$1,059</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690</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$1,780</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$1,392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798</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6,636</w:t>
            </w: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860" w:type="dxa"/>
            <w:vAlign w:val="bottom"/>
            <w:gridSpan w:val="14"/>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786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246</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796</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w:t>
            </w:r>
          </w:p>
        </w:tc>
        <w:tc>
          <w:tcPr>
            <w:tcW w:w="7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171</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1,088</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86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4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(Stated in millions)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spacing w:after="0"/>
              <w:rPr>
                <w:sz w:val="15"/>
                <w:szCs w:val="15"/>
                <w:color w:val="auto"/>
              </w:rPr>
            </w:pPr>
          </w:p>
        </w:tc>
        <w:tc>
          <w:tcPr>
            <w:tcW w:w="4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6"/>
              </w:rPr>
              <w:t>RMS</w:t>
            </w:r>
          </w:p>
        </w:tc>
        <w:tc>
          <w:tcPr>
            <w:tcW w:w="720" w:type="dxa"/>
            <w:vAlign w:val="bottom"/>
          </w:tcPr>
          <w:p>
            <w:pPr>
              <w:spacing w:after="0"/>
              <w:rPr>
                <w:sz w:val="15"/>
                <w:szCs w:val="15"/>
                <w:color w:val="auto"/>
              </w:rPr>
            </w:pPr>
          </w:p>
        </w:tc>
        <w:tc>
          <w:tcPr>
            <w:tcW w:w="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T&amp;T</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Elims/</w:t>
            </w:r>
          </w:p>
        </w:tc>
        <w:tc>
          <w:tcPr>
            <w:tcW w:w="136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Consolidated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Other</w:t>
            </w: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$1,765</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w:t>
            </w:r>
          </w:p>
        </w:tc>
        <w:tc>
          <w:tcPr>
            <w:tcW w:w="460" w:type="dxa"/>
            <w:vAlign w:val="bottom"/>
          </w:tcPr>
          <w:p>
            <w:pPr>
              <w:spacing w:after="0"/>
              <w:rPr>
                <w:sz w:val="23"/>
                <w:szCs w:val="23"/>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$9,702</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(124)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919</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Tax Expense(/2/)</w:t>
            </w: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spacing w:after="0"/>
              <w:rPr>
                <w:sz w:val="23"/>
                <w:szCs w:val="23"/>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3"/>
                <w:szCs w:val="23"/>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3"/>
                <w:szCs w:val="23"/>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241</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Operating Income</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(124)</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$ 1,160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36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Unusual Items</w:t>
            </w: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(380)</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5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779</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$1,389</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$ 8,995</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2,277</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Depreciation/Amortization</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941</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$ 1,220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50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720" w:right="3260" w:hanging="639"/>
        <w:spacing w:after="0" w:line="307" w:lineRule="auto"/>
        <w:tabs>
          <w:tab w:leader="none" w:pos="700" w:val="left"/>
        </w:tabs>
        <w:rPr>
          <w:sz w:val="20"/>
          <w:szCs w:val="20"/>
          <w:color w:val="auto"/>
        </w:rPr>
      </w:pPr>
      <w:r>
        <w:rPr>
          <w:rFonts w:ascii="Courier New" w:cs="Courier New" w:eastAsia="Courier New" w:hAnsi="Courier New"/>
          <w:sz w:val="15"/>
          <w:szCs w:val="15"/>
          <w:color w:val="auto"/>
        </w:rPr>
        <w:t>(/2/)</w:t>
        <w:tab/>
        <w:t>1996 income tax expense excludes (i) a credit of $22 million related to the Unusual Items and (ii) a credit of $360 million related to the US tax loss carry forward recognition.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80" w:lineRule="exact"/>
        <w:rPr>
          <w:sz w:val="20"/>
          <w:szCs w:val="20"/>
          <w:color w:val="auto"/>
        </w:rPr>
      </w:pPr>
    </w:p>
    <w:p>
      <w:pPr>
        <w:ind w:right="3180"/>
        <w:spacing w:after="0" w:line="368" w:lineRule="auto"/>
        <w:rPr>
          <w:sz w:val="20"/>
          <w:szCs w:val="20"/>
          <w:color w:val="auto"/>
        </w:rPr>
      </w:pPr>
      <w:r>
        <w:rPr>
          <w:rFonts w:ascii="Courier New" w:cs="Courier New" w:eastAsia="Courier New" w:hAnsi="Courier New"/>
          <w:sz w:val="15"/>
          <w:szCs w:val="15"/>
          <w:color w:val="auto"/>
        </w:rPr>
        <w:t>During the three years ended December 31, 1998, no single customer accounted for more than 10% of consolidated revenue.</w:t>
      </w:r>
    </w:p>
    <w:p>
      <w:pPr>
        <w:spacing w:after="0" w:line="3" w:lineRule="exact"/>
        <w:rPr>
          <w:sz w:val="20"/>
          <w:szCs w:val="20"/>
          <w:color w:val="auto"/>
        </w:rPr>
      </w:pPr>
    </w:p>
    <w:p>
      <w:pPr>
        <w:ind w:right="3360"/>
        <w:spacing w:after="0" w:line="368"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accounting policies.</w:t>
      </w:r>
    </w:p>
    <w:p>
      <w:pPr>
        <w:spacing w:after="0" w:line="3" w:lineRule="exact"/>
        <w:rPr>
          <w:sz w:val="20"/>
          <w:szCs w:val="20"/>
          <w:color w:val="auto"/>
        </w:rPr>
      </w:pPr>
    </w:p>
    <w:p>
      <w:pPr>
        <w:ind w:right="4000"/>
        <w:spacing w:after="0" w:line="307"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goodwill amortization, and certain costs maintained at the OFS level.</w:t>
      </w:r>
    </w:p>
    <w:p>
      <w:pPr>
        <w:spacing w:after="0" w:line="47" w:lineRule="exact"/>
        <w:rPr>
          <w:sz w:val="20"/>
          <w:szCs w:val="20"/>
          <w:color w:val="auto"/>
        </w:rPr>
      </w:pPr>
    </w:p>
    <w:p>
      <w:pPr>
        <w:ind w:right="3180"/>
        <w:spacing w:after="0" w:line="368" w:lineRule="auto"/>
        <w:rPr>
          <w:sz w:val="20"/>
          <w:szCs w:val="20"/>
          <w:color w:val="auto"/>
        </w:rPr>
      </w:pPr>
      <w:r>
        <w:rPr>
          <w:rFonts w:ascii="Courier New" w:cs="Courier New" w:eastAsia="Courier New" w:hAnsi="Courier New"/>
          <w:sz w:val="15"/>
          <w:szCs w:val="15"/>
          <w:color w:val="auto"/>
        </w:rPr>
        <w:t>Nonoperating expenses, such as certain intersegment charges and interest expense (except as shown above) are not included in segment operating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did not have revenue from third-party customers in its country of</w:t>
      </w:r>
    </w:p>
    <w:p>
      <w:pPr>
        <w:sectPr>
          <w:pgSz w:w="11900" w:h="16838" w:orient="portrait"/>
          <w:cols w:equalWidth="0" w:num="1">
            <w:col w:w="10440"/>
          </w:cols>
          <w:pgMar w:left="240" w:top="964" w:right="1219" w:bottom="0" w:gutter="0" w:footer="0" w:header="0"/>
        </w:sectPr>
      </w:pPr>
    </w:p>
    <w:bookmarkStart w:id="42" w:name="page43"/>
    <w:bookmarkEnd w:id="42"/>
    <w:p>
      <w:pPr>
        <w:ind w:right="3039"/>
        <w:spacing w:after="0" w:line="307" w:lineRule="auto"/>
        <w:rPr>
          <w:sz w:val="20"/>
          <w:szCs w:val="20"/>
          <w:color w:val="auto"/>
        </w:rPr>
      </w:pPr>
      <w:r>
        <w:rPr>
          <w:rFonts w:ascii="Courier New" w:cs="Courier New" w:eastAsia="Courier New" w:hAnsi="Courier New"/>
          <w:sz w:val="15"/>
          <w:szCs w:val="15"/>
          <w:color w:val="auto"/>
        </w:rPr>
        <w:t>domicile during the last three years. In each of the three years, only revenue in the US exceeded 10% of Consolidated revenue. Revenue in the US in 1998, 1997 and 1996 was $3.4 billion, $3.5 billion and $2.8 billion, respectively.</w:t>
      </w:r>
    </w:p>
    <w:p>
      <w:pPr>
        <w:sectPr>
          <w:pgSz w:w="11900" w:h="16838" w:orient="portrait"/>
          <w:cols w:equalWidth="0" w:num="1">
            <w:col w:w="10219"/>
          </w:cols>
          <w:pgMar w:left="240" w:top="114" w:right="1440" w:bottom="1440" w:gutter="0" w:footer="0" w:header="0"/>
        </w:sectPr>
      </w:pPr>
    </w:p>
    <w:bookmarkStart w:id="43" w:name="page44"/>
    <w:bookmarkEnd w:id="43"/>
    <w:p>
      <w:pPr>
        <w:ind w:left="7"/>
        <w:spacing w:after="0"/>
        <w:rPr>
          <w:sz w:val="20"/>
          <w:szCs w:val="20"/>
          <w:color w:val="auto"/>
        </w:rPr>
      </w:pPr>
      <w:r>
        <w:rPr>
          <w:rFonts w:ascii="Courier New" w:cs="Courier New" w:eastAsia="Courier New" w:hAnsi="Courier New"/>
          <w:sz w:val="15"/>
          <w:szCs w:val="15"/>
          <w:color w:val="auto"/>
        </w:rPr>
        <w:t>Pension and Other Benefit Plans</w:t>
      </w:r>
    </w:p>
    <w:p>
      <w:pPr>
        <w:spacing w:after="0" w:line="33" w:lineRule="exact"/>
        <w:rPr>
          <w:sz w:val="20"/>
          <w:szCs w:val="20"/>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80" w:lineRule="exact"/>
        <w:rPr>
          <w:sz w:val="20"/>
          <w:szCs w:val="20"/>
          <w:color w:val="auto"/>
        </w:rPr>
      </w:pPr>
    </w:p>
    <w:p>
      <w:pPr>
        <w:ind w:left="7" w:right="3039"/>
        <w:spacing w:after="0" w:line="262"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78"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1998 were 7.5%, 4.5% and 9%, respectively. In 1997, the assumptions were 8%, 4.5% and 8.5%, respectively. In 1996, the assumptions were 7.5%, 4.5% and 8.5%, respectively.</w:t>
      </w:r>
    </w:p>
    <w:p>
      <w:pPr>
        <w:spacing w:after="0" w:line="61" w:lineRule="exact"/>
        <w:rPr>
          <w:sz w:val="20"/>
          <w:szCs w:val="20"/>
          <w:color w:val="auto"/>
        </w:rPr>
      </w:pPr>
    </w:p>
    <w:p>
      <w:pPr>
        <w:ind w:left="7" w:right="3499"/>
        <w:spacing w:after="0" w:line="368" w:lineRule="auto"/>
        <w:rPr>
          <w:sz w:val="20"/>
          <w:szCs w:val="20"/>
          <w:color w:val="auto"/>
        </w:rPr>
      </w:pPr>
      <w:r>
        <w:rPr>
          <w:rFonts w:ascii="Courier New" w:cs="Courier New" w:eastAsia="Courier New" w:hAnsi="Courier New"/>
          <w:sz w:val="15"/>
          <w:szCs w:val="15"/>
          <w:color w:val="auto"/>
        </w:rPr>
        <w:t>Net pension cost in the US for 1998, 1997 and 1996, included the following components: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3"/>
                <w:szCs w:val="23"/>
                <w:color w:val="auto"/>
              </w:rPr>
            </w:pP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260" w:type="dxa"/>
            <w:vAlign w:val="bottom"/>
            <w:vMerge w:val="restart"/>
          </w:tcPr>
          <w:p>
            <w:pPr>
              <w:spacing w:after="0"/>
              <w:rPr>
                <w:sz w:val="20"/>
                <w:szCs w:val="20"/>
                <w:color w:val="auto"/>
              </w:rPr>
            </w:pPr>
            <w:r>
              <w:rPr>
                <w:rFonts w:ascii="Courier New" w:cs="Courier New" w:eastAsia="Courier New" w:hAnsi="Courier New"/>
                <w:sz w:val="15"/>
                <w:szCs w:val="15"/>
                <w:color w:val="auto"/>
              </w:rPr>
              <w:t>Service cost-benefits</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260" w:type="dxa"/>
            <w:vAlign w:val="bottom"/>
            <w:vMerge w:val="continue"/>
          </w:tcPr>
          <w:p>
            <w:pPr>
              <w:spacing w:after="0"/>
              <w:rPr>
                <w:sz w:val="8"/>
                <w:szCs w:val="8"/>
                <w:color w:val="auto"/>
              </w:rPr>
            </w:pPr>
          </w:p>
        </w:tc>
        <w:tc>
          <w:tcPr>
            <w:tcW w:w="17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$ 39</w:t>
            </w:r>
          </w:p>
        </w:tc>
        <w:tc>
          <w:tcPr>
            <w:tcW w:w="12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$ 33</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$ 31</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period</w:t>
            </w:r>
          </w:p>
        </w:tc>
        <w:tc>
          <w:tcPr>
            <w:tcW w:w="1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17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68</w:t>
            </w:r>
          </w:p>
        </w:tc>
        <w:tc>
          <w:tcPr>
            <w:tcW w:w="12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61</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1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Expected return on</w:t>
            </w: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plan assets (actual</w:t>
            </w: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return: 1998-$167;</w:t>
            </w:r>
          </w:p>
        </w:tc>
        <w:tc>
          <w:tcPr>
            <w:tcW w:w="17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(77)</w:t>
            </w:r>
          </w:p>
        </w:tc>
        <w:tc>
          <w:tcPr>
            <w:tcW w:w="12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(63)</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1997-$165; 1996-$99)</w:t>
            </w:r>
          </w:p>
        </w:tc>
        <w:tc>
          <w:tcPr>
            <w:tcW w:w="1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7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w:t>
            </w:r>
          </w:p>
        </w:tc>
        <w:tc>
          <w:tcPr>
            <w:tcW w:w="12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transition asset</w:t>
            </w:r>
          </w:p>
        </w:tc>
        <w:tc>
          <w:tcPr>
            <w:tcW w:w="1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of prior</w:t>
            </w:r>
          </w:p>
        </w:tc>
        <w:tc>
          <w:tcPr>
            <w:tcW w:w="17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12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4</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service cost/other</w:t>
            </w:r>
          </w:p>
        </w:tc>
        <w:tc>
          <w:tcPr>
            <w:tcW w:w="1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pension cost</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$ 31</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$ 32</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Effective January 1, 1998, the Company and its subsidiaries amended their pension plans to improve retirement benefits for retired employees. The funded status at December 31, 1997, reflects the amendment.</w:t>
      </w:r>
    </w:p>
    <w:p>
      <w:pPr>
        <w:sectPr>
          <w:pgSz w:w="11900" w:h="16838" w:orient="portrait"/>
          <w:cols w:equalWidth="0" w:num="1">
            <w:col w:w="10226"/>
          </w:cols>
          <w:pgMar w:left="233" w:top="615" w:right="1440" w:bottom="1440" w:gutter="0" w:footer="0" w:header="0"/>
        </w:sectPr>
      </w:pPr>
    </w:p>
    <w:bookmarkStart w:id="44" w:name="page45"/>
    <w:bookmarkEnd w:id="44"/>
    <w:p>
      <w:pPr>
        <w:ind w:right="2959"/>
        <w:spacing w:after="0" w:line="368"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at December 31, 1998 and 1997,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6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$ 906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$776</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beginning of the year</w:t>
            </w: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Amendments</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Special termination benefits</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end of the year</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$ 1,060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6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$ 978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$835</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beginning of the year</w:t>
            </w: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end of the year</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$ 1,119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$978</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Excess of assets over</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6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59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projected benefit obligation</w:t>
            </w: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86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transition date</w:t>
            </w: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Pension liability</w:t>
            </w: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1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Assumed discount rate, rate of compensation increases, and the expected long-term rate of return on plan assets used to determine the projected benefit obligations were 7%, 4.5%, and 9%, respectively, in 1998, and 7.5%, 4.5%, and 8.5% respectively, in 1997. Plan assets at December 31, 1998, consisted of common stocks ($722 million), cash or cash equivalents ($90 million), fixed income investments ($227 million) and other investments ($80 million). Less than 1% of the plan assets at December 31, 1998, were represented by Schlumberger Limited Common Stock.</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180"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Outside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$17 million, $15 million and $16 million in 1998, 1997 and 1996, respectively. The only significant defined benefit plan is in the UK.</w:t>
      </w:r>
    </w:p>
    <w:p>
      <w:pPr>
        <w:spacing w:after="0" w:line="78"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1998 were 7.5%, 5% and 9%, respectively. In 1997, the</w:t>
      </w:r>
    </w:p>
    <w:p>
      <w:pPr>
        <w:sectPr>
          <w:pgSz w:w="11900" w:h="16838" w:orient="portrait"/>
          <w:cols w:equalWidth="0" w:num="1">
            <w:col w:w="10219"/>
          </w:cols>
          <w:pgMar w:left="240" w:top="615" w:right="1440" w:bottom="1440" w:gutter="0" w:footer="0" w:header="0"/>
        </w:sectPr>
      </w:pPr>
    </w:p>
    <w:bookmarkStart w:id="45" w:name="page46"/>
    <w:bookmarkEnd w:id="45"/>
    <w:p>
      <w:pPr>
        <w:ind w:right="3219" w:firstLine="182"/>
        <w:spacing w:after="0" w:line="368" w:lineRule="auto"/>
        <w:rPr>
          <w:sz w:val="20"/>
          <w:szCs w:val="20"/>
          <w:color w:val="auto"/>
        </w:rPr>
      </w:pPr>
      <w:r>
        <w:rPr>
          <w:rFonts w:ascii="Courier New" w:cs="Courier New" w:eastAsia="Courier New" w:hAnsi="Courier New"/>
          <w:sz w:val="15"/>
          <w:szCs w:val="15"/>
          <w:color w:val="auto"/>
        </w:rPr>
        <w:t>assumptions were 8.0%, 5%, and 8.5%, respectively. In 1996, the assumptions were 7.5%, 5% and 8.5%, respectively.</w:t>
      </w:r>
    </w:p>
    <w:p>
      <w:pPr>
        <w:spacing w:after="0" w:line="3"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Net pension cost in the UK plan for 1998, 1997 and 1996 (translated into US dollars at the average exchange rate for the periods), included the following components: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7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260" w:type="dxa"/>
            <w:vAlign w:val="bottom"/>
            <w:vMerge w:val="restart"/>
          </w:tcPr>
          <w:p>
            <w:pPr>
              <w:spacing w:after="0"/>
              <w:rPr>
                <w:sz w:val="20"/>
                <w:szCs w:val="20"/>
                <w:color w:val="auto"/>
              </w:rPr>
            </w:pPr>
            <w:r>
              <w:rPr>
                <w:rFonts w:ascii="Courier New" w:cs="Courier New" w:eastAsia="Courier New" w:hAnsi="Courier New"/>
                <w:sz w:val="15"/>
                <w:szCs w:val="15"/>
                <w:color w:val="auto"/>
              </w:rPr>
              <w:t>Service cost-benefits</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260" w:type="dxa"/>
            <w:vAlign w:val="bottom"/>
            <w:vMerge w:val="continue"/>
          </w:tcPr>
          <w:p>
            <w:pPr>
              <w:spacing w:after="0"/>
              <w:rPr>
                <w:sz w:val="8"/>
                <w:szCs w:val="8"/>
                <w:color w:val="auto"/>
              </w:rPr>
            </w:pPr>
          </w:p>
        </w:tc>
        <w:tc>
          <w:tcPr>
            <w:tcW w:w="17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$ 18</w:t>
            </w:r>
          </w:p>
        </w:tc>
        <w:tc>
          <w:tcPr>
            <w:tcW w:w="13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$ 16</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$ 13</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period</w:t>
            </w:r>
          </w:p>
        </w:tc>
        <w:tc>
          <w:tcPr>
            <w:tcW w:w="17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17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18</w:t>
            </w:r>
          </w:p>
        </w:tc>
        <w:tc>
          <w:tcPr>
            <w:tcW w:w="13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17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Expected return on</w:t>
            </w: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plan assets (actual</w:t>
            </w: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return: 1998-$22;</w:t>
            </w:r>
          </w:p>
        </w:tc>
        <w:tc>
          <w:tcPr>
            <w:tcW w:w="174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(30)</w:t>
            </w:r>
          </w:p>
        </w:tc>
        <w:tc>
          <w:tcPr>
            <w:tcW w:w="13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1997-$28; 1996-$37)</w:t>
            </w:r>
          </w:p>
        </w:tc>
        <w:tc>
          <w:tcPr>
            <w:tcW w:w="17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of transition</w:t>
            </w:r>
          </w:p>
        </w:tc>
        <w:tc>
          <w:tcPr>
            <w:tcW w:w="174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(6)</w:t>
            </w:r>
          </w:p>
        </w:tc>
        <w:tc>
          <w:tcPr>
            <w:tcW w:w="13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asset and other</w:t>
            </w:r>
          </w:p>
        </w:tc>
        <w:tc>
          <w:tcPr>
            <w:tcW w:w="17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pension cost</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2959"/>
        <w:spacing w:after="0" w:line="368"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 (translated into US dollars at year-end exchange rates)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8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0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$239</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$ 157</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beginning of the year</w:t>
            </w:r>
          </w:p>
        </w:tc>
        <w:tc>
          <w:tcPr>
            <w:tcW w:w="18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Actuarial (gains) / losses</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end of the year</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0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$350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$283</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beginning of the year</w:t>
            </w:r>
          </w:p>
        </w:tc>
        <w:tc>
          <w:tcPr>
            <w:tcW w:w="18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end of the year</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$366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Excess of assets over</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80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137</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projected benefit obligation</w:t>
            </w:r>
          </w:p>
        </w:tc>
        <w:tc>
          <w:tcPr>
            <w:tcW w:w="18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80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(4)</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at transition date</w:t>
            </w:r>
          </w:p>
        </w:tc>
        <w:tc>
          <w:tcPr>
            <w:tcW w:w="18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Pension asset</w:t>
            </w: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1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46" w:name="page47"/>
    <w:bookmarkEnd w:id="46"/>
    <w:p>
      <w:pPr>
        <w:ind w:right="2959"/>
        <w:spacing w:after="0" w:line="267"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7% and 4%, respectively, in 1998, and 7.5% and 5%, respectively, in 1997; the expected long-term rate of return on plan assets was 9% in 1998 and 8.5% in 1997, respectively. Plan assets consisted of common stocks ($283 million), cash or cash equivalents ($9 million) and fixed income investments ($74 million). None of the plan assets represented Schlumberger Limited Common Stock.</w:t>
      </w:r>
    </w:p>
    <w:p>
      <w:pPr>
        <w:spacing w:after="0" w:line="75"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For defined contribution plans, funding and cost are generally based upon a predetermined percentage of employee compensation. Charges to expense in 1998, 1997 and 1996, were $25 million, $25 million and $16 million, respectively.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180"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Expenses for these programs were $128 million, $127 million and $96 million in 1998, 1997 and 1996, respectively.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1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$54 million, $46 million and $42 million in 1998, 1997 and 1996, respectively. Outside the US, such benefits are mostly provided through government-sponsored programs.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3"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7.5% in 1998 and 8% in 1997 and 1996. The overall medical cost trend rate assumption beginning December 31, 1996 was 9% graded to 5% over the next six years and 5% thereafter. Previously the overall assumption had been 10% graded to 6% over the next six years and 6% thereafter.</w:t>
      </w:r>
    </w:p>
    <w:p>
      <w:pPr>
        <w:spacing w:after="0" w:line="68"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Net periodic postretirement benefit cost in the US for 1998, 1997 and 1996 included the following components: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6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Service cost-benefits</w:t>
            </w:r>
          </w:p>
        </w:tc>
        <w:tc>
          <w:tcPr>
            <w:tcW w:w="16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00" w:type="dxa"/>
            <w:vAlign w:val="bottom"/>
            <w:vMerge w:val="continue"/>
          </w:tcPr>
          <w:p>
            <w:pPr>
              <w:spacing w:after="0"/>
              <w:rPr>
                <w:sz w:val="8"/>
                <w:szCs w:val="8"/>
                <w:color w:val="auto"/>
              </w:rPr>
            </w:pPr>
          </w:p>
        </w:tc>
        <w:tc>
          <w:tcPr>
            <w:tcW w:w="16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$ 11</w:t>
            </w:r>
          </w:p>
        </w:tc>
        <w:tc>
          <w:tcPr>
            <w:tcW w:w="13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  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$ 13</w:t>
            </w:r>
          </w:p>
        </w:tc>
        <w:tc>
          <w:tcPr>
            <w:tcW w:w="0" w:type="dxa"/>
            <w:vAlign w:val="bottom"/>
          </w:tcPr>
          <w:p>
            <w:pPr>
              <w:spacing w:after="0"/>
              <w:rPr>
                <w:sz w:val="1"/>
                <w:szCs w:val="1"/>
                <w:color w:val="auto"/>
              </w:rPr>
            </w:pPr>
          </w:p>
        </w:tc>
      </w:tr>
      <w:tr>
        <w:trPr>
          <w:trHeight w:val="175"/>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period</w:t>
            </w: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cost on accumulated</w:t>
            </w: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postretirement benefit</w:t>
            </w:r>
          </w:p>
        </w:tc>
        <w:tc>
          <w:tcPr>
            <w:tcW w:w="16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w:t>
            </w:r>
          </w:p>
        </w:tc>
        <w:tc>
          <w:tcPr>
            <w:tcW w:w="13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22</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obligation</w:t>
            </w: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Amortization of unrecognized</w:t>
            </w:r>
          </w:p>
        </w:tc>
        <w:tc>
          <w:tcPr>
            <w:tcW w:w="16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net gain and other</w:t>
            </w: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6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6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$ 27</w:t>
            </w:r>
          </w:p>
        </w:tc>
        <w:tc>
          <w:tcPr>
            <w:tcW w:w="13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$ 40</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16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47" w:name="page48"/>
    <w:bookmarkEnd w:id="47"/>
    <w:p>
      <w:pPr>
        <w:ind w:right="3039" w:firstLine="182"/>
        <w:spacing w:after="0" w:line="368" w:lineRule="auto"/>
        <w:rPr>
          <w:sz w:val="20"/>
          <w:szCs w:val="20"/>
          <w:color w:val="auto"/>
        </w:rPr>
      </w:pPr>
      <w:r>
        <w:rPr>
          <w:rFonts w:ascii="Courier New" w:cs="Courier New" w:eastAsia="Courier New" w:hAnsi="Courier New"/>
          <w:sz w:val="15"/>
          <w:szCs w:val="15"/>
          <w:color w:val="auto"/>
        </w:rPr>
        <w:t>The change in accumulated postretirement benefit obligation and funded status at December 31, 1998 and 1997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postretirement</w:t>
            </w:r>
          </w:p>
        </w:tc>
        <w:tc>
          <w:tcPr>
            <w:tcW w:w="18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313</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$298</w:t>
            </w: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at beginning of the year</w:t>
            </w:r>
          </w:p>
        </w:tc>
        <w:tc>
          <w:tcPr>
            <w:tcW w:w="8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Actuarial (gains) / losses</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Acquisition</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Accumulated postretirement</w:t>
            </w:r>
          </w:p>
        </w:tc>
        <w:tc>
          <w:tcPr>
            <w:tcW w:w="18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820" w:type="dxa"/>
            <w:vAlign w:val="bottom"/>
          </w:tcPr>
          <w:p>
            <w:pPr>
              <w:spacing w:after="0"/>
              <w:rPr>
                <w:sz w:val="15"/>
                <w:szCs w:val="15"/>
                <w:color w:val="auto"/>
              </w:rPr>
            </w:pPr>
          </w:p>
        </w:tc>
        <w:tc>
          <w:tcPr>
            <w:tcW w:w="10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354</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at end of the year</w:t>
            </w:r>
          </w:p>
        </w:tc>
        <w:tc>
          <w:tcPr>
            <w:tcW w:w="8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82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Postretirement benefit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liability at December 31</w:t>
            </w:r>
          </w:p>
        </w:tc>
        <w:tc>
          <w:tcPr>
            <w:tcW w:w="820" w:type="dxa"/>
            <w:vAlign w:val="bottom"/>
            <w:vMerge w:val="continue"/>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433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w:t>
            </w: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components of the accumulated postretirement benefit obligation at December 31, 1998 and 1997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5"/>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Retirees</w:t>
            </w: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$ 165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Fully eligible</w:t>
            </w: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48</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Actives</w:t>
            </w: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141</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$ 354</w:t>
            </w:r>
          </w:p>
        </w:tc>
        <w:tc>
          <w:tcPr>
            <w:tcW w:w="64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2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7.0% for 1998 and 7.5% for 1997.</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1998 would have been $33 million, and the accumulated postretirement benefit obligation would have been $416 million at December 31, 1998.</w:t>
      </w:r>
    </w:p>
    <w:p>
      <w:pPr>
        <w:spacing w:after="0" w:line="61"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1998 would have been $22 million, and the accumulated postretirement benefit obligation would have been $305 million at December 31, 1998.</w:t>
      </w:r>
    </w:p>
    <w:p>
      <w:pPr>
        <w:sectPr>
          <w:pgSz w:w="11900" w:h="16838" w:orient="portrait"/>
          <w:cols w:equalWidth="0" w:num="1">
            <w:col w:w="10219"/>
          </w:cols>
          <w:pgMar w:left="240" w:top="61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1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8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2140" w:type="dxa"/>
            <w:vAlign w:val="bottom"/>
            <w:vMerge w:val="continue"/>
          </w:tcPr>
          <w:p>
            <w:pPr>
              <w:spacing w:after="0"/>
              <w:rPr>
                <w:sz w:val="15"/>
                <w:szCs w:val="15"/>
                <w:color w:val="auto"/>
              </w:rPr>
            </w:pP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2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$ 3,224</w:t>
            </w:r>
          </w:p>
        </w:tc>
        <w:tc>
          <w:tcPr>
            <w:tcW w:w="15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$ 3,273</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$2,931</w:t>
            </w: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Sales</w:t>
            </w:r>
          </w:p>
        </w:tc>
        <w:tc>
          <w:tcPr>
            <w:tcW w:w="21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Services</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8,592</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6,771</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$ 11,816</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$ 11,543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$9,702</w:t>
            </w:r>
          </w:p>
        </w:tc>
        <w:tc>
          <w:tcPr>
            <w:tcW w:w="0" w:type="dxa"/>
            <w:vAlign w:val="bottom"/>
          </w:tcPr>
          <w:p>
            <w:pPr>
              <w:spacing w:after="0"/>
              <w:rPr>
                <w:sz w:val="1"/>
                <w:szCs w:val="1"/>
                <w:color w:val="auto"/>
              </w:rPr>
            </w:pPr>
          </w:p>
        </w:tc>
      </w:tr>
      <w:tr>
        <w:trPr>
          <w:trHeight w:val="25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Direct operating costs</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2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$ 2,083</w:t>
            </w:r>
          </w:p>
        </w:tc>
        <w:tc>
          <w:tcPr>
            <w:tcW w:w="15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$2,136</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$ 1,975</w:t>
            </w: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Goods sold</w:t>
            </w:r>
          </w:p>
        </w:tc>
        <w:tc>
          <w:tcPr>
            <w:tcW w:w="21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Services</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6,951</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5,307</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$ 9,034</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$ 8,373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$7,282</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for interest and income taxes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5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1998</w:t>
            </w:r>
          </w:p>
        </w:tc>
        <w:tc>
          <w:tcPr>
            <w:tcW w:w="254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(Stated in millions)</w:t>
            </w:r>
          </w:p>
        </w:tc>
        <w:tc>
          <w:tcPr>
            <w:tcW w:w="0" w:type="dxa"/>
            <w:vAlign w:val="bottom"/>
          </w:tcPr>
          <w:p>
            <w:pPr>
              <w:spacing w:after="0"/>
              <w:rPr>
                <w:sz w:val="1"/>
                <w:szCs w:val="1"/>
                <w:color w:val="auto"/>
              </w:rPr>
            </w:pP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2500" w:type="dxa"/>
            <w:vAlign w:val="bottom"/>
            <w:vMerge w:val="continue"/>
          </w:tcPr>
          <w:p>
            <w:pPr>
              <w:spacing w:after="0"/>
              <w:rPr>
                <w:sz w:val="15"/>
                <w:szCs w:val="15"/>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250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500" w:type="dxa"/>
            <w:vAlign w:val="bottom"/>
          </w:tcPr>
          <w:p>
            <w:pPr>
              <w:ind w:left="1400"/>
              <w:spacing w:after="0"/>
              <w:rPr>
                <w:sz w:val="20"/>
                <w:szCs w:val="20"/>
                <w:color w:val="auto"/>
              </w:rPr>
            </w:pPr>
            <w:r>
              <w:rPr>
                <w:rFonts w:ascii="Courier New" w:cs="Courier New" w:eastAsia="Courier New" w:hAnsi="Courier New"/>
                <w:sz w:val="15"/>
                <w:szCs w:val="15"/>
                <w:color w:val="auto"/>
              </w:rPr>
              <w:t>$151</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$ 93</w:t>
            </w: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$ 78</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500" w:type="dxa"/>
            <w:vAlign w:val="bottom"/>
          </w:tcPr>
          <w:p>
            <w:pPr>
              <w:ind w:left="1400"/>
              <w:spacing w:after="0"/>
              <w:rPr>
                <w:sz w:val="20"/>
                <w:szCs w:val="20"/>
                <w:color w:val="auto"/>
              </w:rPr>
            </w:pPr>
            <w:r>
              <w:rPr>
                <w:rFonts w:ascii="Courier New" w:cs="Courier New" w:eastAsia="Courier New" w:hAnsi="Courier New"/>
                <w:sz w:val="15"/>
                <w:szCs w:val="15"/>
                <w:color w:val="auto"/>
              </w:rPr>
              <w:t>$342</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$323</w:t>
            </w: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$213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w:t>
            </w: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75"/>
        </w:trPr>
        <w:tc>
          <w:tcPr>
            <w:tcW w:w="3900" w:type="dxa"/>
            <w:vAlign w:val="bottom"/>
            <w:vMerge w:val="continue"/>
          </w:tcPr>
          <w:p>
            <w:pPr>
              <w:spacing w:after="0"/>
              <w:rPr>
                <w:sz w:val="15"/>
                <w:szCs w:val="15"/>
                <w:color w:val="auto"/>
              </w:rPr>
            </w:pP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Payroll, vacation and</w:t>
            </w: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900" w:type="dxa"/>
            <w:vAlign w:val="bottom"/>
            <w:vMerge w:val="continue"/>
          </w:tcPr>
          <w:p>
            <w:pPr>
              <w:spacing w:after="0"/>
              <w:rPr>
                <w:sz w:val="8"/>
                <w:szCs w:val="8"/>
                <w:color w:val="auto"/>
              </w:rPr>
            </w:pPr>
          </w:p>
        </w:tc>
        <w:tc>
          <w:tcPr>
            <w:tcW w:w="29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$ 582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$ 586</w:t>
            </w:r>
          </w:p>
        </w:tc>
        <w:tc>
          <w:tcPr>
            <w:tcW w:w="0" w:type="dxa"/>
            <w:vAlign w:val="bottom"/>
          </w:tcPr>
          <w:p>
            <w:pPr>
              <w:spacing w:after="0"/>
              <w:rPr>
                <w:sz w:val="1"/>
                <w:szCs w:val="1"/>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employee benefits</w:t>
            </w:r>
          </w:p>
        </w:tc>
        <w:tc>
          <w:tcPr>
            <w:tcW w:w="29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Taxes, other than income</w:t>
            </w: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$2,514</w:t>
            </w: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2"/>
                <w:szCs w:val="22"/>
                <w:color w:val="auto"/>
              </w:rPr>
            </w:pP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Interest and other income includes interest income, principally from short-term and long-term investments, of $171 million, $102 million and $76 million for 1998, 1997 and 1996, respectively.</w:t>
      </w:r>
    </w:p>
    <w:p>
      <w:pPr>
        <w:sectPr>
          <w:pgSz w:w="11900" w:h="16838" w:orient="portrait"/>
          <w:cols w:equalWidth="0" w:num="1">
            <w:col w:w="10219"/>
          </w:cols>
          <w:pgMar w:left="240" w:top="615" w:right="1440" w:bottom="1440" w:gutter="0" w:footer="0" w:header="0"/>
        </w:sectPr>
      </w:pPr>
    </w:p>
    <w:bookmarkStart w:id="49" w:name="page50"/>
    <w:bookmarkEnd w:id="49"/>
    <w:p>
      <w:pPr>
        <w:jc w:val="center"/>
        <w:ind w:right="3132"/>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354" w:lineRule="exact"/>
        <w:rPr>
          <w:sz w:val="20"/>
          <w:szCs w:val="20"/>
          <w:color w:val="auto"/>
        </w:rPr>
      </w:pPr>
    </w:p>
    <w:p>
      <w:pPr>
        <w:ind w:left="447" w:right="2959" w:hanging="447"/>
        <w:spacing w:after="0" w:line="266" w:lineRule="auto"/>
        <w:tabs>
          <w:tab w:leader="none" w:pos="8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having received the Notice and Proxy Statement for the Annual General Meeting of Stockholders and the 1998 Annual Report to</w:t>
      </w:r>
    </w:p>
    <w:p>
      <w:pPr>
        <w:spacing w:after="0" w:line="1" w:lineRule="exact"/>
        <w:rPr>
          <w:sz w:val="20"/>
          <w:szCs w:val="20"/>
          <w:color w:val="auto"/>
        </w:rPr>
      </w:pPr>
    </w:p>
    <w:p>
      <w:pPr>
        <w:ind w:left="447" w:right="3039" w:hanging="447"/>
        <w:spacing w:after="0" w:line="246" w:lineRule="auto"/>
        <w:tabs>
          <w:tab w:leader="none" w:pos="4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hereby appoints A.L.A. Bosnie, Jan A. Koning, and M.P. Webber-Dommisse and each of them, proxies, with the power of substitution,</w:t>
      </w:r>
    </w:p>
    <w:p>
      <w:pPr>
        <w:spacing w:after="0" w:line="1" w:lineRule="exact"/>
        <w:rPr>
          <w:sz w:val="20"/>
          <w:szCs w:val="20"/>
          <w:color w:val="auto"/>
        </w:rPr>
      </w:pPr>
    </w:p>
    <w:p>
      <w:pPr>
        <w:ind w:left="447" w:right="3419" w:hanging="447"/>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in the manner indicated on the reverse side hereof, and with discretionary authority as to any other matters that may properly come</w:t>
      </w:r>
    </w:p>
    <w:p>
      <w:pPr>
        <w:spacing w:after="0" w:line="1" w:lineRule="exact"/>
        <w:rPr>
          <w:sz w:val="20"/>
          <w:szCs w:val="20"/>
          <w:color w:val="auto"/>
        </w:rPr>
      </w:pPr>
    </w:p>
    <w:p>
      <w:pPr>
        <w:ind w:left="447" w:hanging="447"/>
        <w:spacing w:after="0"/>
        <w:tabs>
          <w:tab w:leader="none" w:pos="4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Meeting, all my (our) shares of record of Schlumberger Limited</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(Schlumberger N.V.) at the Annual General Meeting of Stockholders to be</w:t>
      </w:r>
    </w:p>
    <w:p>
      <w:pPr>
        <w:spacing w:after="0" w:line="5" w:lineRule="exact"/>
        <w:rPr>
          <w:sz w:val="20"/>
          <w:szCs w:val="20"/>
          <w:color w:val="auto"/>
        </w:rPr>
      </w:pPr>
    </w:p>
    <w:p>
      <w:pPr>
        <w:ind w:left="447" w:right="3779" w:hanging="447"/>
        <w:spacing w:after="0" w:line="287" w:lineRule="auto"/>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at the Avila Beach Hotel, Penstraat 130, Willemstad, Curacao, Netherlands Antilles on April 14, 1999, and at any adjournment or adjournments thereof.</w:t>
      </w:r>
    </w:p>
    <w:p>
      <w:pPr>
        <w:spacing w:after="0" w:line="61" w:lineRule="exact"/>
        <w:rPr>
          <w:rFonts w:ascii="Courier New" w:cs="Courier New" w:eastAsia="Courier New" w:hAnsi="Courier New"/>
          <w:sz w:val="15"/>
          <w:szCs w:val="15"/>
          <w:color w:val="auto"/>
        </w:rPr>
      </w:pPr>
    </w:p>
    <w:p>
      <w:pPr>
        <w:ind w:left="447" w:right="313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no other indication is made, the proxies will vote FOR the election of the director nominees and FOR Proposals 2 and 3.</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SEE REVERSE</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Continued and to be signed on reverse side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SEE REVERSE ]</w:t>
            </w:r>
          </w:p>
        </w:tc>
        <w:tc>
          <w:tcPr>
            <w:tcW w:w="0" w:type="dxa"/>
            <w:vAlign w:val="bottom"/>
          </w:tcPr>
          <w:p>
            <w:pPr>
              <w:spacing w:after="0"/>
              <w:rPr>
                <w:sz w:val="1"/>
                <w:szCs w:val="1"/>
                <w:color w:val="auto"/>
              </w:rPr>
            </w:pPr>
          </w:p>
        </w:tc>
      </w:tr>
      <w:tr>
        <w:trPr>
          <w:trHeight w:val="25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SIDE</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8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SIDE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6"/>
          </w:cols>
          <w:pgMar w:left="233" w:top="615" w:right="1440" w:bottom="1440" w:gutter="0" w:footer="0" w:header="0"/>
        </w:sectPr>
      </w:pPr>
    </w:p>
    <w:bookmarkStart w:id="50" w:name="page51"/>
    <w:bookmarkEnd w:id="50"/>
    <w:p>
      <w:pPr>
        <w:ind w:left="627" w:right="8499" w:hanging="627"/>
        <w:spacing w:after="0" w:line="307" w:lineRule="auto"/>
        <w:tabs>
          <w:tab w:leader="none" w:pos="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Please mark votes as in this example</w:t>
      </w:r>
    </w:p>
    <w:p>
      <w:pPr>
        <w:spacing w:after="0" w:line="47" w:lineRule="exact"/>
        <w:rPr>
          <w:sz w:val="20"/>
          <w:szCs w:val="20"/>
          <w:color w:val="auto"/>
        </w:rPr>
      </w:pPr>
    </w:p>
    <w:p>
      <w:pPr>
        <w:ind w:left="367" w:right="3139"/>
        <w:spacing w:after="0" w:line="307"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 Directors recommend a vote FOR items 1, 2 and 3.</w:t>
      </w:r>
    </w:p>
    <w:p>
      <w:pPr>
        <w:spacing w:after="0" w:line="47" w:lineRule="exact"/>
        <w:rPr>
          <w:sz w:val="20"/>
          <w:szCs w:val="20"/>
          <w:color w:val="auto"/>
        </w:rPr>
      </w:pPr>
    </w:p>
    <w:p>
      <w:pPr>
        <w:ind w:left="627" w:hanging="263"/>
        <w:spacing w:after="0"/>
        <w:tabs>
          <w:tab w:leader="none" w:pos="6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12 Directors</w:t>
      </w:r>
    </w:p>
    <w:p>
      <w:pPr>
        <w:spacing w:after="0" w:line="179" w:lineRule="exact"/>
        <w:rPr>
          <w:rFonts w:ascii="Courier New" w:cs="Courier New" w:eastAsia="Courier New" w:hAnsi="Courier New"/>
          <w:sz w:val="15"/>
          <w:szCs w:val="15"/>
          <w:color w:val="auto"/>
        </w:rPr>
      </w:pPr>
    </w:p>
    <w:p>
      <w:pPr>
        <w:ind w:left="627" w:right="39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D.E. Ackerman, D.E. Baird, J. Deutch, V.E. Grijalva D. Henderson, A. Levy-Lang, W.T. McCormick, Jr., D. Primat, N. Seydoux, L.G. Stuntz, S. Ullring, Y. Wakumoto</w:t>
      </w:r>
    </w:p>
    <w:p>
      <w:pPr>
        <w:spacing w:after="0" w:line="47" w:lineRule="exact"/>
        <w:rPr>
          <w:sz w:val="20"/>
          <w:szCs w:val="20"/>
          <w:color w:val="auto"/>
        </w:rPr>
      </w:pPr>
    </w:p>
    <w:tbl>
      <w:tblPr>
        <w:tblLayout w:type="fixed"/>
        <w:tblInd w:w="907" w:type="dxa"/>
        <w:tblCellMar>
          <w:top w:w="0" w:type="dxa"/>
          <w:left w:w="0" w:type="dxa"/>
          <w:bottom w:w="0" w:type="dxa"/>
          <w:right w:w="0" w:type="dxa"/>
        </w:tblCellMar>
      </w:tblPr>
      <w:tr>
        <w:trPr>
          <w:trHeight w:val="17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FOR</w:t>
            </w:r>
          </w:p>
        </w:tc>
        <w:tc>
          <w:tcPr>
            <w:tcW w:w="3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c>
          <w:tcPr>
            <w:tcW w:w="0" w:type="dxa"/>
            <w:vAlign w:val="bottom"/>
          </w:tcPr>
          <w:p>
            <w:pPr>
              <w:spacing w:after="0"/>
              <w:rPr>
                <w:sz w:val="1"/>
                <w:szCs w:val="1"/>
                <w:color w:val="auto"/>
              </w:rPr>
            </w:pPr>
          </w:p>
        </w:tc>
      </w:tr>
      <w:tr>
        <w:trPr>
          <w:trHeight w:val="175"/>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ALL</w:t>
            </w: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  FROM ALL</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0"/>
                <w:szCs w:val="20"/>
                <w:color w:val="auto"/>
              </w:rPr>
            </w:pPr>
            <w:r>
              <w:rPr>
                <w:rFonts w:ascii="Courier New" w:cs="Courier New" w:eastAsia="Courier New" w:hAnsi="Courier New"/>
                <w:sz w:val="15"/>
                <w:szCs w:val="15"/>
                <w:color w:val="auto"/>
              </w:rPr>
              <w:t>NOMINEES</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NOMINEES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For, except vote withheld from the following nominees(s)</w:t>
      </w:r>
    </w:p>
    <w:p>
      <w:pPr>
        <w:spacing w:after="0" w:line="180" w:lineRule="exact"/>
        <w:rPr>
          <w:sz w:val="20"/>
          <w:szCs w:val="20"/>
          <w:color w:val="auto"/>
        </w:rPr>
      </w:pPr>
    </w:p>
    <w:p>
      <w:pPr>
        <w:ind w:left="827" w:hanging="372"/>
        <w:spacing w:after="0"/>
        <w:tabs>
          <w:tab w:leader="none" w:pos="8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67" w:type="dxa"/>
        <w:tblCellMar>
          <w:top w:w="0" w:type="dxa"/>
          <w:left w:w="0" w:type="dxa"/>
          <w:bottom w:w="0" w:type="dxa"/>
          <w:right w:w="0" w:type="dxa"/>
        </w:tblCellMar>
      </w:tblPr>
      <w:tr>
        <w:trPr>
          <w:trHeight w:val="175"/>
        </w:trPr>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2.</w:t>
            </w:r>
          </w:p>
        </w:tc>
        <w:tc>
          <w:tcPr>
            <w:tcW w:w="11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Approval of</w:t>
            </w:r>
          </w:p>
        </w:tc>
        <w:tc>
          <w:tcPr>
            <w:tcW w:w="24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Financials and Dividends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FOR</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AGAINST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ABSTAIN</w:t>
            </w:r>
          </w:p>
        </w:tc>
        <w:tc>
          <w:tcPr>
            <w:tcW w:w="0" w:type="dxa"/>
            <w:vAlign w:val="bottom"/>
          </w:tcPr>
          <w:p>
            <w:pPr>
              <w:spacing w:after="0"/>
              <w:rPr>
                <w:sz w:val="1"/>
                <w:szCs w:val="1"/>
                <w:color w:val="auto"/>
              </w:rPr>
            </w:pPr>
          </w:p>
        </w:tc>
      </w:tr>
      <w:tr>
        <w:trPr>
          <w:trHeight w:val="256"/>
        </w:trPr>
        <w:tc>
          <w:tcPr>
            <w:tcW w:w="22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40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Approval of</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Auditors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7"/>
        <w:spacing w:after="0"/>
        <w:tabs>
          <w:tab w:leader="none" w:pos="6166" w:val="left"/>
          <w:tab w:leader="none" w:pos="6526" w:val="left"/>
        </w:tabs>
        <w:rPr>
          <w:sz w:val="20"/>
          <w:szCs w:val="20"/>
          <w:color w:val="auto"/>
        </w:rPr>
      </w:pPr>
      <w:r>
        <w:rPr>
          <w:rFonts w:ascii="Courier New" w:cs="Courier New" w:eastAsia="Courier New" w:hAnsi="Courier New"/>
          <w:sz w:val="15"/>
          <w:szCs w:val="15"/>
          <w:color w:val="auto"/>
        </w:rPr>
        <w:t>MARK HERE FOR THE ADDRESS CHANGE AND NOTE AT LEFT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54" w:lineRule="exact"/>
        <w:rPr>
          <w:sz w:val="20"/>
          <w:szCs w:val="20"/>
          <w:color w:val="auto"/>
        </w:rPr>
      </w:pPr>
    </w:p>
    <w:p>
      <w:pPr>
        <w:ind w:left="367" w:right="3419"/>
        <w:spacing w:after="0" w:line="307" w:lineRule="auto"/>
        <w:rPr>
          <w:sz w:val="20"/>
          <w:szCs w:val="20"/>
          <w:color w:val="auto"/>
        </w:rPr>
      </w:pPr>
      <w:r>
        <w:rPr>
          <w:rFonts w:ascii="Courier New" w:cs="Courier New" w:eastAsia="Courier New" w:hAnsi="Courier New"/>
          <w:sz w:val="15"/>
          <w:szCs w:val="15"/>
          <w:color w:val="auto"/>
        </w:rPr>
        <w:t>Please sign names exactly as printed hereon. If signing as attorney, administrator, executor, guardian or trustee, please give full title as such. Please sign, date and return in the enclosed envelope.</w:t>
      </w:r>
    </w:p>
    <w:p>
      <w:pPr>
        <w:spacing w:after="0" w:line="39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Signature:_____________________________________ Date: ____________</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Signature:_____________________________________ Date: ____________</w:t>
      </w:r>
    </w:p>
    <w:sectPr>
      <w:pgSz w:w="11900" w:h="16838" w:orient="portrait"/>
      <w:cols w:equalWidth="0" w:num="1">
        <w:col w:w="10226"/>
      </w:cols>
      <w:pgMar w:left="233" w:top="7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upperLetter"/>
      <w:start w:val="24"/>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P"/>
      <w:numFmt w:val="bullet"/>
      <w:start w:val="1"/>
    </w:lvl>
  </w:abstractNum>
  <w:abstractNum w:abstractNumId="20">
    <w:nsid w:val="75A2A8D4"/>
    <w:multiLevelType w:val="hybridMultilevel"/>
    <w:lvl w:ilvl="0">
      <w:lvlJc w:val="left"/>
      <w:lvlText w:val="R"/>
      <w:numFmt w:val="bullet"/>
      <w:start w:val="1"/>
    </w:lvl>
  </w:abstractNum>
  <w:abstractNum w:abstractNumId="21">
    <w:nsid w:val="8EDBDAB"/>
    <w:multiLevelType w:val="hybridMultilevel"/>
    <w:lvl w:ilvl="0">
      <w:lvlJc w:val="left"/>
      <w:lvlText w:val="O"/>
      <w:numFmt w:val="bullet"/>
      <w:start w:val="1"/>
    </w:lvl>
  </w:abstractNum>
  <w:abstractNum w:abstractNumId="22">
    <w:nsid w:val="79838CB2"/>
    <w:multiLevelType w:val="hybridMultilevel"/>
    <w:lvl w:ilvl="0">
      <w:lvlJc w:val="left"/>
      <w:lvlText w:val="X"/>
      <w:numFmt w:val="bullet"/>
      <w:start w:val="1"/>
    </w:lvl>
  </w:abstractNum>
  <w:abstractNum w:abstractNumId="23">
    <w:nsid w:val="4353D0CD"/>
    <w:multiLevelType w:val="hybridMultilevel"/>
    <w:lvl w:ilvl="0">
      <w:lvlJc w:val="left"/>
      <w:lvlText w:val="Y"/>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2020-02-22T07:47:12Z</dcterms:created>
  <dcterms:modified xsi:type="dcterms:W3CDTF">2020-02-22T07:47:12Z</dcterms:modified>
</cp:coreProperties>
</file>